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14" w:rsidRPr="000B2014" w:rsidRDefault="000B2014" w:rsidP="000B2014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5" w:history="1">
        <w:r w:rsidRPr="000B2014">
          <w:rPr>
            <w:rFonts w:ascii="Verdana" w:eastAsia="Times New Roman" w:hAnsi="Verdana" w:cs="Times New Roman"/>
            <w:color w:val="373737"/>
            <w:sz w:val="19"/>
            <w:szCs w:val="19"/>
            <w:u w:val="single"/>
            <w:lang w:eastAsia="bg-BG"/>
          </w:rPr>
          <w:t>Областна дирекция "Земеделие" - Ямбол</w:t>
        </w:r>
      </w:hyperlink>
    </w:p>
    <w:p w:rsidR="000B2014" w:rsidRPr="000B2014" w:rsidRDefault="000B2014" w:rsidP="000B2014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</w:t>
      </w:r>
    </w:p>
    <w:p w:rsidR="000B2014" w:rsidRPr="000B2014" w:rsidRDefault="000B2014" w:rsidP="000B2014">
      <w:pPr>
        <w:numPr>
          <w:ilvl w:val="0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Услуга: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b/>
          <w:bCs/>
          <w:color w:val="4293AA"/>
          <w:sz w:val="16"/>
          <w:szCs w:val="16"/>
          <w:lang w:eastAsia="bg-BG"/>
        </w:rPr>
        <w:t>495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Предоставяне на баланс по характеристики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  <w:t>Предоставяне на баланс по характеристики</w:t>
      </w:r>
    </w:p>
    <w:p w:rsidR="000B2014" w:rsidRPr="000B2014" w:rsidRDefault="000B2014" w:rsidP="000B2014">
      <w:pPr>
        <w:numPr>
          <w:ilvl w:val="0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На основание на: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Наредба № 49 от 5.11.2004 г. за поддържане на картата на възстановената собственост - чл. 14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Тарифа за таксите, събирани от органите по поземлена собственост - чл. 5, ал. 1, т. 6</w:t>
      </w:r>
    </w:p>
    <w:p w:rsidR="000B2014" w:rsidRPr="000B2014" w:rsidRDefault="000B2014" w:rsidP="000B2014">
      <w:pPr>
        <w:numPr>
          <w:ilvl w:val="0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Услугата се предоставя и като вътрешно-административна: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Не</w:t>
      </w:r>
    </w:p>
    <w:p w:rsidR="000B2014" w:rsidRPr="000B2014" w:rsidRDefault="000B2014" w:rsidP="000B2014">
      <w:pPr>
        <w:numPr>
          <w:ilvl w:val="0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Срок за предоставяне: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7 работни дни</w:t>
      </w:r>
    </w:p>
    <w:p w:rsidR="000B2014" w:rsidRPr="000B2014" w:rsidRDefault="000B2014" w:rsidP="000B2014">
      <w:pPr>
        <w:numPr>
          <w:ilvl w:val="0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Срок на действие на документа/индивидуалния административен акт: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</w:p>
    <w:p w:rsidR="000B2014" w:rsidRPr="000B2014" w:rsidRDefault="000B2014" w:rsidP="000B2014">
      <w:pPr>
        <w:numPr>
          <w:ilvl w:val="0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Ограничения и условности:</w:t>
      </w:r>
    </w:p>
    <w:p w:rsidR="000B2014" w:rsidRPr="000B2014" w:rsidRDefault="000B2014" w:rsidP="000B2014">
      <w:pPr>
        <w:numPr>
          <w:ilvl w:val="1"/>
          <w:numId w:val="1"/>
        </w:numPr>
        <w:shd w:val="clear" w:color="auto" w:fill="EAE4DB"/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На хартиен носител- 1,00 лв. на характеристика</w:t>
      </w:r>
    </w:p>
    <w:p w:rsidR="000B2014" w:rsidRPr="000B2014" w:rsidRDefault="000B2014" w:rsidP="000B2014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6" w:history="1">
        <w:r w:rsidRPr="000B2014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Център за административно обслужване и/или звена, които контактуват с потребителите и предоставят административно обслужване</w:t>
        </w:r>
      </w:hyperlink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Административни звена, в които се подават документите и се получава информация за хода на преписката: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Общинска служба "Земеделие" - Елхово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Елхово, гр. Елхово, ул."Търговска" 63, п.к. 8700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0478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(0478)88018, (0478)88599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oszg_elhovo@abv.bg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Офис Болярово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Болярово, гр. Болярово, ул."Девети септември" 3, п.к. 8720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04741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(04741)6349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oszg_boliarovo@abv.bg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Общинска служба "Земеделие" - Стралджа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Стралджа, гр. Стралджа, бул. "Хемус" 10, п.к. 8680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04761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(04761)6409, (04761)6421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oszgstraldja@abv.bg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Общинска служба "Земеделие" - Тунджа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lastRenderedPageBreak/>
        <w:t>Адрес: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обл. Ямбол, общ. Тунджа, гр. Ямбол, пл. "Освобождение" 1, п.к. 8600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Код за междуселищно избиране: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046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Телефон за връзка: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(046)661560, (046)661599, (046)684220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Адрес на електронна поща: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oszg_tundja@abv.bg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br/>
      </w:r>
      <w:r w:rsidRPr="000B2014">
        <w:rPr>
          <w:rFonts w:ascii="Verdana" w:eastAsia="Times New Roman" w:hAnsi="Verdana" w:cs="Times New Roman"/>
          <w:color w:val="006887"/>
          <w:sz w:val="19"/>
          <w:szCs w:val="19"/>
          <w:lang w:eastAsia="bg-BG"/>
        </w:rPr>
        <w:t>Работно време:</w:t>
      </w: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 Стандартно работно време, от 09:00 до 17:30, работно време на звеното за административно обслужване</w:t>
      </w:r>
    </w:p>
    <w:p w:rsidR="000B2014" w:rsidRPr="000B2014" w:rsidRDefault="000B2014" w:rsidP="000B2014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7" w:history="1">
        <w:r w:rsidRPr="000B2014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Изисквания, процедури, инструкции</w:t>
        </w:r>
      </w:hyperlink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необходими условия за да ползвате услугата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Заявление по образец</w:t>
      </w:r>
    </w:p>
    <w:p w:rsidR="000B2014" w:rsidRPr="000B2014" w:rsidRDefault="000B2014" w:rsidP="000B2014">
      <w:pPr>
        <w:shd w:val="clear" w:color="auto" w:fill="EAE4DB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hyperlink r:id="rId8" w:history="1">
        <w:r w:rsidRPr="000B2014">
          <w:rPr>
            <w:rFonts w:ascii="Verdana" w:eastAsia="Times New Roman" w:hAnsi="Verdana" w:cs="Times New Roman"/>
            <w:color w:val="006887"/>
            <w:sz w:val="19"/>
            <w:szCs w:val="19"/>
            <w:u w:val="single"/>
            <w:bdr w:val="single" w:sz="6" w:space="4" w:color="CFC8BC" w:frame="1"/>
            <w:shd w:val="clear" w:color="auto" w:fill="F8F7F2"/>
            <w:lang w:eastAsia="bg-BG"/>
          </w:rPr>
          <w:t>Заплащане</w:t>
        </w:r>
      </w:hyperlink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За услугата се заплаща фиксирана такса в зависимост от вида: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За обикновена услуга 1 лв.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За бърза услуга 2 лв.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bg-BG"/>
        </w:rPr>
        <w:t>Услугата може да бъде заплатена по един от следните начини:</w:t>
      </w:r>
    </w:p>
    <w:p w:rsidR="000B2014" w:rsidRPr="000B2014" w:rsidRDefault="000B2014" w:rsidP="000B2014">
      <w:pPr>
        <w:shd w:val="clear" w:color="auto" w:fill="EAE4DB"/>
        <w:spacing w:after="0" w:line="360" w:lineRule="atLeast"/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</w:pPr>
      <w:r w:rsidRPr="000B2014">
        <w:rPr>
          <w:rFonts w:ascii="Verdana" w:eastAsia="Times New Roman" w:hAnsi="Verdana" w:cs="Times New Roman"/>
          <w:color w:val="000000"/>
          <w:sz w:val="19"/>
          <w:szCs w:val="19"/>
          <w:lang w:eastAsia="bg-BG"/>
        </w:rPr>
        <w:t>На гише в административно звено за обслужване в брой</w:t>
      </w:r>
    </w:p>
    <w:p w:rsidR="00253064" w:rsidRDefault="00253064">
      <w:bookmarkStart w:id="0" w:name="_GoBack"/>
      <w:bookmarkEnd w:id="0"/>
    </w:p>
    <w:sectPr w:rsidR="0025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C6F"/>
    <w:multiLevelType w:val="multilevel"/>
    <w:tmpl w:val="C014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14"/>
    <w:rsid w:val="000B2014"/>
    <w:rsid w:val="002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FADF1-A5F8-485C-9FC6-7FD1973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014"/>
    <w:rPr>
      <w:color w:val="0000FF"/>
      <w:u w:val="single"/>
    </w:rPr>
  </w:style>
  <w:style w:type="character" w:customStyle="1" w:styleId="number-level">
    <w:name w:val="number-level"/>
    <w:basedOn w:val="DefaultParagraphFont"/>
    <w:rsid w:val="000B2014"/>
  </w:style>
  <w:style w:type="paragraph" w:styleId="NormalWeb">
    <w:name w:val="Normal (Web)"/>
    <w:basedOn w:val="Normal"/>
    <w:uiPriority w:val="99"/>
    <w:semiHidden/>
    <w:unhideWhenUsed/>
    <w:rsid w:val="000B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B2014"/>
    <w:rPr>
      <w:b/>
      <w:bCs/>
    </w:rPr>
  </w:style>
  <w:style w:type="character" w:customStyle="1" w:styleId="info-search-label">
    <w:name w:val="info-search-label"/>
    <w:basedOn w:val="DefaultParagraphFont"/>
    <w:rsid w:val="000B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5481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3758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39701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3500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9424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845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467387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1573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FC8BC"/>
                <w:bottom w:val="single" w:sz="6" w:space="8" w:color="CFC8BC"/>
                <w:right w:val="single" w:sz="6" w:space="8" w:color="CFC8BC"/>
              </w:divBdr>
              <w:divsChild>
                <w:div w:id="15354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https://iisda.government.bg/ras/adm_structures/organigram/12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CHIPO</dc:creator>
  <cp:keywords/>
  <dc:description/>
  <cp:lastModifiedBy>CHIPO</cp:lastModifiedBy>
  <cp:revision>1</cp:revision>
  <dcterms:created xsi:type="dcterms:W3CDTF">2024-01-11T13:14:00Z</dcterms:created>
  <dcterms:modified xsi:type="dcterms:W3CDTF">2024-01-11T13:15:00Z</dcterms:modified>
</cp:coreProperties>
</file>