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</w:t>
      </w:r>
      <w:r w:rsidR="001015D8">
        <w:rPr>
          <w:rFonts w:cs="Times New Roman"/>
          <w:b/>
          <w:sz w:val="20"/>
          <w:szCs w:val="20"/>
        </w:rPr>
        <w:t>вет по антикорупционни политики</w:t>
      </w:r>
    </w:p>
    <w:p w:rsidR="00480ECE" w:rsidRPr="00684C5B" w:rsidRDefault="001015D8" w:rsidP="00F84CD8">
      <w:pPr>
        <w:ind w:left="1020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Утвърдил</w:t>
      </w:r>
      <w:r w:rsidR="007D0850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805E176D-68ED-42EF-A95D-91F39CEDA33A}" provid="{00000000-0000-0000-0000-000000000000}" o:suggestedsigner="ДОНКА ГЕОРГИЕВА" o:suggestedsigner2="ДИРЕКТОР НА ОД&quot;ЗЕМЕДЕЛИЕ&quot; - ЯМБОЛ" issignatureline="t"/>
          </v:shape>
        </w:pict>
      </w:r>
    </w:p>
    <w:p w:rsidR="0009558A" w:rsidRPr="001015D8" w:rsidRDefault="001015D8" w:rsidP="00F84CD8">
      <w:pPr>
        <w:ind w:left="10206"/>
        <w:rPr>
          <w:rFonts w:cs="Times New Roman"/>
          <w:b/>
          <w:sz w:val="20"/>
          <w:szCs w:val="20"/>
        </w:rPr>
      </w:pPr>
      <w:r w:rsidRPr="001015D8">
        <w:rPr>
          <w:rFonts w:cs="Times New Roman"/>
          <w:b/>
          <w:sz w:val="20"/>
          <w:szCs w:val="20"/>
        </w:rPr>
        <w:t>Дата:</w:t>
      </w:r>
      <w:r w:rsidR="00077F50">
        <w:rPr>
          <w:rFonts w:cs="Times New Roman"/>
          <w:b/>
          <w:sz w:val="20"/>
          <w:szCs w:val="20"/>
        </w:rPr>
        <w:t>01</w:t>
      </w:r>
      <w:r w:rsidRPr="001015D8">
        <w:rPr>
          <w:rFonts w:cs="Times New Roman"/>
          <w:b/>
          <w:sz w:val="20"/>
          <w:szCs w:val="20"/>
        </w:rPr>
        <w:t>.0</w:t>
      </w:r>
      <w:r w:rsidR="00077F50">
        <w:rPr>
          <w:rFonts w:cs="Times New Roman"/>
          <w:b/>
          <w:sz w:val="20"/>
          <w:szCs w:val="20"/>
        </w:rPr>
        <w:t>4</w:t>
      </w:r>
      <w:r w:rsidRPr="001015D8">
        <w:rPr>
          <w:rFonts w:cs="Times New Roman"/>
          <w:b/>
          <w:sz w:val="20"/>
          <w:szCs w:val="20"/>
        </w:rPr>
        <w:t>.2024 г.</w:t>
      </w:r>
    </w:p>
    <w:tbl>
      <w:tblPr>
        <w:tblStyle w:val="a3"/>
        <w:tblW w:w="154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"/>
        <w:gridCol w:w="469"/>
        <w:gridCol w:w="1214"/>
        <w:gridCol w:w="567"/>
        <w:gridCol w:w="992"/>
        <w:gridCol w:w="426"/>
        <w:gridCol w:w="850"/>
        <w:gridCol w:w="1487"/>
        <w:gridCol w:w="22"/>
        <w:gridCol w:w="468"/>
        <w:gridCol w:w="8"/>
        <w:gridCol w:w="1504"/>
        <w:gridCol w:w="37"/>
        <w:gridCol w:w="11"/>
        <w:gridCol w:w="1359"/>
        <w:gridCol w:w="87"/>
        <w:gridCol w:w="57"/>
        <w:gridCol w:w="25"/>
        <w:gridCol w:w="634"/>
        <w:gridCol w:w="1706"/>
        <w:gridCol w:w="18"/>
      </w:tblGrid>
      <w:tr w:rsidR="00684C5B" w:rsidRPr="00684C5B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p w:rsidR="0097649D" w:rsidRDefault="0097649D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АНТИКОРУПЦИОННИ МЕРКИ</w:t>
            </w:r>
          </w:p>
          <w:p w:rsidR="0090461C" w:rsidRDefault="0097649D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 </w:t>
            </w:r>
            <w:r w:rsidR="00C02205" w:rsidRPr="00684C5B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90461C">
              <w:rPr>
                <w:rFonts w:cs="Times New Roman"/>
                <w:b/>
                <w:sz w:val="20"/>
                <w:szCs w:val="20"/>
              </w:rPr>
              <w:t>В СИСТЕМАТА НА МИНИСТЕРСТВО НА ЗЕМЕДЕЛИЕТО И ХРАНИТЕ ЗА 2024 Г.</w:t>
            </w:r>
            <w:r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97649D" w:rsidRPr="00684C5B" w:rsidRDefault="0097649D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ПРИЛОЖИМ ЗА ОБЛАСТНА ДИРЕКЦИЯ „ЗЕМЕДЕЛИЕ“ ЯМБОЛ</w:t>
            </w:r>
          </w:p>
        </w:tc>
      </w:tr>
      <w:tr w:rsidR="00684C5B" w:rsidRPr="00684C5B" w:rsidTr="004E5779">
        <w:trPr>
          <w:gridAfter w:val="1"/>
          <w:wAfter w:w="18" w:type="dxa"/>
          <w:trHeight w:val="443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1D3491" w:rsidRPr="00684C5B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07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509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A161B" w:rsidRPr="002A39B7" w:rsidTr="00882DD0">
        <w:trPr>
          <w:gridAfter w:val="1"/>
          <w:wAfter w:w="18" w:type="dxa"/>
          <w:trHeight w:val="1551"/>
        </w:trPr>
        <w:tc>
          <w:tcPr>
            <w:tcW w:w="1815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процедурата по възлагане на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обществени поръчки и приемане на изпълнението на договорите;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включени в комисиите по ЗОП. Разделяне на възлагането от контрола при обществените поръчки.</w:t>
            </w:r>
          </w:p>
        </w:tc>
        <w:tc>
          <w:tcPr>
            <w:tcW w:w="1701" w:type="dxa"/>
            <w:gridSpan w:val="3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Недопускане на нарушения и минимизиране броя на постановените Решения на КЗК и/или ВАС, с които се отменят ре</w:t>
            </w:r>
            <w:r w:rsidR="0097649D">
              <w:rPr>
                <w:rFonts w:cs="Times New Roman"/>
                <w:sz w:val="20"/>
                <w:szCs w:val="20"/>
              </w:rPr>
              <w:t>шения на възложителите</w:t>
            </w:r>
            <w:r w:rsidRPr="002A39B7">
              <w:rPr>
                <w:rFonts w:cs="Times New Roman"/>
                <w:sz w:val="20"/>
                <w:szCs w:val="20"/>
              </w:rPr>
              <w:t>.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Да се предотврати възлагането на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</w:p>
        </w:tc>
        <w:tc>
          <w:tcPr>
            <w:tcW w:w="1276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Текущо през цялата 2024</w:t>
            </w:r>
            <w:r w:rsidRPr="002A39B7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2A39B7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4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</w:t>
            </w:r>
            <w:r w:rsidR="0097649D">
              <w:rPr>
                <w:rFonts w:cs="Times New Roman"/>
                <w:sz w:val="20"/>
                <w:szCs w:val="20"/>
              </w:rPr>
              <w:t>комисиите</w:t>
            </w:r>
            <w:r w:rsidRPr="002A39B7">
              <w:rPr>
                <w:rFonts w:cs="Times New Roman"/>
                <w:sz w:val="20"/>
                <w:szCs w:val="20"/>
              </w:rPr>
              <w:t xml:space="preserve"> във връзка с  провеждани процедури по ЗОП в </w:t>
            </w:r>
            <w:r w:rsidR="0097649D">
              <w:rPr>
                <w:rFonts w:cs="Times New Roman"/>
                <w:sz w:val="20"/>
                <w:szCs w:val="20"/>
              </w:rPr>
              <w:t>ОДЗ - Ямбол</w:t>
            </w:r>
            <w:r w:rsidRPr="002A39B7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и спецификации да са различни от служителите, участващи в комисиите по подбор на кандидатите или участниците, разглеждане и оценка на офертите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504" w:type="dxa"/>
          </w:tcPr>
          <w:p w:rsidR="0062322B" w:rsidRPr="0097649D" w:rsidRDefault="0097649D" w:rsidP="0062322B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lastRenderedPageBreak/>
              <w:t>Директор Д “АПФСДЧР“ /когато е приложимо/</w:t>
            </w:r>
          </w:p>
        </w:tc>
        <w:tc>
          <w:tcPr>
            <w:tcW w:w="1407" w:type="dxa"/>
            <w:gridSpan w:val="3"/>
          </w:tcPr>
          <w:p w:rsidR="00077F50" w:rsidRDefault="00077F50" w:rsidP="0062322B">
            <w:pPr>
              <w:rPr>
                <w:rFonts w:cs="Times New Roman"/>
                <w:sz w:val="20"/>
                <w:szCs w:val="20"/>
              </w:rPr>
            </w:pPr>
          </w:p>
          <w:p w:rsidR="00077F50" w:rsidRPr="00077F50" w:rsidRDefault="00077F50" w:rsidP="00077F50">
            <w:pPr>
              <w:rPr>
                <w:rFonts w:cs="Times New Roman"/>
                <w:sz w:val="20"/>
                <w:szCs w:val="20"/>
              </w:rPr>
            </w:pPr>
          </w:p>
          <w:p w:rsidR="00077F50" w:rsidRPr="00077F50" w:rsidRDefault="00077F50" w:rsidP="00077F50">
            <w:pPr>
              <w:rPr>
                <w:rFonts w:cs="Times New Roman"/>
                <w:sz w:val="20"/>
                <w:szCs w:val="20"/>
              </w:rPr>
            </w:pPr>
          </w:p>
          <w:p w:rsidR="00077F50" w:rsidRPr="00077F50" w:rsidRDefault="00077F50" w:rsidP="00077F50">
            <w:pPr>
              <w:rPr>
                <w:rFonts w:cs="Times New Roman"/>
                <w:sz w:val="20"/>
                <w:szCs w:val="20"/>
              </w:rPr>
            </w:pPr>
          </w:p>
          <w:p w:rsidR="00077F50" w:rsidRDefault="00077F50" w:rsidP="00077F50">
            <w:pPr>
              <w:rPr>
                <w:rFonts w:cs="Times New Roman"/>
                <w:sz w:val="20"/>
                <w:szCs w:val="20"/>
              </w:rPr>
            </w:pPr>
          </w:p>
          <w:p w:rsidR="0062322B" w:rsidRPr="00077F50" w:rsidRDefault="0062322B" w:rsidP="00077F50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9" w:type="dxa"/>
            <w:gridSpan w:val="5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4E5779">
        <w:trPr>
          <w:gridAfter w:val="1"/>
          <w:wAfter w:w="18" w:type="dxa"/>
          <w:trHeight w:val="444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901DD9" w:rsidRPr="002A39B7" w:rsidRDefault="00901DD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BA161B" w:rsidRPr="002A39B7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94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422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882DD0">
        <w:trPr>
          <w:trHeight w:val="566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извършваните проверки;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Ротация на служители о</w:t>
            </w:r>
            <w:r w:rsidR="0097649D">
              <w:rPr>
                <w:rFonts w:cs="Times New Roman"/>
                <w:sz w:val="20"/>
                <w:szCs w:val="20"/>
              </w:rPr>
              <w:t>т Областна дирекция</w:t>
            </w:r>
            <w:r w:rsidRPr="002A39B7">
              <w:rPr>
                <w:rFonts w:cs="Times New Roman"/>
                <w:sz w:val="20"/>
                <w:szCs w:val="20"/>
              </w:rPr>
              <w:t xml:space="preserve"> „Земеделие”</w:t>
            </w:r>
            <w:r w:rsidR="0097649D">
              <w:rPr>
                <w:rFonts w:cs="Times New Roman"/>
                <w:sz w:val="20"/>
                <w:szCs w:val="20"/>
              </w:rPr>
              <w:t xml:space="preserve"> Ямбол</w:t>
            </w:r>
            <w:r w:rsidRPr="002A39B7">
              <w:rPr>
                <w:rFonts w:cs="Times New Roman"/>
                <w:sz w:val="20"/>
                <w:szCs w:val="20"/>
              </w:rPr>
              <w:t xml:space="preserve"> при извършване на проверки за състоянието и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ползването на земи от ДПФ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6E3554" w:rsidRPr="0097649D" w:rsidRDefault="0097649D" w:rsidP="006E3554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708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2A39B7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6E3554" w:rsidRPr="002A39B7" w:rsidRDefault="006E3554" w:rsidP="0097649D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Ро</w:t>
            </w:r>
            <w:r w:rsidR="0097649D">
              <w:rPr>
                <w:rFonts w:cs="Times New Roman"/>
                <w:sz w:val="20"/>
                <w:szCs w:val="20"/>
              </w:rPr>
              <w:t>тация на служители от ОД</w:t>
            </w:r>
            <w:r w:rsidRPr="002A39B7">
              <w:rPr>
                <w:rFonts w:cs="Times New Roman"/>
                <w:sz w:val="20"/>
                <w:szCs w:val="20"/>
              </w:rPr>
              <w:t xml:space="preserve"> ”Земеделие”</w:t>
            </w:r>
            <w:r w:rsidR="0097649D">
              <w:rPr>
                <w:rFonts w:cs="Times New Roman"/>
                <w:sz w:val="20"/>
                <w:szCs w:val="20"/>
              </w:rPr>
              <w:t xml:space="preserve"> Ямбол</w:t>
            </w:r>
            <w:r w:rsidRPr="002A39B7">
              <w:rPr>
                <w:rFonts w:cs="Times New Roman"/>
                <w:sz w:val="20"/>
                <w:szCs w:val="20"/>
              </w:rPr>
              <w:t xml:space="preserve"> при извършване на проверки,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6E3554" w:rsidRPr="002A39B7" w:rsidRDefault="0097649D" w:rsidP="006E3554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503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тръжните процедури;</w:t>
            </w:r>
          </w:p>
          <w:p w:rsidR="006E3554" w:rsidRPr="002A39B7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2A39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принципа на ротация при подготовка, провеждане и последващ контрол при изпълнението на тръжните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процедури</w:t>
            </w:r>
            <w:r w:rsidR="0097649D">
              <w:rPr>
                <w:rFonts w:cs="Times New Roman"/>
                <w:sz w:val="20"/>
                <w:szCs w:val="20"/>
              </w:rPr>
              <w:t xml:space="preserve"> в ОДЗ-Ямбол</w:t>
            </w:r>
            <w:r w:rsidRPr="002A39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504" w:type="dxa"/>
          </w:tcPr>
          <w:p w:rsidR="006E3554" w:rsidRPr="002A39B7" w:rsidRDefault="0097649D" w:rsidP="006E3554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992"/>
        </w:trPr>
        <w:tc>
          <w:tcPr>
            <w:tcW w:w="1815" w:type="dxa"/>
            <w:shd w:val="clear" w:color="auto" w:fill="auto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C17B4D" w:rsidRPr="002A39B7" w:rsidRDefault="00C17B4D" w:rsidP="002D350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Ротация на служители от </w:t>
            </w:r>
            <w:r w:rsidR="002D3500" w:rsidRPr="002A39B7">
              <w:rPr>
                <w:rFonts w:cs="Times New Roman"/>
                <w:sz w:val="20"/>
                <w:szCs w:val="20"/>
              </w:rPr>
              <w:t>ОДЗ</w:t>
            </w:r>
            <w:r w:rsidR="00514667">
              <w:rPr>
                <w:rFonts w:cs="Times New Roman"/>
                <w:sz w:val="20"/>
                <w:szCs w:val="20"/>
              </w:rPr>
              <w:t>-Ямбол</w:t>
            </w:r>
            <w:r w:rsidRPr="002A39B7">
              <w:rPr>
                <w:rFonts w:cs="Times New Roman"/>
                <w:sz w:val="20"/>
                <w:szCs w:val="20"/>
              </w:rPr>
              <w:t xml:space="preserve"> при извършване на проверки , свързани с процедурите по промяна предназначението на земеделска земя за неземеделски нужди</w:t>
            </w:r>
          </w:p>
        </w:tc>
        <w:tc>
          <w:tcPr>
            <w:tcW w:w="1701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76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41" w:type="dxa"/>
            <w:gridSpan w:val="2"/>
          </w:tcPr>
          <w:p w:rsidR="00C17B4D" w:rsidRPr="002A39B7" w:rsidRDefault="0097649D" w:rsidP="007D697F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514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531"/>
        </w:trPr>
        <w:tc>
          <w:tcPr>
            <w:tcW w:w="1815" w:type="dxa"/>
            <w:shd w:val="clear" w:color="auto" w:fill="auto"/>
          </w:tcPr>
          <w:p w:rsidR="00C17B4D" w:rsidRPr="002A39B7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  <w:r w:rsidR="00514667">
              <w:rPr>
                <w:rFonts w:cs="Times New Roman"/>
                <w:bCs/>
                <w:sz w:val="20"/>
                <w:szCs w:val="20"/>
              </w:rPr>
              <w:t>-Ямбол</w:t>
            </w:r>
          </w:p>
        </w:tc>
        <w:tc>
          <w:tcPr>
            <w:tcW w:w="1701" w:type="dxa"/>
          </w:tcPr>
          <w:p w:rsidR="00C17B4D" w:rsidRPr="002A39B7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Ротация на служителите от ОДЗ</w:t>
            </w:r>
            <w:r w:rsidR="00514667">
              <w:rPr>
                <w:rFonts w:cs="Times New Roman"/>
                <w:bCs/>
                <w:sz w:val="20"/>
                <w:szCs w:val="20"/>
              </w:rPr>
              <w:t>-Ямбол</w:t>
            </w:r>
            <w:r w:rsidRPr="002A39B7">
              <w:rPr>
                <w:rFonts w:cs="Times New Roman"/>
                <w:bCs/>
                <w:sz w:val="20"/>
                <w:szCs w:val="20"/>
              </w:rPr>
              <w:t xml:space="preserve"> при </w:t>
            </w:r>
            <w:r w:rsidR="00FE1CA7" w:rsidRPr="002A39B7">
              <w:rPr>
                <w:rFonts w:cs="Times New Roman"/>
                <w:bCs/>
                <w:sz w:val="20"/>
                <w:szCs w:val="20"/>
              </w:rPr>
              <w:t xml:space="preserve">осъществяването на последващ контрол по издадени положителни становища по реда на чл.11,ал.1,т.4 от Наредба 19 от 25.10.2012 г. за строителство в </w:t>
            </w:r>
            <w:r w:rsidR="00FE1CA7" w:rsidRPr="002A39B7">
              <w:rPr>
                <w:rFonts w:cs="Times New Roman"/>
                <w:bCs/>
                <w:sz w:val="20"/>
                <w:szCs w:val="20"/>
              </w:rPr>
              <w:lastRenderedPageBreak/>
              <w:t>земеделски земи без промяна предназначението им</w:t>
            </w:r>
          </w:p>
        </w:tc>
        <w:tc>
          <w:tcPr>
            <w:tcW w:w="1701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7B4D" w:rsidRPr="002A39B7" w:rsidRDefault="00C17B4D" w:rsidP="00882DD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 xml:space="preserve"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</w:t>
            </w:r>
            <w:r w:rsidRPr="002A39B7">
              <w:rPr>
                <w:rFonts w:cs="Times New Roman"/>
                <w:bCs/>
                <w:sz w:val="20"/>
                <w:szCs w:val="20"/>
              </w:rPr>
              <w:lastRenderedPageBreak/>
              <w:t>земи без промяна предназначението им</w:t>
            </w:r>
          </w:p>
        </w:tc>
        <w:tc>
          <w:tcPr>
            <w:tcW w:w="1276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C17B4D" w:rsidRPr="002A39B7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2A39B7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2A39B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2A39B7">
              <w:rPr>
                <w:rFonts w:cs="Times New Roman"/>
                <w:bCs/>
                <w:sz w:val="20"/>
                <w:szCs w:val="20"/>
              </w:rPr>
              <w:t>К</w:t>
            </w:r>
            <w:r w:rsidRPr="002A39B7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1541" w:type="dxa"/>
            <w:gridSpan w:val="2"/>
          </w:tcPr>
          <w:p w:rsidR="00C17B4D" w:rsidRPr="002A39B7" w:rsidRDefault="00514667" w:rsidP="007D697F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514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1275"/>
        </w:trPr>
        <w:tc>
          <w:tcPr>
            <w:tcW w:w="1815" w:type="dxa"/>
            <w:shd w:val="clear" w:color="auto" w:fill="auto"/>
          </w:tcPr>
          <w:p w:rsidR="00E859E3" w:rsidRPr="002A39B7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 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701" w:type="dxa"/>
            <w:gridSpan w:val="3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76" w:type="dxa"/>
            <w:gridSpan w:val="2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1504" w:type="dxa"/>
          </w:tcPr>
          <w:p w:rsidR="00E859E3" w:rsidRPr="002A39B7" w:rsidRDefault="00514667" w:rsidP="00930DF5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551" w:type="dxa"/>
            <w:gridSpan w:val="5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283"/>
        </w:trPr>
        <w:tc>
          <w:tcPr>
            <w:tcW w:w="1815" w:type="dxa"/>
            <w:shd w:val="clear" w:color="auto" w:fill="auto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1701" w:type="dxa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3D3775">
              <w:rPr>
                <w:rFonts w:cs="Times New Roman"/>
                <w:sz w:val="20"/>
                <w:szCs w:val="20"/>
              </w:rPr>
              <w:t>Контрол по изпълнен</w:t>
            </w:r>
            <w:r w:rsidR="0017285D" w:rsidRPr="003D3775">
              <w:rPr>
                <w:rFonts w:cs="Times New Roman"/>
                <w:sz w:val="20"/>
                <w:szCs w:val="20"/>
              </w:rPr>
              <w:t>ие на договорите за охрана на 1</w:t>
            </w:r>
            <w:r w:rsidRPr="003D3775">
              <w:rPr>
                <w:rFonts w:cs="Times New Roman"/>
                <w:sz w:val="20"/>
                <w:szCs w:val="20"/>
              </w:rPr>
              <w:t xml:space="preserve"> броя комплексни и значими язовири</w:t>
            </w:r>
          </w:p>
        </w:tc>
        <w:tc>
          <w:tcPr>
            <w:tcW w:w="1701" w:type="dxa"/>
            <w:gridSpan w:val="3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Контрол на ОДЗ и „Напоителни системи“ ЕАД при приемането на язовирите за охрана и ежемесечното приемане  изпълнение на договорите от страна на охранителните фирми</w:t>
            </w:r>
          </w:p>
        </w:tc>
        <w:tc>
          <w:tcPr>
            <w:tcW w:w="1559" w:type="dxa"/>
            <w:gridSpan w:val="2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Повишаване сигурността на язовирите</w:t>
            </w:r>
          </w:p>
        </w:tc>
        <w:tc>
          <w:tcPr>
            <w:tcW w:w="1276" w:type="dxa"/>
            <w:gridSpan w:val="2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Периодично през годината</w:t>
            </w:r>
          </w:p>
        </w:tc>
        <w:tc>
          <w:tcPr>
            <w:tcW w:w="1985" w:type="dxa"/>
            <w:gridSpan w:val="4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риска от некачествено изпълнение на договорите</w:t>
            </w:r>
          </w:p>
        </w:tc>
        <w:tc>
          <w:tcPr>
            <w:tcW w:w="1552" w:type="dxa"/>
            <w:gridSpan w:val="3"/>
          </w:tcPr>
          <w:p w:rsidR="00BB0DA6" w:rsidRPr="002A39B7" w:rsidRDefault="00F16A8A" w:rsidP="000A6319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Главен директор ГД“АР“</w:t>
            </w:r>
          </w:p>
        </w:tc>
        <w:tc>
          <w:tcPr>
            <w:tcW w:w="1503" w:type="dxa"/>
            <w:gridSpan w:val="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63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BA161B" w:rsidRPr="00684C5B" w:rsidTr="00B10043">
        <w:trPr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552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28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B10043">
        <w:trPr>
          <w:trHeight w:val="416"/>
        </w:trPr>
        <w:tc>
          <w:tcPr>
            <w:tcW w:w="1815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 ненавременно отразяване на настъпили промени в предлаг</w:t>
            </w:r>
            <w:r w:rsidR="00F16A8A">
              <w:rPr>
                <w:rFonts w:cs="Times New Roman"/>
                <w:sz w:val="20"/>
                <w:szCs w:val="20"/>
              </w:rPr>
              <w:t>аните административни услуги от ОДЗ - Ямбол</w:t>
            </w:r>
          </w:p>
        </w:tc>
        <w:tc>
          <w:tcPr>
            <w:tcW w:w="1701" w:type="dxa"/>
            <w:shd w:val="clear" w:color="auto" w:fill="auto"/>
          </w:tcPr>
          <w:p w:rsidR="00AC3057" w:rsidRPr="002A39B7" w:rsidRDefault="00DF6873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Актуализиране и публикуване на информация за предоставяните от ОДЗ адмиистративни услуги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2A39B7" w:rsidRDefault="00AC3057" w:rsidP="00AC3057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Организационни промени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2A39B7" w:rsidRDefault="00882DD0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</w:t>
            </w:r>
            <w:r w:rsidR="00AC3057" w:rsidRPr="002A39B7">
              <w:rPr>
                <w:rFonts w:eastAsia="Calibri" w:cs="Times New Roman"/>
                <w:sz w:val="20"/>
                <w:szCs w:val="20"/>
              </w:rPr>
              <w:t>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2A39B7" w:rsidRDefault="00AC3057" w:rsidP="00AC3057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AC3057" w:rsidRPr="002A39B7" w:rsidRDefault="00AC3057" w:rsidP="00AC3057">
            <w:pPr>
              <w:spacing w:line="259" w:lineRule="auto"/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AC3057" w:rsidRPr="002A39B7" w:rsidRDefault="00AC3057" w:rsidP="00661663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F16A8A" w:rsidRDefault="00F16A8A" w:rsidP="00AC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Главен секретар;</w:t>
            </w:r>
          </w:p>
          <w:p w:rsidR="00AC3057" w:rsidRPr="002A39B7" w:rsidRDefault="00F16A8A" w:rsidP="00AC3057">
            <w:pPr>
              <w:rPr>
                <w:rFonts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 xml:space="preserve">Директор Д “АПФСДЧР“ </w:t>
            </w:r>
          </w:p>
        </w:tc>
        <w:tc>
          <w:tcPr>
            <w:tcW w:w="1528" w:type="dxa"/>
            <w:gridSpan w:val="4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043">
        <w:trPr>
          <w:trHeight w:val="3493"/>
        </w:trPr>
        <w:tc>
          <w:tcPr>
            <w:tcW w:w="1815" w:type="dxa"/>
            <w:shd w:val="clear" w:color="auto" w:fill="auto"/>
          </w:tcPr>
          <w:p w:rsidR="00AC3057" w:rsidRPr="002A39B7" w:rsidRDefault="00AC3057" w:rsidP="00F16A8A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Риск от недостатъчна прозрачност на дейността на </w:t>
            </w:r>
            <w:r w:rsidR="00F16A8A">
              <w:rPr>
                <w:rFonts w:cs="Times New Roman"/>
                <w:sz w:val="20"/>
                <w:szCs w:val="20"/>
              </w:rPr>
              <w:t>ОДЗ Ямбол</w:t>
            </w:r>
            <w:r w:rsidRPr="002A39B7">
              <w:rPr>
                <w:rFonts w:eastAsia="Calibri" w:cs="Times New Roman"/>
                <w:sz w:val="20"/>
                <w:szCs w:val="20"/>
              </w:rPr>
              <w:t xml:space="preserve"> и неточна представа за нивото на административното обслужване.</w:t>
            </w:r>
            <w:r w:rsidRPr="002A39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C3057" w:rsidRPr="002A39B7" w:rsidRDefault="00AC3057" w:rsidP="00AC3057">
            <w:pPr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2A39B7" w:rsidRDefault="001D3491" w:rsidP="00AC305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</w:t>
            </w:r>
            <w:r w:rsidR="00AC3057" w:rsidRPr="002A39B7">
              <w:rPr>
                <w:rFonts w:eastAsia="Calibri" w:cs="Times New Roman"/>
                <w:sz w:val="20"/>
                <w:szCs w:val="20"/>
              </w:rPr>
              <w:t>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2A39B7" w:rsidRDefault="00AC3057" w:rsidP="00AC3057">
            <w:pPr>
              <w:rPr>
                <w:rFonts w:eastAsia="Calibri" w:cs="Times New Roman"/>
                <w:sz w:val="20"/>
                <w:szCs w:val="20"/>
              </w:rPr>
            </w:pPr>
            <w:r w:rsidRPr="002A39B7">
              <w:rPr>
                <w:rFonts w:eastAsia="Calibri" w:cs="Times New Roman"/>
                <w:sz w:val="20"/>
                <w:szCs w:val="20"/>
              </w:rPr>
              <w:t xml:space="preserve"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 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2A39B7" w:rsidRDefault="00F16A8A" w:rsidP="00AC3057">
            <w:pPr>
              <w:rPr>
                <w:rFonts w:eastAsia="Calibri" w:cs="Times New Roman"/>
                <w:sz w:val="20"/>
                <w:szCs w:val="20"/>
              </w:rPr>
            </w:pPr>
            <w:r w:rsidRPr="0097649D">
              <w:rPr>
                <w:sz w:val="20"/>
                <w:szCs w:val="20"/>
              </w:rPr>
              <w:t>Директор Д “АПФСДЧР“</w:t>
            </w:r>
          </w:p>
        </w:tc>
        <w:tc>
          <w:tcPr>
            <w:tcW w:w="1528" w:type="dxa"/>
            <w:gridSpan w:val="4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358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043">
        <w:trPr>
          <w:trHeight w:val="1417"/>
        </w:trPr>
        <w:tc>
          <w:tcPr>
            <w:tcW w:w="1815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Поетапно внедряване на възможности за предоставянето на административни услуги по електронен път: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възможност за подаване на заявления за админ. услуги по електронен път, подписани с валиден електронен подпис;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 създаване на възможност за предоставянето на админ. услуги по електронен път.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Организационна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DF6873" w:rsidRDefault="00DF6873" w:rsidP="00AC3057">
            <w:pPr>
              <w:rPr>
                <w:rFonts w:cs="Times New Roman"/>
                <w:sz w:val="20"/>
                <w:szCs w:val="20"/>
              </w:rPr>
            </w:pPr>
            <w:r w:rsidRPr="00DF6873">
              <w:rPr>
                <w:sz w:val="20"/>
                <w:szCs w:val="20"/>
              </w:rPr>
              <w:t>Главен секретар Главен директор ГД“АР“ Директор Д “АПФСДЧР“</w:t>
            </w:r>
          </w:p>
        </w:tc>
        <w:tc>
          <w:tcPr>
            <w:tcW w:w="1503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4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140BD8">
        <w:trPr>
          <w:trHeight w:val="416"/>
        </w:trPr>
        <w:tc>
          <w:tcPr>
            <w:tcW w:w="1815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2A39B7" w:rsidRDefault="001D3491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AC3057" w:rsidRPr="002A39B7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</w:t>
            </w:r>
            <w:r w:rsidR="00DF6873">
              <w:rPr>
                <w:rFonts w:cs="Times New Roman"/>
                <w:sz w:val="20"/>
                <w:szCs w:val="20"/>
              </w:rPr>
              <w:t xml:space="preserve">ор Д „АПФСДЧР“ </w:t>
            </w:r>
          </w:p>
        </w:tc>
        <w:tc>
          <w:tcPr>
            <w:tcW w:w="1528" w:type="dxa"/>
            <w:gridSpan w:val="4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549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AC3057" w:rsidRPr="00684C5B" w:rsidTr="00EB73C6">
        <w:trPr>
          <w:trHeight w:val="557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245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AC3057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1701" w:type="dxa"/>
            <w:shd w:val="clear" w:color="auto" w:fill="FFFFFF" w:themeFill="background1"/>
          </w:tcPr>
          <w:p w:rsidR="00AC5081" w:rsidRPr="001D3491" w:rsidRDefault="00AC3057" w:rsidP="00AC5081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t xml:space="preserve">Постоянен диалог с браншовите организации чрез провеждане на Консултативни съвети </w:t>
            </w:r>
          </w:p>
          <w:p w:rsidR="00AC3057" w:rsidRPr="001D3491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1D3491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D3491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1D3491" w:rsidRDefault="00AC5081" w:rsidP="00AC3057">
            <w:pPr>
              <w:rPr>
                <w:rFonts w:cs="Times New Roman"/>
                <w:sz w:val="20"/>
                <w:szCs w:val="20"/>
              </w:rPr>
            </w:pPr>
            <w:r w:rsidRPr="00DF6873">
              <w:rPr>
                <w:sz w:val="20"/>
                <w:szCs w:val="20"/>
              </w:rPr>
              <w:t xml:space="preserve">Главен директор ГД“АР“ </w:t>
            </w:r>
          </w:p>
          <w:p w:rsidR="00AC3057" w:rsidRPr="001D3491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Риск от неосведоменост на заинтересованите лица, както и липса на публичност и прозрачност от</w:t>
            </w:r>
            <w:r w:rsidR="00AC5081">
              <w:rPr>
                <w:rFonts w:cs="Times New Roman"/>
                <w:sz w:val="20"/>
                <w:szCs w:val="20"/>
              </w:rPr>
              <w:t>носно дейността на ОДЗ-Ямбол и ОСЗ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</w:t>
            </w:r>
            <w:r w:rsidR="00AC5081">
              <w:rPr>
                <w:rFonts w:cs="Times New Roman"/>
                <w:sz w:val="20"/>
                <w:szCs w:val="20"/>
              </w:rPr>
              <w:t xml:space="preserve"> официалния сайт на ОДЗ Ямбол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1D3491" w:rsidRDefault="00AC5081" w:rsidP="00AC3057">
            <w:pPr>
              <w:rPr>
                <w:rFonts w:cs="Times New Roman"/>
                <w:sz w:val="20"/>
                <w:szCs w:val="20"/>
              </w:rPr>
            </w:pPr>
            <w:r w:rsidRPr="00DF6873">
              <w:rPr>
                <w:sz w:val="20"/>
                <w:szCs w:val="20"/>
              </w:rPr>
              <w:t>Главен секретар</w:t>
            </w:r>
            <w:r>
              <w:rPr>
                <w:sz w:val="20"/>
                <w:szCs w:val="20"/>
              </w:rPr>
              <w:t>;</w:t>
            </w:r>
            <w:r w:rsidRPr="00DF6873">
              <w:rPr>
                <w:sz w:val="20"/>
                <w:szCs w:val="20"/>
              </w:rPr>
              <w:t xml:space="preserve"> Главен директор ГД“АР“</w:t>
            </w:r>
            <w:r>
              <w:rPr>
                <w:sz w:val="20"/>
                <w:szCs w:val="20"/>
              </w:rPr>
              <w:t>;</w:t>
            </w:r>
            <w:r w:rsidRPr="00DF6873">
              <w:rPr>
                <w:sz w:val="20"/>
                <w:szCs w:val="20"/>
              </w:rPr>
              <w:t xml:space="preserve"> Директор Д “АПФСДЧР“</w:t>
            </w:r>
          </w:p>
          <w:p w:rsidR="00AC3057" w:rsidRPr="001D3491" w:rsidRDefault="00AC3057" w:rsidP="00B85A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57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AC3057" w:rsidRPr="00684C5B" w:rsidTr="00783A01">
        <w:trPr>
          <w:trHeight w:val="843"/>
        </w:trPr>
        <w:tc>
          <w:tcPr>
            <w:tcW w:w="3534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5" w:type="dxa"/>
            <w:gridSpan w:val="7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36" w:type="dxa"/>
            <w:gridSpan w:val="1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78154F" w:rsidRPr="00684C5B" w:rsidTr="00661663">
        <w:trPr>
          <w:trHeight w:val="697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2A39B7" w:rsidRDefault="0078154F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2A39B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Провеждане на обучения в областта на противодействие на корупцията и конфликт на интереси във връзка с прилагане на Закона за противодействие на корупцията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2A39B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Повишаване квалификацията на служителите в областта на противодействие на корупцията и конфликт на интереси</w:t>
            </w:r>
          </w:p>
        </w:tc>
      </w:tr>
      <w:tr w:rsidR="0078154F" w:rsidRPr="00684C5B" w:rsidTr="00783A01">
        <w:trPr>
          <w:trHeight w:val="425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2A39B7" w:rsidRDefault="0078154F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2A39B7" w:rsidRDefault="0078154F" w:rsidP="0078154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Провеждане на обучения във връзка с прилагане на Закона за защита на лицата, подаващи сигнали или публично оповестяващи информация за нарушения и Наредба № 1 от 27 юли 2023 г. за воденето на регистъра на сигналите по чл. 18 от Закона за защита на лицата, подаващи сигнали или публично оповестяващи информация за нарушения и за препращане на вътрешни сигнали към Комисията за защита на личните данни 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2A39B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Правилно прилагане на разпоредбите на Закона във връзка със създаване на канал за вътрешно подаване на сигнали, регистриране на сигнали и предприемане на съответните действия по тях.</w:t>
            </w:r>
          </w:p>
        </w:tc>
      </w:tr>
      <w:tr w:rsidR="00AC3057" w:rsidRPr="00684C5B" w:rsidTr="00B101C4">
        <w:trPr>
          <w:trHeight w:val="850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AC3057" w:rsidRPr="00684C5B" w:rsidTr="00882DD0">
        <w:trPr>
          <w:trHeight w:val="992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99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359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0" w:type="dxa"/>
            <w:gridSpan w:val="10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724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AC3057" w:rsidRPr="00684C5B" w:rsidTr="00882DD0">
        <w:trPr>
          <w:trHeight w:val="713"/>
        </w:trPr>
        <w:tc>
          <w:tcPr>
            <w:tcW w:w="4003" w:type="dxa"/>
            <w:gridSpan w:val="4"/>
            <w:shd w:val="clear" w:color="auto" w:fill="FFFFFF" w:themeFill="background1"/>
          </w:tcPr>
          <w:p w:rsidR="00446D50" w:rsidRDefault="00446D50" w:rsidP="00446D50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ОД "Земеделие" Ямбол, ул.</w:t>
            </w:r>
            <w:r>
              <w:rPr>
                <w:sz w:val="20"/>
                <w:szCs w:val="20"/>
              </w:rPr>
              <w:t>“</w:t>
            </w:r>
            <w:r w:rsidRPr="008E042C">
              <w:rPr>
                <w:sz w:val="20"/>
                <w:szCs w:val="20"/>
              </w:rPr>
              <w:t>Жорж Папазов</w:t>
            </w:r>
            <w:r>
              <w:rPr>
                <w:sz w:val="20"/>
                <w:szCs w:val="20"/>
              </w:rPr>
              <w:t>“ №</w:t>
            </w:r>
            <w:r w:rsidRPr="008E042C">
              <w:rPr>
                <w:sz w:val="20"/>
                <w:szCs w:val="20"/>
              </w:rPr>
              <w:t>9, ет.5  п.к.8600</w:t>
            </w:r>
          </w:p>
          <w:p w:rsidR="00446D50" w:rsidRDefault="00446D50" w:rsidP="00446D50">
            <w:pPr>
              <w:rPr>
                <w:sz w:val="20"/>
                <w:szCs w:val="20"/>
              </w:rPr>
            </w:pPr>
          </w:p>
          <w:p w:rsidR="00446D50" w:rsidRDefault="00446D50" w:rsidP="00446D50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>ОСЗ "Тунджа- Ямбол", гр.Ямбол, пл.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>Освобождение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 xml:space="preserve"> №1</w:t>
            </w:r>
          </w:p>
          <w:p w:rsidR="00446D50" w:rsidRDefault="00446D50" w:rsidP="00446D50">
            <w:pPr>
              <w:rPr>
                <w:sz w:val="20"/>
                <w:szCs w:val="20"/>
              </w:rPr>
            </w:pPr>
          </w:p>
          <w:p w:rsidR="00446D50" w:rsidRDefault="00446D50" w:rsidP="0044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 "</w:t>
            </w:r>
            <w:r w:rsidRPr="00CB6116">
              <w:rPr>
                <w:sz w:val="20"/>
                <w:szCs w:val="20"/>
              </w:rPr>
              <w:t>Стралджа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гр. Стралджа,</w:t>
            </w:r>
            <w:r w:rsidRPr="00CB6116">
              <w:rPr>
                <w:sz w:val="20"/>
                <w:szCs w:val="20"/>
              </w:rPr>
              <w:t xml:space="preserve"> бул.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>Хемус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 xml:space="preserve"> №10</w:t>
            </w:r>
          </w:p>
          <w:p w:rsidR="00446D50" w:rsidRDefault="00446D50" w:rsidP="00446D50">
            <w:pPr>
              <w:rPr>
                <w:sz w:val="20"/>
                <w:szCs w:val="20"/>
              </w:rPr>
            </w:pPr>
          </w:p>
          <w:p w:rsidR="00446D50" w:rsidRDefault="00446D50" w:rsidP="00446D50">
            <w:pPr>
              <w:rPr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>ОСЗ"Елхово",  ул.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>Търговска</w:t>
            </w:r>
            <w:r>
              <w:rPr>
                <w:sz w:val="20"/>
                <w:szCs w:val="20"/>
              </w:rPr>
              <w:t xml:space="preserve">“ </w:t>
            </w:r>
            <w:r w:rsidRPr="00CB6116">
              <w:rPr>
                <w:sz w:val="20"/>
                <w:szCs w:val="20"/>
              </w:rPr>
              <w:t xml:space="preserve">№63 </w:t>
            </w:r>
          </w:p>
          <w:p w:rsidR="00446D50" w:rsidRDefault="00446D50" w:rsidP="00446D50">
            <w:pPr>
              <w:rPr>
                <w:sz w:val="20"/>
                <w:szCs w:val="20"/>
              </w:rPr>
            </w:pPr>
          </w:p>
          <w:p w:rsidR="00AC3057" w:rsidRPr="002A39B7" w:rsidRDefault="00446D50" w:rsidP="00446D50">
            <w:pPr>
              <w:rPr>
                <w:rFonts w:cs="Times New Roman"/>
                <w:sz w:val="20"/>
                <w:szCs w:val="20"/>
              </w:rPr>
            </w:pPr>
            <w:r w:rsidRPr="00CB6116">
              <w:rPr>
                <w:sz w:val="20"/>
                <w:szCs w:val="20"/>
              </w:rPr>
              <w:t>ОСЗ"Болярово" –  Ямбол,  ул.</w:t>
            </w:r>
            <w:r>
              <w:rPr>
                <w:sz w:val="20"/>
                <w:szCs w:val="20"/>
              </w:rPr>
              <w:t>“</w:t>
            </w:r>
            <w:r w:rsidRPr="00CB6116">
              <w:rPr>
                <w:sz w:val="20"/>
                <w:szCs w:val="20"/>
              </w:rPr>
              <w:t>Девети септември</w:t>
            </w:r>
            <w:r>
              <w:rPr>
                <w:sz w:val="20"/>
                <w:szCs w:val="20"/>
              </w:rPr>
              <w:t xml:space="preserve">“ </w:t>
            </w:r>
            <w:r w:rsidRPr="00CB6116">
              <w:rPr>
                <w:sz w:val="20"/>
                <w:szCs w:val="20"/>
              </w:rPr>
              <w:t>№3</w:t>
            </w: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446D50" w:rsidRPr="00CB23DC" w:rsidRDefault="00446D50" w:rsidP="0044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ODZG_Yambol@mzh.government.</w:t>
            </w:r>
            <w:r w:rsidRPr="00CB6116">
              <w:rPr>
                <w:sz w:val="20"/>
                <w:szCs w:val="20"/>
                <w:lang w:val="en-US"/>
              </w:rPr>
              <w:t>bg</w:t>
            </w: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oszg_tundja@abv.bg</w:t>
            </w: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oszgstraldja@abv.bg</w:t>
            </w: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  <w:r w:rsidRPr="00CB6116">
              <w:rPr>
                <w:sz w:val="20"/>
                <w:szCs w:val="20"/>
                <w:lang w:val="en-US"/>
              </w:rPr>
              <w:t>oszg_elhovo@abv.bg</w:t>
            </w:r>
          </w:p>
          <w:p w:rsidR="00446D50" w:rsidRPr="00CB6116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AC3057" w:rsidRDefault="007D0850" w:rsidP="00446D50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446D50" w:rsidRPr="000E4A7D">
                <w:rPr>
                  <w:rStyle w:val="af"/>
                  <w:sz w:val="20"/>
                  <w:szCs w:val="20"/>
                  <w:lang w:val="en-US"/>
                </w:rPr>
                <w:t>oszg_boliarovo@abv.bg</w:t>
              </w:r>
            </w:hyperlink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Default="00446D50" w:rsidP="00446D50">
            <w:pPr>
              <w:rPr>
                <w:sz w:val="20"/>
                <w:szCs w:val="20"/>
                <w:lang w:val="en-US"/>
              </w:rPr>
            </w:pPr>
          </w:p>
          <w:p w:rsidR="00446D50" w:rsidRPr="00446D50" w:rsidRDefault="00446D50" w:rsidP="00446D50">
            <w:pPr>
              <w:rPr>
                <w:rFonts w:cs="Times New Roman"/>
                <w:sz w:val="20"/>
                <w:szCs w:val="20"/>
              </w:rPr>
            </w:pPr>
            <w:r w:rsidRPr="00446D50">
              <w:rPr>
                <w:sz w:val="20"/>
                <w:szCs w:val="20"/>
              </w:rPr>
              <w:lastRenderedPageBreak/>
              <w:t>Чрез Системата за сигурно електронно връчване https://edelivery.egov.bg</w:t>
            </w: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AC3057" w:rsidRPr="002A39B7" w:rsidRDefault="00446D50" w:rsidP="00AC3057">
            <w:pPr>
              <w:rPr>
                <w:rFonts w:cs="Times New Roman"/>
                <w:sz w:val="20"/>
                <w:szCs w:val="20"/>
              </w:rPr>
            </w:pPr>
            <w:r w:rsidRPr="008E042C">
              <w:rPr>
                <w:sz w:val="20"/>
                <w:szCs w:val="20"/>
                <w:lang w:val="en-US"/>
              </w:rPr>
              <w:lastRenderedPageBreak/>
              <w:t>(046) 661 854 ; 661 863</w:t>
            </w:r>
          </w:p>
        </w:tc>
        <w:tc>
          <w:tcPr>
            <w:tcW w:w="4190" w:type="dxa"/>
            <w:gridSpan w:val="10"/>
            <w:shd w:val="clear" w:color="auto" w:fill="FFFFFF" w:themeFill="background1"/>
          </w:tcPr>
          <w:p w:rsidR="00446D50" w:rsidRPr="008E042C" w:rsidRDefault="00446D50" w:rsidP="00446D50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В ОДЗ Ямбол и всичк</w:t>
            </w:r>
            <w:r>
              <w:rPr>
                <w:sz w:val="20"/>
                <w:szCs w:val="20"/>
              </w:rPr>
              <w:t xml:space="preserve">и ОСЗ  Тунджа, Елхово, </w:t>
            </w:r>
            <w:r w:rsidRPr="008E042C">
              <w:rPr>
                <w:sz w:val="20"/>
                <w:szCs w:val="20"/>
              </w:rPr>
              <w:t>Болярово и Стралджа са поставени кутии за подаване на сигнали.</w:t>
            </w:r>
          </w:p>
          <w:p w:rsidR="00446D50" w:rsidRPr="008E042C" w:rsidRDefault="00446D50" w:rsidP="00446D50">
            <w:pPr>
              <w:rPr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Освен това  сигнали могат да се подават и по обявените телефони и на е-mail адреса на ОДЗ или по пощата на обявените адреси.</w:t>
            </w:r>
          </w:p>
          <w:p w:rsidR="00AC3057" w:rsidRPr="002A39B7" w:rsidRDefault="00446D50" w:rsidP="00446D50">
            <w:pPr>
              <w:rPr>
                <w:rFonts w:cs="Times New Roman"/>
                <w:sz w:val="20"/>
                <w:szCs w:val="20"/>
              </w:rPr>
            </w:pPr>
            <w:r w:rsidRPr="008E042C">
              <w:rPr>
                <w:sz w:val="20"/>
                <w:szCs w:val="20"/>
              </w:rPr>
              <w:t>Създадена е рубрика на интернет страницата на дирекцията, откъдето всяко едно лице, което счете</w:t>
            </w:r>
            <w:r>
              <w:rPr>
                <w:sz w:val="20"/>
                <w:szCs w:val="20"/>
              </w:rPr>
              <w:t>,</w:t>
            </w:r>
            <w:r w:rsidRPr="008E042C">
              <w:rPr>
                <w:sz w:val="20"/>
                <w:szCs w:val="20"/>
              </w:rPr>
              <w:t xml:space="preserve"> че по някакъв начин от действие или бездействие са засегнати неговите права и законни интереси, може да подаде сигнал.</w:t>
            </w: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408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Мерки за защита на лицата, подали сигнали</w:t>
            </w:r>
          </w:p>
        </w:tc>
      </w:tr>
      <w:tr w:rsidR="00AC3057" w:rsidRPr="00684C5B" w:rsidTr="00783A01">
        <w:trPr>
          <w:trHeight w:val="1275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472" w:type="dxa"/>
            <w:gridSpan w:val="19"/>
            <w:shd w:val="clear" w:color="auto" w:fill="FFFFFF" w:themeFill="background1"/>
          </w:tcPr>
          <w:p w:rsidR="00AC3057" w:rsidRDefault="000C2ACF" w:rsidP="0041448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Изготвяне на Вътрешни правила, с които  се регламентира редът за вътрешното подаване на сигнали </w:t>
            </w:r>
            <w:r w:rsidR="0041448F" w:rsidRPr="002A39B7">
              <w:rPr>
                <w:rFonts w:cs="Times New Roman"/>
                <w:sz w:val="20"/>
                <w:szCs w:val="20"/>
              </w:rPr>
              <w:t>по реда на</w:t>
            </w:r>
            <w:r w:rsidRPr="002A39B7">
              <w:rPr>
                <w:rFonts w:cs="Times New Roman"/>
                <w:sz w:val="20"/>
                <w:szCs w:val="20"/>
              </w:rPr>
              <w:t xml:space="preserve"> Закона за защита на лицата, подаващи сигнали или публично опове</w:t>
            </w:r>
            <w:r w:rsidR="00BA36B2">
              <w:rPr>
                <w:rFonts w:cs="Times New Roman"/>
                <w:sz w:val="20"/>
                <w:szCs w:val="20"/>
              </w:rPr>
              <w:t>стяващи информация за нарушения</w:t>
            </w:r>
            <w:r w:rsidRPr="002A39B7">
              <w:rPr>
                <w:rFonts w:cs="Times New Roman"/>
                <w:sz w:val="20"/>
                <w:szCs w:val="20"/>
              </w:rPr>
              <w:t>, за последващите действия по тях, както и въвеждането на мерки за защита на тези лица.</w:t>
            </w:r>
          </w:p>
          <w:p w:rsidR="00BA36B2" w:rsidRPr="002A39B7" w:rsidRDefault="00BA36B2" w:rsidP="00BA36B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658D" w:rsidRPr="00684C5B" w:rsidRDefault="00F1658D">
      <w:pPr>
        <w:rPr>
          <w:rFonts w:cs="Times New Roman"/>
          <w:sz w:val="20"/>
          <w:szCs w:val="20"/>
        </w:rPr>
      </w:pPr>
    </w:p>
    <w:sectPr w:rsidR="00F1658D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50" w:rsidRDefault="007D0850" w:rsidP="00EB15B6">
      <w:pPr>
        <w:spacing w:line="240" w:lineRule="auto"/>
      </w:pPr>
      <w:r>
        <w:separator/>
      </w:r>
    </w:p>
  </w:endnote>
  <w:endnote w:type="continuationSeparator" w:id="0">
    <w:p w:rsidR="007D0850" w:rsidRDefault="007D0850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50" w:rsidRDefault="007D0850" w:rsidP="00EB15B6">
      <w:pPr>
        <w:spacing w:line="240" w:lineRule="auto"/>
      </w:pPr>
      <w:r>
        <w:separator/>
      </w:r>
    </w:p>
  </w:footnote>
  <w:footnote w:type="continuationSeparator" w:id="0">
    <w:p w:rsidR="007D0850" w:rsidRDefault="007D0850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1E7"/>
    <w:multiLevelType w:val="hybridMultilevel"/>
    <w:tmpl w:val="88C8C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2AF"/>
    <w:multiLevelType w:val="hybridMultilevel"/>
    <w:tmpl w:val="EC8A2B7A"/>
    <w:lvl w:ilvl="0" w:tplc="A62A2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B1D00"/>
    <w:multiLevelType w:val="hybridMultilevel"/>
    <w:tmpl w:val="6BC291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1B25"/>
    <w:multiLevelType w:val="hybridMultilevel"/>
    <w:tmpl w:val="204C8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40377"/>
    <w:multiLevelType w:val="hybridMultilevel"/>
    <w:tmpl w:val="DA080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480D"/>
    <w:rsid w:val="0001179E"/>
    <w:rsid w:val="00013F7B"/>
    <w:rsid w:val="00015DD5"/>
    <w:rsid w:val="0003075A"/>
    <w:rsid w:val="00031A25"/>
    <w:rsid w:val="0003204E"/>
    <w:rsid w:val="00036129"/>
    <w:rsid w:val="000371E8"/>
    <w:rsid w:val="000556BA"/>
    <w:rsid w:val="00061F9E"/>
    <w:rsid w:val="000678DE"/>
    <w:rsid w:val="00072E1B"/>
    <w:rsid w:val="00073E73"/>
    <w:rsid w:val="00076F4B"/>
    <w:rsid w:val="00077F50"/>
    <w:rsid w:val="0008125A"/>
    <w:rsid w:val="00081945"/>
    <w:rsid w:val="0009558A"/>
    <w:rsid w:val="000A4592"/>
    <w:rsid w:val="000A526A"/>
    <w:rsid w:val="000A6319"/>
    <w:rsid w:val="000A7322"/>
    <w:rsid w:val="000B4517"/>
    <w:rsid w:val="000C268F"/>
    <w:rsid w:val="000C2ACF"/>
    <w:rsid w:val="000C3C31"/>
    <w:rsid w:val="000C4C80"/>
    <w:rsid w:val="000D013E"/>
    <w:rsid w:val="000D5E54"/>
    <w:rsid w:val="001012B8"/>
    <w:rsid w:val="001015D8"/>
    <w:rsid w:val="00107D46"/>
    <w:rsid w:val="00120B0C"/>
    <w:rsid w:val="00123769"/>
    <w:rsid w:val="001254BC"/>
    <w:rsid w:val="001325FD"/>
    <w:rsid w:val="00132C33"/>
    <w:rsid w:val="00140BD8"/>
    <w:rsid w:val="00142289"/>
    <w:rsid w:val="001478A1"/>
    <w:rsid w:val="00151126"/>
    <w:rsid w:val="00152568"/>
    <w:rsid w:val="001609FD"/>
    <w:rsid w:val="0017285D"/>
    <w:rsid w:val="00173D11"/>
    <w:rsid w:val="0018496A"/>
    <w:rsid w:val="00184F10"/>
    <w:rsid w:val="0019258B"/>
    <w:rsid w:val="00192F34"/>
    <w:rsid w:val="00194EB4"/>
    <w:rsid w:val="001B4246"/>
    <w:rsid w:val="001C405D"/>
    <w:rsid w:val="001C48C9"/>
    <w:rsid w:val="001D3491"/>
    <w:rsid w:val="001D665F"/>
    <w:rsid w:val="001E1C63"/>
    <w:rsid w:val="001F3678"/>
    <w:rsid w:val="001F78E5"/>
    <w:rsid w:val="002032D4"/>
    <w:rsid w:val="0020511B"/>
    <w:rsid w:val="002136D7"/>
    <w:rsid w:val="00213B05"/>
    <w:rsid w:val="00230752"/>
    <w:rsid w:val="00237CE5"/>
    <w:rsid w:val="00237DE7"/>
    <w:rsid w:val="00241DF6"/>
    <w:rsid w:val="0025012A"/>
    <w:rsid w:val="002635A9"/>
    <w:rsid w:val="00282B4C"/>
    <w:rsid w:val="00290E91"/>
    <w:rsid w:val="002927CC"/>
    <w:rsid w:val="00297B19"/>
    <w:rsid w:val="002A0BDA"/>
    <w:rsid w:val="002A374F"/>
    <w:rsid w:val="002A39B7"/>
    <w:rsid w:val="002C068D"/>
    <w:rsid w:val="002D1FFA"/>
    <w:rsid w:val="002D3500"/>
    <w:rsid w:val="002D3AFC"/>
    <w:rsid w:val="002D4DD7"/>
    <w:rsid w:val="002E41DB"/>
    <w:rsid w:val="002F1C8B"/>
    <w:rsid w:val="002F3FBC"/>
    <w:rsid w:val="002F6E92"/>
    <w:rsid w:val="002F7D1A"/>
    <w:rsid w:val="00300499"/>
    <w:rsid w:val="003065B0"/>
    <w:rsid w:val="00320258"/>
    <w:rsid w:val="0032061E"/>
    <w:rsid w:val="0032418F"/>
    <w:rsid w:val="003313B1"/>
    <w:rsid w:val="00335D01"/>
    <w:rsid w:val="00340E3C"/>
    <w:rsid w:val="00354B94"/>
    <w:rsid w:val="00371760"/>
    <w:rsid w:val="0037541F"/>
    <w:rsid w:val="0037616F"/>
    <w:rsid w:val="003778AD"/>
    <w:rsid w:val="00380C28"/>
    <w:rsid w:val="003907BD"/>
    <w:rsid w:val="003A29B6"/>
    <w:rsid w:val="003D3775"/>
    <w:rsid w:val="003D57D9"/>
    <w:rsid w:val="003D6B16"/>
    <w:rsid w:val="003E2D7C"/>
    <w:rsid w:val="003E63F9"/>
    <w:rsid w:val="004018C5"/>
    <w:rsid w:val="004125A2"/>
    <w:rsid w:val="0041448F"/>
    <w:rsid w:val="00424786"/>
    <w:rsid w:val="00426307"/>
    <w:rsid w:val="004364BD"/>
    <w:rsid w:val="00441F70"/>
    <w:rsid w:val="0044672D"/>
    <w:rsid w:val="00446D50"/>
    <w:rsid w:val="00447D6D"/>
    <w:rsid w:val="004550BC"/>
    <w:rsid w:val="00456243"/>
    <w:rsid w:val="00467EA1"/>
    <w:rsid w:val="00480ECE"/>
    <w:rsid w:val="00491F76"/>
    <w:rsid w:val="00496BFE"/>
    <w:rsid w:val="004A0225"/>
    <w:rsid w:val="004A0EB3"/>
    <w:rsid w:val="004C1401"/>
    <w:rsid w:val="004C6D2F"/>
    <w:rsid w:val="004D6E12"/>
    <w:rsid w:val="004E5779"/>
    <w:rsid w:val="005021BE"/>
    <w:rsid w:val="00502C5B"/>
    <w:rsid w:val="0050389D"/>
    <w:rsid w:val="00510723"/>
    <w:rsid w:val="00511254"/>
    <w:rsid w:val="00512E69"/>
    <w:rsid w:val="005134D4"/>
    <w:rsid w:val="00514667"/>
    <w:rsid w:val="0051772B"/>
    <w:rsid w:val="00522009"/>
    <w:rsid w:val="005230AC"/>
    <w:rsid w:val="00531371"/>
    <w:rsid w:val="0054336D"/>
    <w:rsid w:val="00563FAE"/>
    <w:rsid w:val="00567213"/>
    <w:rsid w:val="00567D33"/>
    <w:rsid w:val="00590768"/>
    <w:rsid w:val="00595F3D"/>
    <w:rsid w:val="005A339A"/>
    <w:rsid w:val="005A6EF8"/>
    <w:rsid w:val="005C058F"/>
    <w:rsid w:val="005C425C"/>
    <w:rsid w:val="005C69E0"/>
    <w:rsid w:val="005D52BB"/>
    <w:rsid w:val="005D6BD0"/>
    <w:rsid w:val="005E28C4"/>
    <w:rsid w:val="00602887"/>
    <w:rsid w:val="006074D5"/>
    <w:rsid w:val="00620FA7"/>
    <w:rsid w:val="0062322B"/>
    <w:rsid w:val="006255FC"/>
    <w:rsid w:val="00627670"/>
    <w:rsid w:val="0063571D"/>
    <w:rsid w:val="00635ADD"/>
    <w:rsid w:val="00640075"/>
    <w:rsid w:val="006407EC"/>
    <w:rsid w:val="006510FB"/>
    <w:rsid w:val="00655F8C"/>
    <w:rsid w:val="00661663"/>
    <w:rsid w:val="006747F4"/>
    <w:rsid w:val="00677646"/>
    <w:rsid w:val="00684C5B"/>
    <w:rsid w:val="00687959"/>
    <w:rsid w:val="00690D09"/>
    <w:rsid w:val="0069159C"/>
    <w:rsid w:val="006922DF"/>
    <w:rsid w:val="0069341F"/>
    <w:rsid w:val="006A0D08"/>
    <w:rsid w:val="006A160A"/>
    <w:rsid w:val="006B0D51"/>
    <w:rsid w:val="006B4EEC"/>
    <w:rsid w:val="006C67DF"/>
    <w:rsid w:val="006D2AA9"/>
    <w:rsid w:val="006E3554"/>
    <w:rsid w:val="006E58B7"/>
    <w:rsid w:val="00701D39"/>
    <w:rsid w:val="00701DB7"/>
    <w:rsid w:val="007038A7"/>
    <w:rsid w:val="00715744"/>
    <w:rsid w:val="00732514"/>
    <w:rsid w:val="00733F48"/>
    <w:rsid w:val="00737921"/>
    <w:rsid w:val="007470F8"/>
    <w:rsid w:val="00776DDA"/>
    <w:rsid w:val="0078154F"/>
    <w:rsid w:val="007820F2"/>
    <w:rsid w:val="007834AF"/>
    <w:rsid w:val="00783A01"/>
    <w:rsid w:val="007A43DC"/>
    <w:rsid w:val="007A68A7"/>
    <w:rsid w:val="007A7622"/>
    <w:rsid w:val="007A7DD8"/>
    <w:rsid w:val="007B46B3"/>
    <w:rsid w:val="007C272D"/>
    <w:rsid w:val="007D0850"/>
    <w:rsid w:val="007D2B42"/>
    <w:rsid w:val="007D50D8"/>
    <w:rsid w:val="007D697F"/>
    <w:rsid w:val="007F26B7"/>
    <w:rsid w:val="007F4739"/>
    <w:rsid w:val="0081636A"/>
    <w:rsid w:val="008202C3"/>
    <w:rsid w:val="00820339"/>
    <w:rsid w:val="00821DEE"/>
    <w:rsid w:val="008315F6"/>
    <w:rsid w:val="00832749"/>
    <w:rsid w:val="00840F20"/>
    <w:rsid w:val="0084397F"/>
    <w:rsid w:val="008467D2"/>
    <w:rsid w:val="00846891"/>
    <w:rsid w:val="0085629C"/>
    <w:rsid w:val="0087256F"/>
    <w:rsid w:val="00874327"/>
    <w:rsid w:val="00882DD0"/>
    <w:rsid w:val="008836CA"/>
    <w:rsid w:val="00897BC7"/>
    <w:rsid w:val="008A3E3C"/>
    <w:rsid w:val="008A50A6"/>
    <w:rsid w:val="008A5C21"/>
    <w:rsid w:val="008A6BC6"/>
    <w:rsid w:val="008B7B1B"/>
    <w:rsid w:val="008C7659"/>
    <w:rsid w:val="00901D4B"/>
    <w:rsid w:val="00901DD9"/>
    <w:rsid w:val="0090461C"/>
    <w:rsid w:val="00905C8C"/>
    <w:rsid w:val="00930DF5"/>
    <w:rsid w:val="009333FC"/>
    <w:rsid w:val="00943FEB"/>
    <w:rsid w:val="00952E09"/>
    <w:rsid w:val="0096183A"/>
    <w:rsid w:val="009618AC"/>
    <w:rsid w:val="009670DB"/>
    <w:rsid w:val="009703AE"/>
    <w:rsid w:val="009757FB"/>
    <w:rsid w:val="0097649D"/>
    <w:rsid w:val="00976E54"/>
    <w:rsid w:val="00980580"/>
    <w:rsid w:val="00981094"/>
    <w:rsid w:val="00984277"/>
    <w:rsid w:val="00997F5F"/>
    <w:rsid w:val="009A46A6"/>
    <w:rsid w:val="009A610B"/>
    <w:rsid w:val="009C2A36"/>
    <w:rsid w:val="009D03E6"/>
    <w:rsid w:val="009D357D"/>
    <w:rsid w:val="009D4ED7"/>
    <w:rsid w:val="009E0755"/>
    <w:rsid w:val="009E6506"/>
    <w:rsid w:val="009F04DC"/>
    <w:rsid w:val="00A21CF1"/>
    <w:rsid w:val="00A24060"/>
    <w:rsid w:val="00A2640B"/>
    <w:rsid w:val="00A44C41"/>
    <w:rsid w:val="00A53CFB"/>
    <w:rsid w:val="00A566C1"/>
    <w:rsid w:val="00A83F22"/>
    <w:rsid w:val="00A913AF"/>
    <w:rsid w:val="00A9429C"/>
    <w:rsid w:val="00A972E4"/>
    <w:rsid w:val="00AA0BA1"/>
    <w:rsid w:val="00AB5B3C"/>
    <w:rsid w:val="00AC3057"/>
    <w:rsid w:val="00AC5081"/>
    <w:rsid w:val="00AD587A"/>
    <w:rsid w:val="00AE3450"/>
    <w:rsid w:val="00AE46FA"/>
    <w:rsid w:val="00AF5D61"/>
    <w:rsid w:val="00B10043"/>
    <w:rsid w:val="00B101C4"/>
    <w:rsid w:val="00B16F73"/>
    <w:rsid w:val="00B722AE"/>
    <w:rsid w:val="00B761ED"/>
    <w:rsid w:val="00B76240"/>
    <w:rsid w:val="00B83B04"/>
    <w:rsid w:val="00B83FEA"/>
    <w:rsid w:val="00B85A48"/>
    <w:rsid w:val="00B92B0D"/>
    <w:rsid w:val="00BA161B"/>
    <w:rsid w:val="00BA218A"/>
    <w:rsid w:val="00BA36B2"/>
    <w:rsid w:val="00BA4171"/>
    <w:rsid w:val="00BB0DA6"/>
    <w:rsid w:val="00BB2ECE"/>
    <w:rsid w:val="00BB7B19"/>
    <w:rsid w:val="00BE5C6B"/>
    <w:rsid w:val="00C02205"/>
    <w:rsid w:val="00C16159"/>
    <w:rsid w:val="00C17B4D"/>
    <w:rsid w:val="00C27A6D"/>
    <w:rsid w:val="00C33DB5"/>
    <w:rsid w:val="00C4749F"/>
    <w:rsid w:val="00C52AF8"/>
    <w:rsid w:val="00C533C1"/>
    <w:rsid w:val="00C5559D"/>
    <w:rsid w:val="00C63236"/>
    <w:rsid w:val="00C64933"/>
    <w:rsid w:val="00C65160"/>
    <w:rsid w:val="00C662F2"/>
    <w:rsid w:val="00C71492"/>
    <w:rsid w:val="00C7426B"/>
    <w:rsid w:val="00CB5CB7"/>
    <w:rsid w:val="00CC5EBE"/>
    <w:rsid w:val="00CC6231"/>
    <w:rsid w:val="00CD79FE"/>
    <w:rsid w:val="00CE67C9"/>
    <w:rsid w:val="00D03F70"/>
    <w:rsid w:val="00D0723D"/>
    <w:rsid w:val="00D1796A"/>
    <w:rsid w:val="00D21C13"/>
    <w:rsid w:val="00D23F40"/>
    <w:rsid w:val="00D261EB"/>
    <w:rsid w:val="00D26DC6"/>
    <w:rsid w:val="00D36DBA"/>
    <w:rsid w:val="00D46F83"/>
    <w:rsid w:val="00D66F53"/>
    <w:rsid w:val="00D74E03"/>
    <w:rsid w:val="00D74FE0"/>
    <w:rsid w:val="00D83558"/>
    <w:rsid w:val="00D97528"/>
    <w:rsid w:val="00DA2592"/>
    <w:rsid w:val="00DB2080"/>
    <w:rsid w:val="00DB37F9"/>
    <w:rsid w:val="00DC6EDD"/>
    <w:rsid w:val="00DC7C14"/>
    <w:rsid w:val="00DD7400"/>
    <w:rsid w:val="00DE3440"/>
    <w:rsid w:val="00DF6873"/>
    <w:rsid w:val="00DF6CEB"/>
    <w:rsid w:val="00E0654C"/>
    <w:rsid w:val="00E06A5C"/>
    <w:rsid w:val="00E21010"/>
    <w:rsid w:val="00E2787F"/>
    <w:rsid w:val="00E34B99"/>
    <w:rsid w:val="00E372B0"/>
    <w:rsid w:val="00E37EA3"/>
    <w:rsid w:val="00E416A2"/>
    <w:rsid w:val="00E47DF7"/>
    <w:rsid w:val="00E51509"/>
    <w:rsid w:val="00E567B6"/>
    <w:rsid w:val="00E61E6D"/>
    <w:rsid w:val="00E67AB7"/>
    <w:rsid w:val="00E77144"/>
    <w:rsid w:val="00E859E3"/>
    <w:rsid w:val="00E93923"/>
    <w:rsid w:val="00E95697"/>
    <w:rsid w:val="00EA0A54"/>
    <w:rsid w:val="00EA7F2C"/>
    <w:rsid w:val="00EB15B6"/>
    <w:rsid w:val="00EB73C6"/>
    <w:rsid w:val="00EC35FB"/>
    <w:rsid w:val="00EC71C7"/>
    <w:rsid w:val="00EC754C"/>
    <w:rsid w:val="00ED54DD"/>
    <w:rsid w:val="00EE0C7C"/>
    <w:rsid w:val="00EE2E6D"/>
    <w:rsid w:val="00EF2EF9"/>
    <w:rsid w:val="00F1064B"/>
    <w:rsid w:val="00F13C0D"/>
    <w:rsid w:val="00F16049"/>
    <w:rsid w:val="00F1658D"/>
    <w:rsid w:val="00F16A8A"/>
    <w:rsid w:val="00F2403E"/>
    <w:rsid w:val="00F26F04"/>
    <w:rsid w:val="00F30A46"/>
    <w:rsid w:val="00F34E2B"/>
    <w:rsid w:val="00F45B47"/>
    <w:rsid w:val="00F550FD"/>
    <w:rsid w:val="00F574D7"/>
    <w:rsid w:val="00F61446"/>
    <w:rsid w:val="00F66B51"/>
    <w:rsid w:val="00F7203A"/>
    <w:rsid w:val="00F75DCD"/>
    <w:rsid w:val="00F82AA5"/>
    <w:rsid w:val="00F84CD8"/>
    <w:rsid w:val="00F85F43"/>
    <w:rsid w:val="00F91B16"/>
    <w:rsid w:val="00F93649"/>
    <w:rsid w:val="00FA2853"/>
    <w:rsid w:val="00FA4A16"/>
    <w:rsid w:val="00FB710A"/>
    <w:rsid w:val="00FC4621"/>
    <w:rsid w:val="00FC67F8"/>
    <w:rsid w:val="00FC7536"/>
    <w:rsid w:val="00FD63F3"/>
    <w:rsid w:val="00FE1CA7"/>
    <w:rsid w:val="00FE31C2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E3FA9"/>
  <w15:docId w15:val="{DD0CF2CC-8BE3-44EE-A3DD-675A28DC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zg_boliar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EEC-9FE5-4373-9FD7-4B8B7562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иванова</cp:lastModifiedBy>
  <cp:revision>12</cp:revision>
  <cp:lastPrinted>2018-01-29T16:32:00Z</cp:lastPrinted>
  <dcterms:created xsi:type="dcterms:W3CDTF">2024-03-28T07:17:00Z</dcterms:created>
  <dcterms:modified xsi:type="dcterms:W3CDTF">2024-04-01T10:33:00Z</dcterms:modified>
</cp:coreProperties>
</file>