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Pr="00CB042B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0F4AF3">
        <w:rPr>
          <w:rFonts w:ascii="Verdana" w:hAnsi="Verdana" w:cs="Times New Roman"/>
          <w:b/>
          <w:bCs/>
          <w:sz w:val="22"/>
          <w:szCs w:val="22"/>
        </w:rPr>
        <w:t>325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0F4AF3">
        <w:rPr>
          <w:rFonts w:ascii="Verdana" w:hAnsi="Verdana" w:cs="Times New Roman"/>
          <w:b/>
          <w:bCs/>
          <w:sz w:val="22"/>
          <w:szCs w:val="22"/>
        </w:rPr>
        <w:t>0</w:t>
      </w:r>
      <w:r w:rsidR="000F4AF3">
        <w:rPr>
          <w:rFonts w:ascii="Verdana" w:hAnsi="Verdana" w:cs="Times New Roman"/>
          <w:b/>
          <w:bCs/>
          <w:sz w:val="22"/>
          <w:szCs w:val="22"/>
          <w:lang w:val="bg-BG"/>
        </w:rPr>
        <w:t>9</w:t>
      </w:r>
      <w:r w:rsidR="006C3B41"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201A3C">
        <w:rPr>
          <w:rFonts w:ascii="Verdana" w:hAnsi="Verdana" w:cs="Times New Roman"/>
          <w:lang w:val="bg-BG"/>
        </w:rPr>
        <w:t>В</w:t>
      </w:r>
      <w:r w:rsidR="000F4AF3">
        <w:rPr>
          <w:rFonts w:ascii="Verdana" w:hAnsi="Verdana" w:cs="Times New Roman"/>
          <w:lang w:val="bg-BG"/>
        </w:rPr>
        <w:t>еслец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D75C0A" w:rsidRDefault="00D75C0A" w:rsidP="00B16FBD">
      <w:pPr>
        <w:jc w:val="both"/>
        <w:rPr>
          <w:rFonts w:ascii="Verdana" w:hAnsi="Verdana" w:cs="Times New Roman"/>
          <w:lang w:val="bg-BG"/>
        </w:rPr>
      </w:pPr>
    </w:p>
    <w:p w:rsidR="000F4AF3" w:rsidRDefault="000F4AF3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765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078"/>
        <w:gridCol w:w="1276"/>
        <w:gridCol w:w="1275"/>
      </w:tblGrid>
      <w:tr w:rsidR="00D04CB4" w:rsidRPr="00D04CB4" w:rsidTr="00D04CB4">
        <w:trPr>
          <w:cantSplit/>
          <w:trHeight w:val="227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04CB4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04CB4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04CB4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D04CB4">
              <w:rPr>
                <w:rFonts w:ascii="Verdana" w:hAnsi="Verdana"/>
                <w:b/>
                <w:bCs/>
              </w:rPr>
              <w:t>№</w:t>
            </w:r>
            <w:r w:rsidRPr="00D04CB4"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04CB4">
              <w:rPr>
                <w:rFonts w:ascii="Verdana" w:hAnsi="Verdana"/>
                <w:b/>
                <w:bCs/>
                <w:lang w:val="bg-BG"/>
              </w:rPr>
              <w:t>Средна рентна вноска</w:t>
            </w:r>
            <w:r w:rsidRPr="00D04CB4">
              <w:rPr>
                <w:rFonts w:ascii="Verdana" w:hAnsi="Verdana"/>
                <w:b/>
                <w:bCs/>
              </w:rPr>
              <w:t xml:space="preserve"> </w:t>
            </w:r>
            <w:r w:rsidRPr="00D04CB4">
              <w:rPr>
                <w:rFonts w:ascii="Verdana" w:hAnsi="Verdana"/>
                <w:b/>
                <w:bCs/>
                <w:lang w:val="bg-BG"/>
              </w:rPr>
              <w:t>лв/</w:t>
            </w:r>
            <w:r w:rsidRPr="00D04CB4">
              <w:rPr>
                <w:rFonts w:ascii="Verdana" w:hAnsi="Verdana"/>
                <w:b/>
                <w:bCs/>
              </w:rPr>
              <w:t>дка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04CB4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63.147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10.78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1.82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60.76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56.35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60.75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20.74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58.52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1.78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14.94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58.28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2.37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51.48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30.66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55.67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16.20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54.38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30.37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56.25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25.16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19.08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56.39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5.95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56.28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4.22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56.37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1.62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5.35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1.70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1.48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1.35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30.42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59.65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70.09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59.58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8.39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59.68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5.36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58.43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23.93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58.41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12.78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58.40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5.37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58.56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2.60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44.17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27.24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lastRenderedPageBreak/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88.80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51.16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59.77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1.87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15.90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33.43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62.41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33.35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36.36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33.50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35.60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33.51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35.48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16.62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33.53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7.59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20.27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33.21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6.64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56.24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21.70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2.65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1.73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22.24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22.00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60.51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81.89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61.39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14.08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22.42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7.00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69.69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21.05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17.78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12.05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6.67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6.57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ТИНЧЕВ 89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22.29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Default="00D04CB4" w:rsidP="00D04CB4">
            <w:pPr>
              <w:jc w:val="right"/>
            </w:pPr>
            <w:r w:rsidRPr="0033323F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D04CB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</w:rPr>
              <w:t>65.70</w:t>
            </w:r>
          </w:p>
        </w:tc>
      </w:tr>
      <w:tr w:rsidR="00D04CB4" w:rsidRPr="00D04CB4" w:rsidTr="00D04CB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rPr>
                <w:rFonts w:ascii="Verdana" w:hAnsi="Verdana"/>
              </w:rPr>
            </w:pPr>
            <w:r w:rsidRPr="00D04CB4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CB4" w:rsidRPr="00D04CB4" w:rsidRDefault="00D04CB4" w:rsidP="00207185">
            <w:pPr>
              <w:spacing w:line="227" w:lineRule="exact"/>
              <w:jc w:val="right"/>
              <w:rPr>
                <w:rFonts w:ascii="Verdana" w:hAnsi="Verdana"/>
              </w:rPr>
            </w:pPr>
            <w:r w:rsidRPr="00D04CB4">
              <w:rPr>
                <w:rFonts w:ascii="Verdana" w:hAnsi="Verdana"/>
                <w:b/>
                <w:bCs/>
              </w:rPr>
              <w:t>1267.22</w:t>
            </w:r>
          </w:p>
        </w:tc>
      </w:tr>
    </w:tbl>
    <w:p w:rsidR="000F4AF3" w:rsidRPr="00E5154B" w:rsidRDefault="000F4AF3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201A3C">
        <w:rPr>
          <w:rFonts w:ascii="Verdana" w:hAnsi="Verdana" w:cs="Times New Roman"/>
          <w:lang w:val="bg-BG"/>
        </w:rPr>
        <w:t>В</w:t>
      </w:r>
      <w:r w:rsidR="000F4AF3">
        <w:rPr>
          <w:rFonts w:ascii="Verdana" w:hAnsi="Verdana" w:cs="Times New Roman"/>
          <w:lang w:val="bg-BG"/>
        </w:rPr>
        <w:t>еслец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lastRenderedPageBreak/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E5154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A606AE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P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E5154B" w:rsidRDefault="00076289" w:rsidP="00076289">
      <w:pPr>
        <w:rPr>
          <w:rFonts w:ascii="Verdana" w:hAnsi="Verdana"/>
          <w:lang w:val="bg-BG"/>
        </w:rPr>
      </w:pPr>
    </w:p>
    <w:sectPr w:rsidR="00076289" w:rsidRPr="00E5154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14" w:rsidRDefault="00B86914">
      <w:r>
        <w:separator/>
      </w:r>
    </w:p>
  </w:endnote>
  <w:endnote w:type="continuationSeparator" w:id="0">
    <w:p w:rsidR="00B86914" w:rsidRDefault="00B8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606AE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606AE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606AE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606AE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14" w:rsidRDefault="00B86914">
      <w:r>
        <w:separator/>
      </w:r>
    </w:p>
  </w:footnote>
  <w:footnote w:type="continuationSeparator" w:id="0">
    <w:p w:rsidR="00B86914" w:rsidRDefault="00B8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B8691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25C86"/>
    <w:rsid w:val="000726C4"/>
    <w:rsid w:val="000729E0"/>
    <w:rsid w:val="000744BF"/>
    <w:rsid w:val="00076289"/>
    <w:rsid w:val="00080286"/>
    <w:rsid w:val="00085656"/>
    <w:rsid w:val="000A0573"/>
    <w:rsid w:val="000A7C9D"/>
    <w:rsid w:val="000B0738"/>
    <w:rsid w:val="000C351C"/>
    <w:rsid w:val="000D00EB"/>
    <w:rsid w:val="000D44D1"/>
    <w:rsid w:val="000D6126"/>
    <w:rsid w:val="000E76DB"/>
    <w:rsid w:val="000F4AF3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1A3C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4851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3250D"/>
    <w:rsid w:val="006350C8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3B80"/>
    <w:rsid w:val="007D32BD"/>
    <w:rsid w:val="007E01BE"/>
    <w:rsid w:val="007E034F"/>
    <w:rsid w:val="007E4327"/>
    <w:rsid w:val="007E56CC"/>
    <w:rsid w:val="00800B5F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606AE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3762"/>
    <w:rsid w:val="00B311D6"/>
    <w:rsid w:val="00B43EF4"/>
    <w:rsid w:val="00B50C5F"/>
    <w:rsid w:val="00B7644F"/>
    <w:rsid w:val="00B86914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9B91072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19</cp:revision>
  <cp:lastPrinted>2023-11-09T13:11:00Z</cp:lastPrinted>
  <dcterms:created xsi:type="dcterms:W3CDTF">2022-11-24T08:50:00Z</dcterms:created>
  <dcterms:modified xsi:type="dcterms:W3CDTF">2023-11-09T13:15:00Z</dcterms:modified>
</cp:coreProperties>
</file>