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2F51">
      <w:pPr>
        <w:spacing w:before="100" w:beforeAutospacing="1" w:after="100" w:afterAutospacing="1" w:line="240" w:lineRule="auto"/>
        <w:jc w:val="center"/>
        <w:textAlignment w:val="center"/>
        <w:divId w:val="1357806893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ПРАВИЛНИК ЗА ПРИЛАГАНЕ НА ЗАКОНА ЗА ОПАЗВАНЕ НА СЕЛСКОСТОПАНСКОТО ИМУЩЕСТВО</w:t>
      </w:r>
    </w:p>
    <w:p w:rsidR="00000000" w:rsidRDefault="00AA2F51">
      <w:pPr>
        <w:spacing w:after="0" w:line="240" w:lineRule="auto"/>
        <w:ind w:firstLine="1155"/>
        <w:textAlignment w:val="center"/>
        <w:divId w:val="13495262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Приет с ПМС № 57 от 27.09.1985 г.</w:t>
      </w:r>
    </w:p>
    <w:p w:rsidR="00000000" w:rsidRDefault="00AA2F51">
      <w:pPr>
        <w:spacing w:before="100" w:beforeAutospacing="1" w:after="100" w:afterAutospacing="1" w:line="240" w:lineRule="auto"/>
        <w:ind w:firstLine="1155"/>
        <w:jc w:val="both"/>
        <w:textAlignment w:val="center"/>
        <w:divId w:val="6654011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бр.90 от 22 ноември 1985г.</w:t>
      </w:r>
    </w:p>
    <w:p w:rsidR="00000000" w:rsidRDefault="00AA2F51">
      <w:pPr>
        <w:spacing w:before="100" w:beforeAutospacing="1" w:after="100" w:afterAutospacing="1" w:line="240" w:lineRule="auto"/>
        <w:jc w:val="center"/>
        <w:textAlignment w:val="center"/>
        <w:divId w:val="66043063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ПРАВА И ЗАДЪЛЖЕНИЯ НА ОРГАНИТЕ И ДЛЪЖНОСТНИТЕ ЛИЦА ПО ОПАЗВАНЕ НА СЕЛСКОСТОПАНСКОТО ИМУЩЕСТВО 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884826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Опазването на селскостопанското имущество е основна задача на съответните държавни органи и обществени организации.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327977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Органи по опазване на селскостопанското имущество са Националният аграрно-промишлен съюз, народните съвети, окръжните аграрн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о-промишлени съюзи и селскостопанските организации.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739477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Централният съвет на Националния аграрно-промишлен съюз: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930315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дава задължителни указания по опазването на селскостопанското имущество, както и за осъществяване на координация в дейността на съответни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органи и организации;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585461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организира проверки във връзка с опазването на селскостопанското имущество и прилагането на закона, като взема мерки за предотвратяване на нарушенията и налагане на установените административни наказания на виновните лица;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861426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зпределя средствата от специалната сметка по чл. 17а от закона за разходи, свързани с подобряване опазването на селскостопанското имущество, и за стимулиране на проявили се лица.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546067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Изпълнителните комитети на окръжните народни съвети организират, ръков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и контролират дейността на изпълнителните комитети на общинските (районните) народни съвети и на селскостопанските организации по опазването на селскостопанското имущество на територията на окръга. За целта: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147279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организират и осигуряват правилното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агане на закона;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525942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упражняват превантивен контрол по прилагането на закона, подобряването на ефективността от дейността на съответните органи и организации по опазването на селскостопанското имущество в окръга и отчитането на тази дейност съгласно чл. 17б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закона;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51525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извършват проверки със съдействието на окръжните аграрно-промишлени съюзи, съответните органи на общинските народни съвети и селскостопанските организации във връзка със завзетите без законно основание или предоставени в нарушение на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ред обществени селскостопански земи, постройки и друго недвижимо селскостопанско имущество;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604769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вземат мерки за принудително изземване на незаконно завладените земи, за определяне на обезщетения и налагане административни наказания на виновните лица;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268342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търсят отговорност от длъжностните лица, които не упражняват правата си или не изпълняват задълженията си съгласно закона и този правилник;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875888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ръководят повишаването на квалификацията на длъжностните лица с оглед цялостното и точно изпълнение на разпоред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бите на закона и на този правилник.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322201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Окръжните аграрно-промишлени съюзи: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369838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ръководят и контролират правилното организиране на дейността по опазването на селскостопанското имущество и на полската охрана от селскостопанските организации;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568879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димост организират със съдействието на селскостопанските организации, специализираните държавни органи и обществените организации временни или постоянни моторизирани групи за опазване на селскостопанското имущество;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243684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съдействуват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окръжния народен съве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или организират проверки във връзка със завзетите без законно основание или предоставени в нарушение на установения ред обществени селскостопански земи, постройки или друго недвижимо селскостопанско имущество, като уведомяват изпълнителния комитет на 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ъжния народен съвет за принудителното им изземване и за определяне на обезщетенията и за налагане административни наказания на виновните лица;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802161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контролират дейността по прилагането на закона от селскостопанските организации и длъжностните лица и изследва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ефективността на дейността по опазването на селскостопанското имущество. Вземат мерки за отстраняване на нарушенията;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289045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търсят отговорност от съответната организация и длъжностно лице за неизпълнение или за неточно изпълнение на задълженията по закона;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480341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определят районите за опазване, когато две или повече селскостопански организации със своя полска охрана стопанисват земи или друго селскостопанско имущество в землището на една селищна система или населено място;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968000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съдействуват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общинските народни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ъвети и кметствата за прилагането на закона;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682513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организират повишаване квалификацията на съответните длъжностни лица от селскостопанските организации по прилагане на закона.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150635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Селскостопанските организации организират опазването на селскостопанското имущество, което се стопанисва от тях, както и от други организации без своя полска охрана и от гражданите като: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28910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организират охраната на селскостопанското имущество по 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ал. 1 от закона;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635765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осигуряват необходимите материално-технически средства и съоръжения за опазването на селскостопанското имущество, както и материални и технически средства на полските пазачи, доброволните сътрудници, ведомствената милиция и длъжностн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лица, необходими за изпълнение на задълженията по опазване на селскостопанското имущество;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2025597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вземат мерки за премахване на причините и условията за повреди, унищожаване, разваляне,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неприбиране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разпиляване, кражби и присвояване на селскостопанско имущ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614289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при необходимост организират със съдействието на специализираните държавни органи и обществените организации временни или постоянни моторизирани групи за опазване на селскостопанското имущество;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099790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организират повишаване квалификацията на длъжнос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тните лица, които упражняват права и имат задължения по опазването, и на полските пазачи по прилагането на закона.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628927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Трудовите колективи на поделенията на селскостопанските организации организират опазването на повереното им за стопанисване селскостоп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 имущество по чл. 2, ал. 1 от закона, като: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783259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вземат необходимите мерки за опазване на стопанисваното селскостопанско имущество от неправомерни увреждания и посегателства от членовете на колектива или от други поделения, лица и организации;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72288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полската охрана за изпълнението на правата и задълженията й по опазването на селскостопанското имущество;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698700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организират разясняването на задълженията на лицата, които оказват помощ при извършването на селскостопански работи, по въпросите за опаз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ване на селскостопанското имущество.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232667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Полските пазачи се назначават и уволняват със заповед на ръководителя на селскостопанската организация след съгласуване със съответното управление на Министерството на вътрешните работи.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563251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Длъжността полски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пазач не може да се заема от лица, осъждани за престъпление против социалистическата собственост, социалистическото стопанство и личната собственост, болни или трудоустроени, които не са годни да изпълняват задълженията, посочени в закона.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377775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оволни сътрудници по опазване на селскостопанското имущество могат да бъдат работници и служители от селскостопанската организация, от други органи и организации и пенсионери.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301347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Доброволните сътрудници се утвърждават от председателя на изпълнителния 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 на общинския народен съвет по предложение на кметствата, доброволните отряди на трудещите се и от органите на Министерството на вътрешните работи.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64132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Моторизирани групи за опазване на селскостопанското имущество по чл. 13 от закона се създават със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заповед на ръководителя на селскостопанската организация, съгласувана с териториалното поделение на Министерството на вътрешните работи и със съответния народен съвет.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435948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11. На полските пазачи, доброволните сътрудници и моторизираните групи не могат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възлагат задачи, които не са свързани с опазването на селскостопанското имущество.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806312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Униформеното облекло и видът на служебните карти на полските пазачи се определят от председателя на Централния съвет на Националния аграрно-промишлен съюз и 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търа на вътрешните работи.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923486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На полските пазачи се зачисляват оръжие и боеприпаси от съответните поделения на Министерството на вътрешните работи.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239951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 въпросите, които не са уредени със Закона за опазване на селскостопанското имущество и с 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мативните актове за неговото прилагане, се прилагат съответните разпоредби за ведомствената охрана и за пазачи на учреждения и предприятия.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21534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14. (1) Организациите, които нямат своя полска охрана, и гражданите, които притежават, ползуват или имат право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оперативно управление върху селскостопанско имущество, плащат годишна такса по чл. 16, ал. 1 и чл. 17 от Закона за опазване на това имущество.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611548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Такси по предходната алинея не се заплащат за селскостопанските земи, които са предоставени съобразно разпо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редбите за личното стопанство на работниците, служителите и пенсионерите в селскостопанските организации.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135414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Споровете между селскостопанската организация и другите организации във връзка със събраните такси се решават по общия исков ред.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270161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В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учаите по чл. 17 от закона организациите и гражданите в срок от 30 януари внасят в съответната селскостопанска организация средствата за издръжка на пазачите или преди назначаването им. В средствата за издръжка се включват трудовото възнаграждение, отчисле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нията за държавното обществено осигуряване и другите заплащания по Кодекса на труда, разходите за униформено облекло, оръжие и др., необходими за изпълнение на служебните им задължения.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765803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Размерът на разходите за един полски пазач по чл. 17 от закона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 от селскостопанските организации съгласувано с изпълнителния комитет на общинския (районния) народен съвет.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929726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полският пазач се назначава за част от годината, предварително се внася съответната част от трудовото възнаграждение за държавно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обществено осигуряване и други разходи по Кодекса на труда, както и пълният размер на разходите за униформеното облекло, оръжие и др.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668560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16. Средствата, които не са изразходвани през съответната година, се връщат на вносителите или с тяхно съгласие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прехвърлят за следващата година.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767967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В разрешението по ал. 2 и 3 на чл. 32 от закона се вписват обемът и видът на дървесината.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934194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18. (1) От събраните глоби по Закона за опазване на селскостопанското имущество 70 на сто се внасят в специалната сметка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Националния аграрно-промишлен съюз, образувана съгласно чл. 17а от закона, и 30 на сто се внасят в бюджета на общинския народен съвет, в чийто район е извършено нарушението.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982584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Средствата, събрани в сметката по предходната алинея, се изразходват при условия и по ред, определени с наредба, издадена от председателя на Централния съвет на Националния аграрно-промишлен съюз.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260606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19. (1) Глобата, събрана с квитанция при условията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чл. 45, ал. 1 от закона, се внася съответно в специалната сметка на Националния аграрно-промишлен съюз и в бюджета на общинския народен съвет съгласно предходния член от организацията, в която работи лицето, което е събрало глобата, а когато то е добров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 сътрудник, от съответната селскостопанска организация.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67930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Събраното обезщетение при условията на чл. 45, ал. 1 от закона се изплаща на увредената организация или лице от съответната организация по предходната алинея.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446850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Селскостопанските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 се отчитат за опазването на имуществото пред населението на събрания по населени места в района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селскостопанската организация и на събрания на трудовите им колективи по поделения.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885946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Направените на събранията предложения се разглеждат по реда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Закона за предложенията, сигналите, жалбите и молбите.</w:t>
      </w:r>
    </w:p>
    <w:p w:rsidR="00000000" w:rsidRDefault="00AA2F51">
      <w:pPr>
        <w:spacing w:before="100" w:beforeAutospacing="1" w:after="100" w:afterAutospacing="1" w:line="240" w:lineRule="auto"/>
        <w:jc w:val="center"/>
        <w:textAlignment w:val="center"/>
        <w:divId w:val="179320710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УСТАНОВЯВАНЕ НА ВРЕДИ И ОБЕЗЩЕТЯВАНЕ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757335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В регистъра по чл. 19 от закона за вписване на актове се отбелязват датата на вписването, кратко съдържание на акта, оценка на вредите,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кратко съдържание на наказателното постановление или заповедта, движението на преписката, реализирането на отговорностите и др.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217427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Председателят на Централния съвет на Националния аграрно-промишлен съюз определя образци на акта, специалния регистър, прот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окола за оценка на вреди, наказателното постановление и заповедта за определяне на обезщетения по чл. 25, ал. 2 и чл. 26 от закона.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2047246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(1) Оценката на вредите се извършва от лице с необходимата специалност, образование и квалификация и което не е заин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тересувано от оценката на вредите.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294598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извършената работа на лицето по предходната алинея се определя възнаграждение в размер, предвиден за съдебните експерти.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372192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Вреди на пчелни семейства, причинени при извършени селскостопански работи, се обезщет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яват само ако пчелните семейства са вписани в специалния регистър по чл. 11 от Закона за пчеларството на общинския (районния) народен съвет или кметството по местонахождението им по време на причиняване на вредата и от собственика са взети необходимите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за опазването им.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215389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В случаите по чл. 21 от закона минималният размер на глобата и обезщетението се определят от председателя на изпълнителния комитет на общинския (районния) народен съвет или от кмета.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435705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(1) Вредите на селскостопанското 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 по чл. 22, ал. 1, т. 5 от закона се оценяват, както следва: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971200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вреди на сгради: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86579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унищожаване на сграда - по цени, определени с Наредбата за цените на недвижимите имоти (ДВ, бр. 99 от 1979 г.);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9572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частични повреди - средствата, необходими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възстановяването им;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97354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вреди на машини,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противоерозионни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мелиоративни и други движими и недвижими съоръжения, агрегати, прикачен инвентар и резервни части за тях: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56507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унищожаване - по действителната им стойност;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139496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частично увреждане - средстват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необходими за възстановяването им;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304940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вреди от кражба или присвояване на продукция, животни, птици, риби, машина, агрегат, резервна част, селскостопански инвентар или друго движимо селскостопанско имущество - по цени на дребно;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216621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увреждане на обработва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земя, естествени и изкуствени ливади и пасища - разходите, необходими за възстановяване на плодородието.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59960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Размерът на обезщетението за вреди от завземането или предоставянето без законно основание на държавни или обществени обработваеми земи, естест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вени и изкуствени пасища или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неосвобождаването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след покана се определя съгласно тарифата по чл. 22, ал. 3 от закона.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991133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Покана по предходната алинея и по чл. 40, ал. 1, т. 6 от закона се прави, когато е отпаднало законното основание да се държи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ползува обществена селскостопанска земя, селскостопанска постройка или друго недвижимо обществено селскостопанско имущество.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779831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При наличие на специален закон или указ обезщетенията се определят в размерите, установени от тях.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36200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27. Когато държавен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е причинил вреди на селскостопанско имущество чрез правомерни служебни действия и разпореждания, но увреденият също е допринесъл за настъпването на вредите, той може да търси обезщетение по общия исков ред.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68722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Не се считат за причинени от неизве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 причинител съгласно чл. 6, ал. 1 и 2 от закона вредите, причинени от работници, служители, военнослужещи и други при или по повод на възложена им работа от учреждение, организация или военно поделение, когато не е установено кой измежду тях е причинил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вредата. Отговорност за тези вреди по реда на закона носи съответното учреждение, организация или военно поделение.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103568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Не се считат за причинени при изпълнение на договорни задължения вредите, отговорността за които не е установена с договора.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614870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случаите, когато селскостопанското имущество е застраховано и Държавният застрахователен институт е изплатил застрахователно обезщетение за причинените вреди, увреденият има право да търси по реда на закона или по общия ред разликата между действително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нанесените вреди и полученото обезщетение.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394353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Административнонаказващият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мотивира писмено прекратяването на преписката по съставен акт в предвидените от закона случаи или я изпраща на прокурора, ако деянието представлява престъпление.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169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(1) Заповедите за определяне на обезщетенията по чл. 25, ал. 2 и чл. 26, ал. 1 от закона се връчват по реда на чл. 58 от Закона за административните нарушения и наказания.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872570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Влезлите в сила наказателни постановления, решения на съда и заповеди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определяне на обезщетения по закона се изпълняват по реда на чл. 78 и чл. 79, ал. 2 от Закона за административните нарушения и наказания.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544610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е постановено отнемане на вещи, животни или превозни средства в полза на държавата, се прилага чл. 80 от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за административните нарушения и наказания.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950285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Административнонаказващият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изпраща на съответния орган заповедта за обезщетяване и наказателното постановление, което не подлежи на обжалване или не е обжалвано в срок, с бележка, че е влязло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и подлежи на изпълнение.</w:t>
      </w:r>
    </w:p>
    <w:p w:rsidR="00000000" w:rsidRDefault="00AA2F51">
      <w:pPr>
        <w:spacing w:before="100" w:beforeAutospacing="1" w:after="100" w:afterAutospacing="1" w:line="240" w:lineRule="auto"/>
        <w:jc w:val="center"/>
        <w:textAlignment w:val="center"/>
        <w:divId w:val="170879762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ВРЕДИ ОТ ЗАМЪРСЯВАНЕ НА ВЪЗДУХА, ВОДИТЕ И ПОЧВАТА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034384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33. (1) Установяването на вреди на селскостопанско имущество, причинени от замърсяване в резултат на разрешената по установения ред дейност, се извършва от 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сия, назначена от председателя на изпълнителния комитет на окръжния народен съвет, в която се включват специалисти и представители на окръжния народен съвет, окръжния аграрно-промишлен съюз, заинтересуваните организации, Комитета за опазване на природната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среда, Държавния застрахователен институт, научни и инженерно-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внедрителски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744842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 вреди, причинени от разрешена по установения ред производствена дейност, но при неспазване на определената технология,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невземане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предпазни мерки, ако 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са известни, при превишаване капацитета на отделни производствени мощности или при реконструкция и разширяване, в резултат на което замърсяването на околната среда се е засилило, установяването на вредите и обезщетяването им се извършват по реда на 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от закона.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27460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вредите са причинени върху територията на два или повече окръзи, комисията по предходната алинея се назначава от председателя на Комитета за опазване на природната среда.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588974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34. (1) В седемдневен срок от назначаването комисията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вършва преглед на увреденото имущество, определя вида и размера на вредите, причината и причинителя им, като установява и всички други обстоятелства, необходими за изясняване на случая и за определяне на обезщетението, и мерките за предотвратяване или нама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ляване на вредите от замърсяването.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872381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Вредите се установяват: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657491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растениевъдството - в началния момент и при прибирането на реколтата;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228686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животновъдството и другите селскостопански дейности - веднага след настъпването на вредите.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539464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Комисията състав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протокол, в който отбелязва констатираното и изводите. В случай на разногласие в протокола се отбелязват становищата.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342007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Когато увредената организация не е изпълнила указанията на Централния съвет на Националния аграрно-промишлен съюз и на изпълнителния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 на окръжния народен съвет за преустройство на дейността й в застрашения район, размерът на дължимото обезщетение се намалява до размера на вредите, които биха настъпили, и при спазване на тези указания.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437262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Протоколът се одобрява от длъжностното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ице, назначило комисията.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886257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Препис от протокола по предходната алинея се изпраща на организацията или на лицето, причинило вредите, с покана да заплати доброволно в определения срок обезщетението.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2097356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При несъгласие с определеното в протокола обезщетение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когато причинителят откаже доброволно да го изплати, споровете се решават: за причинените вреди на стопанска организация - от държавния арбитраж, а за вредите на граждани - по съдебен ред.</w:t>
      </w:r>
    </w:p>
    <w:p w:rsidR="00000000" w:rsidRDefault="00AA2F51">
      <w:pPr>
        <w:spacing w:before="100" w:beforeAutospacing="1" w:after="100" w:afterAutospacing="1" w:line="240" w:lineRule="auto"/>
        <w:jc w:val="center"/>
        <w:textAlignment w:val="center"/>
        <w:divId w:val="87480706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АДМИНИСТРАТИВНОНАКАЗАТЕЛНИ РАЗПОРЕДБИ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2120755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Вещите, животните и превозните средства, които подлежат на отнемане в полза на държавата съгласно чл. 41а от закона, се задържат от полската охрана и се пазят от селскостопанската организация до влизане в сила на наказателното постановление или решението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съда.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897545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36. Задържаните животни се гледат в подходящи помещения на селскостопанската организация, отделени от помещенията за отглеждане на обществените животни.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33693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37. (1) Задържаните животни съгласно чл. 39, ал. 1 от закона или отнетите в полза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ържавата вещи, животни или превозни средства се продават на държавна или на кооперативна организация или на публична продан.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509216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От получените суми от продажбата на отнети в полза на държавата вещи, животни и превозни средства се удържат разходите за прода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жбата, както и разноските за храненето и гледането на животните през време на задържането им и се превеждат на организацията, която е направила съответните разходи. Остатъкът от сумата се внася в държавния бюджет.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511648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В случаите по чл. 39, ал. 3 от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остатъкът от сумата се превежда по специалната сметка по чл. 16, ал. 2 от закона.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49712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Вещите и превозните средства, които не могат да се продадат по реда на ал. 1, се продават като вторични суровини или се бракуват и се унищожават по установения ред.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581479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(1) Подобренията върху завзета или държана без законно основание държавна или кооперативна селскостопанска земя, ако не подлежат на премахване, се ползуват и стопанисват от селскостопанската организация, която стопанисва земята.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697318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Подобренията по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ходната алинея, ако не са необходими на селскостопанската организация, могат да се отдават от нея под наем на други организации или граждани, за което се сключва писмен договор.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678316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(1) Когато недвижимото имущество по чл. 40, ал. 1, т. 6 от закона бъде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отново завзето от същото лице след изземването му по реда на чл. 16 от Закона за собствеността, както и когато върху обществена селскостопанска земя продължи строеж, спрян съобразно изискванията на чл. 221а от Наказателния кодекс, или е построена сграда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условията на чл. 323а от Наказателния кодекс, преписката се изпраща на прокурора.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965625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случаите по предходната алинея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административнонаказващият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издава заповед за определяне и заплащане на обезщетенията съгласно чл. 25, ал. 2 от закона, а когато преписката е върната от прокурора, налага предвиденото административно наказание с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казателно постановление.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956062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40. (1) Когато от водоем на селскостопанска организация е уловено по-голямо количество риба от разрешеното с цел противозаконно да се присвои, се прилага чл. 41 от закона, ако стойността на превишеното количество е до 50 лв.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70714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стойността на превишеното количество по предходната алинея е над 50 лв., преписката се изпраща на прокурора.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403454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41. (1) Органът по опазване на селскостопанското имущество съставя акт и го регистрира по реда на закона, когато разкрие: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303853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кражба,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рисвояване или вещно укривателство на селскостопанско имущество със стойност над 50 лв. или че при извършването им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използувано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моторно превозно средство;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363359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деяние, което е извършено при условията на чл. 41, ал. 3 от закона;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1309825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деяние по чл. 218а от Нака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зателния кодекс, когато горивото е на стойност над 10 лв.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1031302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Председателят на изпълнителния комитет на общинския (районния) народен съвет или кметът изпраща на прокурора акта по предходната алинея заедно с оценки на вредите, определени по реда на чл. 20,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ал. 1 или ал. 5 от закона, а когато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използувано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моторно превозно средство, уведомява и съответния орган на Министерството на вътрешните работи за прилагане на чл. 42а и чл. 45, ал. 3 от Закона за движението по пътищата.</w:t>
      </w:r>
    </w:p>
    <w:p w:rsidR="00000000" w:rsidRDefault="00AA2F51">
      <w:pPr>
        <w:spacing w:after="0" w:line="240" w:lineRule="auto"/>
        <w:ind w:firstLine="1155"/>
        <w:jc w:val="both"/>
        <w:textAlignment w:val="center"/>
        <w:divId w:val="872958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42. (1) Ръководителят на държа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 орган, държавна, кооперативна, обществена или друга организация, в която работи или членува нарушителят, след като получи влязло в сила наказателно постановление съгласно чл. 47 от закона, незабавно уведомява колектива и съобщава това писмено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стративнонаказващия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орган.</w:t>
      </w:r>
    </w:p>
    <w:p w:rsidR="00000000" w:rsidRDefault="00AA2F51">
      <w:pPr>
        <w:spacing w:after="120" w:line="240" w:lineRule="auto"/>
        <w:ind w:firstLine="1155"/>
        <w:jc w:val="both"/>
        <w:textAlignment w:val="center"/>
        <w:divId w:val="296036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Съответният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административнонаказващ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контролира спазването на задължението по предходната алинея.</w:t>
      </w:r>
    </w:p>
    <w:p w:rsidR="00000000" w:rsidRDefault="00AA2F51">
      <w:pPr>
        <w:spacing w:before="100" w:beforeAutospacing="1" w:after="240" w:line="240" w:lineRule="auto"/>
        <w:jc w:val="center"/>
        <w:textAlignment w:val="center"/>
        <w:divId w:val="13627778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AA2F51">
      <w:pPr>
        <w:spacing w:after="150" w:line="240" w:lineRule="auto"/>
        <w:ind w:firstLine="1155"/>
        <w:jc w:val="both"/>
        <w:textAlignment w:val="center"/>
        <w:divId w:val="1448426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"Нощно време" по смисъла на чл. 41, ал. 2 от закона е времето от 21,00 часа до 6,00 часа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периода от 1 април до 30 септември и от 19,00 часа до 6,00 часа през периода от 1 октомври до 31 март.</w:t>
      </w:r>
    </w:p>
    <w:p w:rsidR="00000000" w:rsidRDefault="00AA2F51">
      <w:pPr>
        <w:spacing w:after="150" w:line="240" w:lineRule="auto"/>
        <w:ind w:firstLine="1155"/>
        <w:jc w:val="both"/>
        <w:textAlignment w:val="center"/>
        <w:divId w:val="1368719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Полски пазачи по смисъла на чл. 9, ал. 1, т. 1 от закона са всички пазачи на селскостопанското имущество на селскостопанската организация.</w:t>
      </w:r>
    </w:p>
    <w:p w:rsidR="00000000" w:rsidRDefault="00AA2F51">
      <w:pPr>
        <w:spacing w:after="150" w:line="240" w:lineRule="auto"/>
        <w:ind w:firstLine="1155"/>
        <w:jc w:val="both"/>
        <w:textAlignment w:val="center"/>
        <w:divId w:val="148057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амърсяване на въздуха, водите и почвата като резултат на разрешена по установения ред дейност по смисъла на чл. 30, ал. 1 от закона има тогава, когато стопанска организация или нейно поделение, пуснато в експлоатация преди 30 април 1964 г. или с разрешение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24 от Закона за опазване на въздуха, водите и почвата от замърсяване, при своята нормална дейност и при спазване на установената технология отделя замърсител във въздуха, водите или почвата над допустимата концентрация по санитарните норми и по 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мите за категоризиране на водните течения и басейни, ако не са известни технологии или съоръжения за пречистване на този замърсител.</w:t>
      </w:r>
    </w:p>
    <w:p w:rsidR="00000000" w:rsidRDefault="00AA2F51">
      <w:pPr>
        <w:spacing w:after="150" w:line="240" w:lineRule="auto"/>
        <w:ind w:firstLine="1155"/>
        <w:jc w:val="both"/>
        <w:textAlignment w:val="center"/>
        <w:divId w:val="2121994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Две или повече нарушения по смисъла на чл. 41б от закона има, когато едно и също лице извърши повече от едно от посоче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в същия член нарушения независимо че не са от един и същ вид.</w:t>
      </w:r>
    </w:p>
    <w:p w:rsidR="00000000" w:rsidRDefault="00AA2F51">
      <w:pPr>
        <w:spacing w:after="150" w:line="240" w:lineRule="auto"/>
        <w:ind w:firstLine="1155"/>
        <w:jc w:val="both"/>
        <w:textAlignment w:val="center"/>
        <w:divId w:val="1134329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По смисъла на чл. 42 се счита, че няма съставен акт, ако този акт не е регистриран и предаден от съставителя за издаване на наказателно постановление или заповед за определяне на обезщ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етение.</w:t>
      </w:r>
    </w:p>
    <w:p w:rsidR="00000000" w:rsidRDefault="00AA2F51">
      <w:pPr>
        <w:spacing w:after="150" w:line="240" w:lineRule="auto"/>
        <w:ind w:firstLine="1155"/>
        <w:jc w:val="both"/>
        <w:textAlignment w:val="center"/>
        <w:divId w:val="591007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"Немоторно превозно средство" по смисъла на чл. 41, ал. 2 от закона е и лодката с мотор или без мотор.</w:t>
      </w:r>
    </w:p>
    <w:p w:rsidR="00000000" w:rsidRDefault="00AA2F51">
      <w:pPr>
        <w:spacing w:before="100" w:beforeAutospacing="1" w:after="260" w:line="240" w:lineRule="auto"/>
        <w:jc w:val="center"/>
        <w:textAlignment w:val="center"/>
        <w:divId w:val="134200309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AA2F51">
      <w:pPr>
        <w:spacing w:after="150" w:line="240" w:lineRule="auto"/>
        <w:ind w:firstLine="1155"/>
        <w:jc w:val="both"/>
        <w:textAlignment w:val="center"/>
        <w:divId w:val="1169565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7. Този правилник се издава на основание § 3 от преходните и заключителните разпоредби на Закона за опазване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селскостопанското имущество.</w:t>
      </w:r>
    </w:p>
    <w:p w:rsidR="00AA2F51" w:rsidRDefault="00AA2F51">
      <w:pPr>
        <w:ind w:firstLine="1155"/>
        <w:jc w:val="both"/>
        <w:textAlignment w:val="center"/>
        <w:divId w:val="389619220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8. Изпълнението на правилника се възлага на председателя на Централния съвет на Националния аграрно-промишлен съюз, на министъра на горите и горската промишленост и на министъра на финансите.</w:t>
      </w:r>
    </w:p>
    <w:sectPr w:rsidR="00AA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03"/>
    <w:rsid w:val="00AA2F51"/>
    <w:rsid w:val="00AC49C5"/>
    <w:rsid w:val="00E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C97D0E-41D9-456E-AC74-156753E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4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8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0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0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9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8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5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4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7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8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1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3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3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7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89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5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7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4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2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7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5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07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7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82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8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3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3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HP_Elite_100</dc:creator>
  <cp:lastModifiedBy>HP_Elite_100</cp:lastModifiedBy>
  <cp:revision>2</cp:revision>
  <dcterms:created xsi:type="dcterms:W3CDTF">2021-07-29T07:57:00Z</dcterms:created>
  <dcterms:modified xsi:type="dcterms:W3CDTF">2021-07-29T07:57:00Z</dcterms:modified>
</cp:coreProperties>
</file>