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5A4A30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5A4A30">
        <w:rPr>
          <w:b/>
          <w:sz w:val="32"/>
          <w:lang w:val="bg-BG"/>
        </w:rPr>
        <w:t>РД-04-46/19.02.2024 г.</w:t>
      </w:r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A0405B">
        <w:rPr>
          <w:b/>
          <w:color w:val="000000" w:themeColor="text1"/>
          <w:sz w:val="24"/>
        </w:rPr>
        <w:t>2</w:t>
      </w:r>
      <w:r w:rsidR="007535BB">
        <w:rPr>
          <w:b/>
          <w:color w:val="000000" w:themeColor="text1"/>
          <w:sz w:val="24"/>
          <w:lang w:val="en-US"/>
        </w:rPr>
        <w:t>1</w:t>
      </w:r>
      <w:r w:rsidR="00523C0D" w:rsidRPr="00523C0D">
        <w:rPr>
          <w:b/>
          <w:color w:val="000000" w:themeColor="text1"/>
          <w:sz w:val="24"/>
        </w:rPr>
        <w:t>/</w:t>
      </w:r>
      <w:r w:rsidR="00A0405B">
        <w:rPr>
          <w:b/>
          <w:color w:val="000000" w:themeColor="text1"/>
          <w:sz w:val="24"/>
        </w:rPr>
        <w:t>1</w:t>
      </w:r>
      <w:r w:rsidR="007535BB">
        <w:rPr>
          <w:b/>
          <w:color w:val="000000" w:themeColor="text1"/>
          <w:sz w:val="24"/>
          <w:lang w:val="en-US"/>
        </w:rPr>
        <w:t>3</w:t>
      </w:r>
      <w:bookmarkStart w:id="0" w:name="_GoBack"/>
      <w:bookmarkEnd w:id="0"/>
      <w:r w:rsidR="00523C0D" w:rsidRPr="00523C0D">
        <w:rPr>
          <w:b/>
          <w:color w:val="000000" w:themeColor="text1"/>
          <w:sz w:val="24"/>
        </w:rPr>
        <w:t>.02.2024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</w:t>
      </w:r>
      <w:r w:rsidR="001A2244">
        <w:rPr>
          <w:b/>
          <w:color w:val="000000" w:themeColor="text1"/>
          <w:sz w:val="24"/>
        </w:rPr>
        <w:t>6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523C0D" w:rsidRPr="00523C0D">
        <w:rPr>
          <w:b/>
          <w:color w:val="000000" w:themeColor="text1"/>
          <w:sz w:val="24"/>
        </w:rPr>
        <w:t>0</w:t>
      </w:r>
      <w:r w:rsidR="001A2244">
        <w:rPr>
          <w:b/>
          <w:color w:val="000000" w:themeColor="text1"/>
          <w:sz w:val="24"/>
        </w:rPr>
        <w:t>6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0E546A">
        <w:rPr>
          <w:b/>
          <w:color w:val="000000" w:themeColor="text1"/>
          <w:sz w:val="24"/>
        </w:rPr>
        <w:t>1</w:t>
      </w:r>
      <w:r w:rsidR="001A2244">
        <w:rPr>
          <w:b/>
          <w:color w:val="000000" w:themeColor="text1"/>
          <w:sz w:val="24"/>
        </w:rPr>
        <w:t>1</w:t>
      </w:r>
      <w:r w:rsidR="00523C0D" w:rsidRPr="00523C0D">
        <w:rPr>
          <w:b/>
          <w:color w:val="000000" w:themeColor="text1"/>
          <w:sz w:val="24"/>
        </w:rPr>
        <w:t>.</w:t>
      </w:r>
      <w:r w:rsidR="001A2244">
        <w:rPr>
          <w:b/>
          <w:color w:val="000000" w:themeColor="text1"/>
          <w:sz w:val="24"/>
        </w:rPr>
        <w:t>12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1A2244">
        <w:rPr>
          <w:b/>
          <w:color w:val="000000" w:themeColor="text1"/>
          <w:sz w:val="24"/>
        </w:rPr>
        <w:t>3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8D3A9D" w:rsidRPr="00523C0D">
        <w:rPr>
          <w:b/>
          <w:color w:val="000000" w:themeColor="text1"/>
          <w:sz w:val="24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0069B0" w:rsidRPr="00F74098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1A2244">
        <w:rPr>
          <w:b/>
          <w:color w:val="000000" w:themeColor="text1"/>
          <w:sz w:val="24"/>
        </w:rPr>
        <w:t>Старопатица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1A2244">
        <w:rPr>
          <w:b/>
          <w:color w:val="000000" w:themeColor="text1"/>
          <w:sz w:val="24"/>
        </w:rPr>
        <w:t>69002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1A2244">
        <w:rPr>
          <w:b/>
          <w:color w:val="000000" w:themeColor="text1"/>
          <w:sz w:val="24"/>
        </w:rPr>
        <w:t>Кула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Pr="00A0405B">
        <w:rPr>
          <w:b/>
          <w:color w:val="000000" w:themeColor="text1"/>
          <w:sz w:val="24"/>
        </w:rPr>
        <w:t>с</w:t>
      </w:r>
      <w:r w:rsidR="00346BD5" w:rsidRPr="00A0405B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1A2244">
        <w:rPr>
          <w:b/>
          <w:color w:val="000000" w:themeColor="text1"/>
          <w:sz w:val="24"/>
        </w:rPr>
        <w:t>Старопатица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1A2244">
        <w:rPr>
          <w:b/>
          <w:color w:val="000000" w:themeColor="text1"/>
          <w:sz w:val="24"/>
        </w:rPr>
        <w:t>Кула</w:t>
      </w:r>
      <w:r w:rsidR="00F74098" w:rsidRPr="00F74098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лв</w:t>
            </w:r>
            <w:proofErr w:type="spellEnd"/>
            <w:r>
              <w:rPr>
                <w:b/>
                <w:sz w:val="22"/>
              </w:rPr>
              <w:t>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1A2244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„ММС 68“ ЕООД</w:t>
            </w:r>
          </w:p>
        </w:tc>
        <w:tc>
          <w:tcPr>
            <w:tcW w:w="1580" w:type="dxa"/>
          </w:tcPr>
          <w:p w:rsidR="00C31872" w:rsidRPr="00A0405B" w:rsidRDefault="001A224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196,347</w:t>
            </w:r>
          </w:p>
        </w:tc>
        <w:tc>
          <w:tcPr>
            <w:tcW w:w="961" w:type="dxa"/>
          </w:tcPr>
          <w:p w:rsidR="00C31872" w:rsidRPr="00B524FD" w:rsidRDefault="001A2244" w:rsidP="00DA396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1A224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11 191,75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A0405B" w:rsidRPr="00A0405B" w:rsidRDefault="001A2244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БУЛ ВАС 08 ЕООД</w:t>
            </w:r>
          </w:p>
        </w:tc>
        <w:tc>
          <w:tcPr>
            <w:tcW w:w="1580" w:type="dxa"/>
          </w:tcPr>
          <w:p w:rsidR="00A0405B" w:rsidRPr="00A0405B" w:rsidRDefault="001A2244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30,319</w:t>
            </w:r>
          </w:p>
        </w:tc>
        <w:tc>
          <w:tcPr>
            <w:tcW w:w="961" w:type="dxa"/>
          </w:tcPr>
          <w:p w:rsidR="00A0405B" w:rsidRDefault="00A0405B" w:rsidP="001A2244">
            <w:r>
              <w:rPr>
                <w:sz w:val="22"/>
                <w:lang w:val="bg-BG"/>
              </w:rPr>
              <w:t xml:space="preserve">  </w:t>
            </w:r>
            <w:r w:rsidR="001A2244">
              <w:rPr>
                <w:sz w:val="22"/>
                <w:lang w:val="bg-BG"/>
              </w:rPr>
              <w:t>57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1A2244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1 728,18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A0405B" w:rsidRPr="00A0405B" w:rsidRDefault="001A2244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БУЛКОМ ВИДИН ЕООД</w:t>
            </w:r>
          </w:p>
        </w:tc>
        <w:tc>
          <w:tcPr>
            <w:tcW w:w="1580" w:type="dxa"/>
          </w:tcPr>
          <w:p w:rsidR="00A0405B" w:rsidRPr="00A0405B" w:rsidRDefault="001A2244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217,614</w:t>
            </w:r>
          </w:p>
        </w:tc>
        <w:tc>
          <w:tcPr>
            <w:tcW w:w="961" w:type="dxa"/>
          </w:tcPr>
          <w:p w:rsidR="00A0405B" w:rsidRDefault="00A0405B" w:rsidP="001A2244">
            <w:r>
              <w:rPr>
                <w:sz w:val="22"/>
                <w:lang w:val="bg-BG"/>
              </w:rPr>
              <w:t xml:space="preserve">  </w:t>
            </w:r>
            <w:r w:rsidR="001A2244">
              <w:rPr>
                <w:sz w:val="22"/>
                <w:lang w:val="bg-BG"/>
              </w:rPr>
              <w:t>57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1A2244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12 404,01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A0405B" w:rsidRPr="00A0405B" w:rsidRDefault="001A2244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ЕТ ДЕСИ-СВЕТЛА СИМЕОНОВА</w:t>
            </w:r>
          </w:p>
        </w:tc>
        <w:tc>
          <w:tcPr>
            <w:tcW w:w="1580" w:type="dxa"/>
          </w:tcPr>
          <w:p w:rsidR="00A0405B" w:rsidRPr="00A0405B" w:rsidRDefault="001A2244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143,596</w:t>
            </w:r>
          </w:p>
        </w:tc>
        <w:tc>
          <w:tcPr>
            <w:tcW w:w="961" w:type="dxa"/>
          </w:tcPr>
          <w:p w:rsidR="00A0405B" w:rsidRDefault="00A0405B" w:rsidP="001A2244">
            <w:r>
              <w:rPr>
                <w:sz w:val="22"/>
                <w:lang w:val="bg-BG"/>
              </w:rPr>
              <w:t xml:space="preserve">  </w:t>
            </w:r>
            <w:r w:rsidR="001A2244">
              <w:rPr>
                <w:sz w:val="22"/>
                <w:lang w:val="bg-BG"/>
              </w:rPr>
              <w:t>57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1A2244" w:rsidP="001A2244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8 184,97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</w:tcPr>
          <w:p w:rsidR="00A0405B" w:rsidRPr="00A0405B" w:rsidRDefault="001A2244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ЗЛАТИЯ АГРО ЕООД</w:t>
            </w:r>
          </w:p>
        </w:tc>
        <w:tc>
          <w:tcPr>
            <w:tcW w:w="1580" w:type="dxa"/>
          </w:tcPr>
          <w:p w:rsidR="00A0405B" w:rsidRPr="00A0405B" w:rsidRDefault="001A2244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113,083</w:t>
            </w:r>
          </w:p>
        </w:tc>
        <w:tc>
          <w:tcPr>
            <w:tcW w:w="961" w:type="dxa"/>
          </w:tcPr>
          <w:p w:rsidR="00A0405B" w:rsidRDefault="00A0405B" w:rsidP="001A2244">
            <w:r>
              <w:rPr>
                <w:sz w:val="22"/>
                <w:lang w:val="bg-BG"/>
              </w:rPr>
              <w:t xml:space="preserve">  </w:t>
            </w:r>
            <w:r w:rsidR="001A2244">
              <w:rPr>
                <w:sz w:val="22"/>
                <w:lang w:val="bg-BG"/>
              </w:rPr>
              <w:t>57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1A2244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6 445,72</w:t>
            </w:r>
          </w:p>
        </w:tc>
      </w:tr>
      <w:tr w:rsidR="00DA396D" w:rsidRPr="00B524FD" w:rsidTr="00A0405B">
        <w:tc>
          <w:tcPr>
            <w:tcW w:w="796" w:type="dxa"/>
          </w:tcPr>
          <w:p w:rsidR="00DA396D" w:rsidRDefault="00DA396D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19" w:type="dxa"/>
          </w:tcPr>
          <w:p w:rsidR="00DA396D" w:rsidRDefault="001A2244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НАСКО ТИХОМИРОВ ГАЧОВ</w:t>
            </w:r>
          </w:p>
        </w:tc>
        <w:tc>
          <w:tcPr>
            <w:tcW w:w="1580" w:type="dxa"/>
          </w:tcPr>
          <w:p w:rsidR="00DA396D" w:rsidRDefault="001A2244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54,692</w:t>
            </w:r>
          </w:p>
        </w:tc>
        <w:tc>
          <w:tcPr>
            <w:tcW w:w="961" w:type="dxa"/>
          </w:tcPr>
          <w:p w:rsidR="00DA396D" w:rsidRDefault="00DA396D" w:rsidP="001A2244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</w:t>
            </w:r>
            <w:r w:rsidR="001A2244">
              <w:rPr>
                <w:sz w:val="22"/>
                <w:lang w:val="bg-BG"/>
              </w:rPr>
              <w:t>57,00</w:t>
            </w:r>
          </w:p>
        </w:tc>
        <w:tc>
          <w:tcPr>
            <w:tcW w:w="1455" w:type="dxa"/>
          </w:tcPr>
          <w:p w:rsidR="00DA396D" w:rsidRDefault="001A2244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3 117,45</w:t>
            </w:r>
          </w:p>
        </w:tc>
      </w:tr>
      <w:tr w:rsidR="00DA396D" w:rsidRPr="00B524FD" w:rsidTr="00A0405B">
        <w:tc>
          <w:tcPr>
            <w:tcW w:w="796" w:type="dxa"/>
          </w:tcPr>
          <w:p w:rsidR="00DA396D" w:rsidRDefault="00DA396D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19" w:type="dxa"/>
          </w:tcPr>
          <w:p w:rsidR="00DA396D" w:rsidRDefault="001A2244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ПАВЕЛ БИСЕРОВ ПЕТКОВ</w:t>
            </w:r>
          </w:p>
        </w:tc>
        <w:tc>
          <w:tcPr>
            <w:tcW w:w="1580" w:type="dxa"/>
          </w:tcPr>
          <w:p w:rsidR="00DA396D" w:rsidRDefault="001A2244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78,623</w:t>
            </w:r>
          </w:p>
        </w:tc>
        <w:tc>
          <w:tcPr>
            <w:tcW w:w="961" w:type="dxa"/>
          </w:tcPr>
          <w:p w:rsidR="00DA396D" w:rsidRDefault="00DA396D" w:rsidP="001A2244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</w:t>
            </w:r>
            <w:r w:rsidR="001A2244">
              <w:rPr>
                <w:sz w:val="22"/>
                <w:lang w:val="bg-BG"/>
              </w:rPr>
              <w:t>57</w:t>
            </w:r>
            <w:r>
              <w:rPr>
                <w:sz w:val="22"/>
                <w:lang w:val="bg-BG"/>
              </w:rPr>
              <w:t>,00</w:t>
            </w:r>
          </w:p>
        </w:tc>
        <w:tc>
          <w:tcPr>
            <w:tcW w:w="1455" w:type="dxa"/>
          </w:tcPr>
          <w:p w:rsidR="00DA396D" w:rsidRDefault="001A2244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4 481,51</w:t>
            </w:r>
          </w:p>
        </w:tc>
      </w:tr>
      <w:tr w:rsidR="001A2244" w:rsidRPr="00B524FD" w:rsidTr="00A0405B">
        <w:tc>
          <w:tcPr>
            <w:tcW w:w="796" w:type="dxa"/>
          </w:tcPr>
          <w:p w:rsidR="001A2244" w:rsidRDefault="001A2244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19" w:type="dxa"/>
          </w:tcPr>
          <w:p w:rsidR="001A2244" w:rsidRDefault="001A2244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ПЛАМЕН ГЕНАДИЕВ НИНКОВ</w:t>
            </w:r>
          </w:p>
        </w:tc>
        <w:tc>
          <w:tcPr>
            <w:tcW w:w="1580" w:type="dxa"/>
          </w:tcPr>
          <w:p w:rsidR="001A2244" w:rsidRDefault="001A2244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57,678</w:t>
            </w:r>
          </w:p>
        </w:tc>
        <w:tc>
          <w:tcPr>
            <w:tcW w:w="961" w:type="dxa"/>
          </w:tcPr>
          <w:p w:rsidR="001A2244" w:rsidRDefault="001A2244" w:rsidP="00DA396D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57,00</w:t>
            </w:r>
          </w:p>
        </w:tc>
        <w:tc>
          <w:tcPr>
            <w:tcW w:w="1455" w:type="dxa"/>
          </w:tcPr>
          <w:p w:rsidR="001A2244" w:rsidRDefault="001A2244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3 287,64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1A2244" w:rsidP="00DA396D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891,952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1A2244" w:rsidP="00DA396D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50 841,23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</w:t>
      </w:r>
      <w:r>
        <w:rPr>
          <w:lang w:val="bg-BG"/>
        </w:rPr>
        <w:lastRenderedPageBreak/>
        <w:t xml:space="preserve">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3F004B">
        <w:rPr>
          <w:b/>
          <w:color w:val="000000"/>
        </w:rPr>
        <w:t>с.</w:t>
      </w:r>
      <w:r w:rsidR="001A2244">
        <w:rPr>
          <w:b/>
          <w:color w:val="000000"/>
          <w:lang w:val="bg-BG"/>
        </w:rPr>
        <w:t>Старопатица</w:t>
      </w:r>
      <w:r w:rsidR="00883F81" w:rsidRPr="00883F81">
        <w:rPr>
          <w:b/>
          <w:color w:val="000000"/>
        </w:rPr>
        <w:t xml:space="preserve">, ЕКАТТЕ </w:t>
      </w:r>
      <w:r w:rsidR="001A2244">
        <w:rPr>
          <w:b/>
          <w:color w:val="000000"/>
          <w:lang w:val="bg-BG"/>
        </w:rPr>
        <w:t>69002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1A2244">
        <w:rPr>
          <w:b/>
          <w:color w:val="000000"/>
          <w:lang w:val="bg-BG"/>
        </w:rPr>
        <w:t>Кула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60644D" w:rsidRPr="008F78C4">
        <w:rPr>
          <w:color w:val="000000" w:themeColor="text1"/>
          <w:lang w:val="bg-BG"/>
        </w:rPr>
        <w:t xml:space="preserve">с. </w:t>
      </w:r>
      <w:r w:rsidR="001A2244">
        <w:rPr>
          <w:color w:val="000000" w:themeColor="text1"/>
          <w:lang w:val="bg-BG"/>
        </w:rPr>
        <w:t>Старопатица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1A2244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1A2244">
        <w:rPr>
          <w:color w:val="000000" w:themeColor="text1"/>
          <w:lang w:val="bg-BG"/>
        </w:rPr>
        <w:t>Кула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1A2244">
        <w:rPr>
          <w:color w:val="000000" w:themeColor="text1"/>
          <w:lang w:val="bg-BG"/>
        </w:rPr>
        <w:t>Кула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0A5620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  <w:r w:rsidR="000A5620">
        <w:rPr>
          <w:b/>
          <w:lang w:val="en-US" w:eastAsia="fr-FR"/>
        </w:rPr>
        <w:t xml:space="preserve"> /</w:t>
      </w:r>
      <w:r w:rsidR="000A5620">
        <w:rPr>
          <w:b/>
          <w:lang w:val="bg-BG" w:eastAsia="fr-FR"/>
        </w:rPr>
        <w:t>П/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jc w:val="both"/>
        <w:rPr>
          <w:sz w:val="22"/>
          <w:szCs w:val="22"/>
          <w:lang w:val="bg-BG"/>
        </w:rPr>
      </w:pPr>
    </w:p>
    <w:p w:rsidR="00F07852" w:rsidRDefault="00F07852" w:rsidP="00B9662A">
      <w:pPr>
        <w:rPr>
          <w:b/>
          <w:color w:val="FFFFFF"/>
          <w:lang w:val="bg-BG"/>
        </w:rPr>
      </w:pP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A5620"/>
    <w:rsid w:val="000B5C4C"/>
    <w:rsid w:val="000B5DA2"/>
    <w:rsid w:val="000B7527"/>
    <w:rsid w:val="000D1667"/>
    <w:rsid w:val="000D538F"/>
    <w:rsid w:val="000D5BC8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244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4A30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535BB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29BB"/>
    <w:rsid w:val="00EC144B"/>
    <w:rsid w:val="00EC399E"/>
    <w:rsid w:val="00EC557C"/>
    <w:rsid w:val="00ED4C47"/>
    <w:rsid w:val="00ED6A92"/>
    <w:rsid w:val="00EF45EE"/>
    <w:rsid w:val="00EF68CC"/>
    <w:rsid w:val="00F01B05"/>
    <w:rsid w:val="00F07852"/>
    <w:rsid w:val="00F07AED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E9F2-FE2E-410D-A39A-5A7FEF68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4388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6</cp:revision>
  <cp:lastPrinted>2024-02-15T09:29:00Z</cp:lastPrinted>
  <dcterms:created xsi:type="dcterms:W3CDTF">2024-02-16T07:57:00Z</dcterms:created>
  <dcterms:modified xsi:type="dcterms:W3CDTF">2024-02-20T08:35:00Z</dcterms:modified>
</cp:coreProperties>
</file>