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ook w:val="01E0" w:firstRow="1" w:lastRow="1" w:firstColumn="1" w:lastColumn="1" w:noHBand="0" w:noVBand="0"/>
      </w:tblPr>
      <w:tblGrid>
        <w:gridCol w:w="9923"/>
      </w:tblGrid>
      <w:tr w:rsidR="001B1430" w:rsidRPr="0002016E" w:rsidTr="00F73636">
        <w:tc>
          <w:tcPr>
            <w:tcW w:w="9923" w:type="dxa"/>
            <w:shd w:val="clear" w:color="auto" w:fill="C0C0C0"/>
          </w:tcPr>
          <w:p w:rsidR="001B1430" w:rsidRPr="0002016E" w:rsidRDefault="001B1430" w:rsidP="008B7A95">
            <w:pPr>
              <w:jc w:val="both"/>
              <w:rPr>
                <w:rFonts w:ascii="Arial" w:hAnsi="Arial" w:cs="Arial"/>
                <w:b/>
                <w:i/>
                <w:sz w:val="20"/>
              </w:rPr>
            </w:pPr>
            <w:r w:rsidRPr="0002016E">
              <w:rPr>
                <w:rFonts w:ascii="Arial" w:hAnsi="Arial" w:cs="Arial"/>
                <w:b/>
                <w:i/>
                <w:sz w:val="20"/>
              </w:rPr>
              <w:t>Директни плащания</w:t>
            </w:r>
          </w:p>
        </w:tc>
      </w:tr>
    </w:tbl>
    <w:p w:rsidR="00FE4D8F" w:rsidRPr="0002016E" w:rsidRDefault="00FE4D8F" w:rsidP="008B7A95">
      <w:pPr>
        <w:jc w:val="both"/>
        <w:rPr>
          <w:rStyle w:val="longtext"/>
          <w:rFonts w:ascii="Arial" w:hAnsi="Arial" w:cs="Arial"/>
          <w:b/>
          <w:sz w:val="20"/>
        </w:rPr>
      </w:pPr>
    </w:p>
    <w:p w:rsidR="001B1430" w:rsidRPr="00664519" w:rsidRDefault="00A566B2" w:rsidP="008F2B84">
      <w:pPr>
        <w:pStyle w:val="ListParagraph"/>
        <w:numPr>
          <w:ilvl w:val="0"/>
          <w:numId w:val="12"/>
        </w:numPr>
        <w:tabs>
          <w:tab w:val="left" w:pos="142"/>
          <w:tab w:val="left" w:pos="284"/>
        </w:tabs>
        <w:spacing w:line="240" w:lineRule="auto"/>
        <w:ind w:left="0" w:firstLine="0"/>
        <w:jc w:val="both"/>
        <w:rPr>
          <w:rFonts w:ascii="Arial" w:hAnsi="Arial" w:cs="Arial"/>
          <w:color w:val="212121"/>
          <w:sz w:val="20"/>
          <w:shd w:val="clear" w:color="auto" w:fill="FFFFFF"/>
        </w:rPr>
      </w:pPr>
      <w:r w:rsidRPr="00993FAB">
        <w:rPr>
          <w:rFonts w:ascii="Arial" w:hAnsi="Arial" w:cs="Arial"/>
          <w:b/>
          <w:bCs/>
          <w:color w:val="212121"/>
          <w:sz w:val="20"/>
          <w:shd w:val="clear" w:color="auto" w:fill="FFFFFF"/>
        </w:rPr>
        <w:t xml:space="preserve">На 15 октомври управителният съвет на </w:t>
      </w:r>
      <w:r w:rsidR="00E40A0C" w:rsidRPr="00993FAB">
        <w:rPr>
          <w:rFonts w:ascii="Arial" w:hAnsi="Arial" w:cs="Arial"/>
          <w:b/>
          <w:bCs/>
          <w:color w:val="212121"/>
          <w:sz w:val="20"/>
          <w:shd w:val="clear" w:color="auto" w:fill="FFFFFF"/>
        </w:rPr>
        <w:t xml:space="preserve">Държавен </w:t>
      </w:r>
      <w:r w:rsidRPr="00993FAB">
        <w:rPr>
          <w:rFonts w:ascii="Arial" w:hAnsi="Arial" w:cs="Arial"/>
          <w:b/>
          <w:bCs/>
          <w:color w:val="212121"/>
          <w:sz w:val="20"/>
          <w:shd w:val="clear" w:color="auto" w:fill="FFFFFF"/>
        </w:rPr>
        <w:t>Фонд „Земеделие“ утвърди общ финансов ресурс в размер на близо 44,5 млн. лева  за първи транш по схемата за Преходна национална помощ за говеда, необвързана с производството и за Преходна национална помощ за овце-майки и кози-майки, обвързана с производството за 2020 г.</w:t>
      </w:r>
      <w:r w:rsidRPr="00993FAB">
        <w:rPr>
          <w:rFonts w:ascii="Arial" w:hAnsi="Arial" w:cs="Arial"/>
          <w:color w:val="212121"/>
          <w:sz w:val="20"/>
          <w:shd w:val="clear" w:color="auto" w:fill="FFFFFF"/>
        </w:rPr>
        <w:t> От утвърдените средства над 17,6 млн. лева </w:t>
      </w:r>
      <w:r w:rsidR="00664519">
        <w:rPr>
          <w:rFonts w:ascii="Arial" w:hAnsi="Arial" w:cs="Arial"/>
          <w:color w:val="212121"/>
          <w:sz w:val="20"/>
          <w:shd w:val="clear" w:color="auto" w:fill="FFFFFF"/>
        </w:rPr>
        <w:t>са</w:t>
      </w:r>
      <w:r w:rsidRPr="00993FAB">
        <w:rPr>
          <w:rFonts w:ascii="Arial" w:hAnsi="Arial" w:cs="Arial"/>
          <w:color w:val="212121"/>
          <w:sz w:val="20"/>
          <w:shd w:val="clear" w:color="auto" w:fill="FFFFFF"/>
        </w:rPr>
        <w:t xml:space="preserve"> насочени </w:t>
      </w:r>
      <w:r w:rsidR="00664519">
        <w:rPr>
          <w:rFonts w:ascii="Arial" w:hAnsi="Arial" w:cs="Arial"/>
          <w:color w:val="212121"/>
          <w:sz w:val="20"/>
          <w:shd w:val="clear" w:color="auto" w:fill="FFFFFF"/>
        </w:rPr>
        <w:t>към</w:t>
      </w:r>
      <w:r w:rsidRPr="00993FAB">
        <w:rPr>
          <w:rFonts w:ascii="Arial" w:hAnsi="Arial" w:cs="Arial"/>
          <w:color w:val="212121"/>
          <w:sz w:val="20"/>
          <w:shd w:val="clear" w:color="auto" w:fill="FFFFFF"/>
        </w:rPr>
        <w:t xml:space="preserve"> схемата за говеда, а близо 27 млн. лева - за изплащане на преходната помощ за овце-майки и кози-майки.</w:t>
      </w:r>
      <w:r w:rsidR="00664519">
        <w:rPr>
          <w:rFonts w:ascii="Arial" w:hAnsi="Arial" w:cs="Arial"/>
          <w:color w:val="212121"/>
          <w:sz w:val="20"/>
          <w:shd w:val="clear" w:color="auto" w:fill="FFFFFF"/>
        </w:rPr>
        <w:t xml:space="preserve"> </w:t>
      </w:r>
      <w:r w:rsidRPr="00993FAB">
        <w:rPr>
          <w:rFonts w:ascii="Arial" w:hAnsi="Arial" w:cs="Arial"/>
          <w:color w:val="212121"/>
          <w:sz w:val="20"/>
          <w:shd w:val="clear" w:color="auto" w:fill="FFFFFF"/>
        </w:rPr>
        <w:t>Съгласно </w:t>
      </w:r>
      <w:r w:rsidR="00E40A0C" w:rsidRPr="00993FAB">
        <w:rPr>
          <w:rFonts w:ascii="Arial" w:hAnsi="Arial" w:cs="Arial"/>
          <w:color w:val="212121"/>
          <w:sz w:val="20"/>
          <w:shd w:val="clear" w:color="auto" w:fill="FFFFFF"/>
        </w:rPr>
        <w:t>европейското законодателство</w:t>
      </w:r>
      <w:r w:rsidR="00664519">
        <w:rPr>
          <w:rFonts w:ascii="Arial" w:hAnsi="Arial" w:cs="Arial"/>
          <w:color w:val="212121"/>
          <w:sz w:val="20"/>
          <w:shd w:val="clear" w:color="auto" w:fill="FFFFFF"/>
        </w:rPr>
        <w:t xml:space="preserve">, </w:t>
      </w:r>
      <w:r w:rsidRPr="00993FAB">
        <w:rPr>
          <w:rFonts w:ascii="Arial" w:hAnsi="Arial" w:cs="Arial"/>
          <w:color w:val="212121"/>
          <w:sz w:val="20"/>
          <w:shd w:val="clear" w:color="auto" w:fill="FFFFFF"/>
        </w:rPr>
        <w:t>преходна национална помощ може да бъде предоставяна само</w:t>
      </w:r>
      <w:r w:rsidR="00993FAB" w:rsidRPr="00993FAB">
        <w:rPr>
          <w:rFonts w:ascii="Arial" w:hAnsi="Arial" w:cs="Arial"/>
          <w:color w:val="212121"/>
          <w:sz w:val="20"/>
          <w:shd w:val="clear" w:color="auto" w:fill="FFFFFF"/>
        </w:rPr>
        <w:t xml:space="preserve"> </w:t>
      </w:r>
      <w:r w:rsidRPr="00993FAB">
        <w:rPr>
          <w:rFonts w:ascii="Arial" w:hAnsi="Arial" w:cs="Arial"/>
          <w:color w:val="212121"/>
          <w:sz w:val="20"/>
          <w:shd w:val="clear" w:color="auto" w:fill="FFFFFF"/>
        </w:rPr>
        <w:t>на  секторите, по отношени</w:t>
      </w:r>
      <w:r w:rsidR="00993FAB" w:rsidRPr="00993FAB">
        <w:rPr>
          <w:rFonts w:ascii="Arial" w:hAnsi="Arial" w:cs="Arial"/>
          <w:color w:val="212121"/>
          <w:sz w:val="20"/>
          <w:shd w:val="clear" w:color="auto" w:fill="FFFFFF"/>
        </w:rPr>
        <w:t xml:space="preserve">е на които през 2013 г. са били </w:t>
      </w:r>
      <w:r w:rsidRPr="00993FAB">
        <w:rPr>
          <w:rFonts w:ascii="Arial" w:hAnsi="Arial" w:cs="Arial"/>
          <w:color w:val="212121"/>
          <w:sz w:val="20"/>
          <w:shd w:val="clear" w:color="auto" w:fill="FFFFFF"/>
        </w:rPr>
        <w:t>предоставяни допълнителни национални директни плащания с</w:t>
      </w:r>
      <w:r w:rsidR="00664519">
        <w:rPr>
          <w:rFonts w:ascii="Arial" w:hAnsi="Arial" w:cs="Arial"/>
          <w:color w:val="212121"/>
          <w:sz w:val="20"/>
          <w:shd w:val="clear" w:color="auto" w:fill="FFFFFF"/>
        </w:rPr>
        <w:t xml:space="preserve"> </w:t>
      </w:r>
      <w:r w:rsidRPr="00993FAB">
        <w:rPr>
          <w:rFonts w:ascii="Arial" w:hAnsi="Arial" w:cs="Arial"/>
          <w:color w:val="212121"/>
          <w:sz w:val="20"/>
          <w:shd w:val="clear" w:color="auto" w:fill="FFFFFF"/>
        </w:rPr>
        <w:t>идентични условия за допустимост.</w:t>
      </w:r>
      <w:r w:rsidR="00664519">
        <w:rPr>
          <w:rFonts w:ascii="Arial" w:hAnsi="Arial" w:cs="Arial"/>
          <w:color w:val="212121"/>
          <w:sz w:val="20"/>
          <w:shd w:val="clear" w:color="auto" w:fill="FFFFFF"/>
        </w:rPr>
        <w:t xml:space="preserve"> </w:t>
      </w:r>
      <w:r w:rsidRPr="00664519">
        <w:rPr>
          <w:rFonts w:ascii="Arial" w:hAnsi="Arial" w:cs="Arial"/>
          <w:color w:val="212121"/>
          <w:sz w:val="20"/>
          <w:shd w:val="clear" w:color="auto" w:fill="FFFFFF"/>
        </w:rPr>
        <w:t>Общият бюджет по всяка от схемите за преходната национална помощ е с намаляващ в годините размер, като през 2020</w:t>
      </w:r>
      <w:r w:rsidR="00664519">
        <w:rPr>
          <w:rFonts w:ascii="Arial" w:hAnsi="Arial" w:cs="Arial"/>
          <w:color w:val="212121"/>
          <w:sz w:val="20"/>
          <w:shd w:val="clear" w:color="auto" w:fill="FFFFFF"/>
        </w:rPr>
        <w:t xml:space="preserve"> г.</w:t>
      </w:r>
      <w:r w:rsidRPr="00664519">
        <w:rPr>
          <w:rFonts w:ascii="Arial" w:hAnsi="Arial" w:cs="Arial"/>
          <w:color w:val="212121"/>
          <w:sz w:val="20"/>
          <w:shd w:val="clear" w:color="auto" w:fill="FFFFFF"/>
        </w:rPr>
        <w:t>  достиг</w:t>
      </w:r>
      <w:r w:rsidR="0006660F">
        <w:rPr>
          <w:rFonts w:ascii="Arial" w:hAnsi="Arial" w:cs="Arial"/>
          <w:color w:val="212121"/>
          <w:sz w:val="20"/>
          <w:shd w:val="clear" w:color="auto" w:fill="FFFFFF"/>
        </w:rPr>
        <w:t>а</w:t>
      </w:r>
      <w:r w:rsidRPr="00664519">
        <w:rPr>
          <w:rFonts w:ascii="Arial" w:hAnsi="Arial" w:cs="Arial"/>
          <w:color w:val="212121"/>
          <w:sz w:val="20"/>
          <w:shd w:val="clear" w:color="auto" w:fill="FFFFFF"/>
        </w:rPr>
        <w:t xml:space="preserve"> 50% от пакета на съответната схема за национални доплащания през 2013 г.</w:t>
      </w:r>
    </w:p>
    <w:p w:rsidR="00036E91" w:rsidRPr="008D2DBF" w:rsidRDefault="008D2DBF" w:rsidP="00870EF9">
      <w:pPr>
        <w:pStyle w:val="BodyTextIndent3"/>
        <w:spacing w:before="120"/>
        <w:ind w:left="0"/>
        <w:jc w:val="both"/>
        <w:rPr>
          <w:rFonts w:ascii="Arial" w:hAnsi="Arial" w:cs="Arial"/>
          <w:color w:val="212121"/>
          <w:sz w:val="20"/>
          <w:szCs w:val="20"/>
          <w:shd w:val="clear" w:color="auto" w:fill="FFFFFF"/>
        </w:rPr>
      </w:pPr>
      <w:r w:rsidRPr="00A86293">
        <w:rPr>
          <w:rFonts w:ascii="Arial" w:hAnsi="Arial" w:cs="Arial"/>
          <w:b/>
          <w:color w:val="212121"/>
          <w:sz w:val="20"/>
          <w:shd w:val="clear" w:color="auto" w:fill="FFFFFF"/>
        </w:rPr>
        <w:t>2</w:t>
      </w:r>
      <w:r>
        <w:rPr>
          <w:rFonts w:ascii="Arial" w:hAnsi="Arial" w:cs="Arial"/>
          <w:color w:val="212121"/>
          <w:sz w:val="20"/>
          <w:shd w:val="clear" w:color="auto" w:fill="FFFFFF"/>
        </w:rPr>
        <w:t xml:space="preserve">. </w:t>
      </w:r>
      <w:r w:rsidRPr="008D2DBF">
        <w:rPr>
          <w:rFonts w:ascii="Arial" w:hAnsi="Arial" w:cs="Arial"/>
          <w:b/>
          <w:color w:val="212121"/>
          <w:sz w:val="20"/>
          <w:shd w:val="clear" w:color="auto" w:fill="FFFFFF"/>
        </w:rPr>
        <w:t xml:space="preserve">На 16 октомври </w:t>
      </w:r>
      <w:r w:rsidRPr="008D2DBF">
        <w:rPr>
          <w:rFonts w:ascii="Arial" w:hAnsi="Arial" w:cs="Arial"/>
          <w:b/>
          <w:bCs/>
          <w:color w:val="212121"/>
          <w:sz w:val="20"/>
          <w:szCs w:val="20"/>
          <w:shd w:val="clear" w:color="auto" w:fill="FFFFFF"/>
        </w:rPr>
        <w:t>с</w:t>
      </w:r>
      <w:r w:rsidR="00870EF9" w:rsidRPr="008D2DBF">
        <w:rPr>
          <w:rFonts w:ascii="Arial" w:hAnsi="Arial" w:cs="Arial"/>
          <w:b/>
          <w:bCs/>
          <w:color w:val="212121"/>
          <w:sz w:val="20"/>
          <w:szCs w:val="20"/>
          <w:shd w:val="clear" w:color="auto" w:fill="FFFFFF"/>
        </w:rPr>
        <w:t>ъс заповед</w:t>
      </w:r>
      <w:r w:rsidRPr="008D2DBF">
        <w:rPr>
          <w:rFonts w:ascii="Arial" w:hAnsi="Arial" w:cs="Arial"/>
          <w:b/>
          <w:bCs/>
          <w:color w:val="212121"/>
          <w:sz w:val="20"/>
          <w:szCs w:val="20"/>
          <w:shd w:val="clear" w:color="auto" w:fill="FFFFFF"/>
        </w:rPr>
        <w:t xml:space="preserve">и на министъра на земеделието, храните и горите са определени ставките </w:t>
      </w:r>
      <w:r>
        <w:rPr>
          <w:rFonts w:ascii="Arial" w:hAnsi="Arial" w:cs="Arial"/>
          <w:b/>
          <w:bCs/>
          <w:color w:val="212121"/>
          <w:sz w:val="20"/>
          <w:szCs w:val="20"/>
          <w:shd w:val="clear" w:color="auto" w:fill="FFFFFF"/>
        </w:rPr>
        <w:t>по схемите</w:t>
      </w:r>
      <w:r w:rsidRPr="008D2DBF">
        <w:rPr>
          <w:rFonts w:ascii="Arial" w:hAnsi="Arial" w:cs="Arial"/>
          <w:b/>
          <w:bCs/>
          <w:color w:val="212121"/>
          <w:sz w:val="20"/>
          <w:szCs w:val="20"/>
          <w:shd w:val="clear" w:color="auto" w:fill="FFFFFF"/>
        </w:rPr>
        <w:t xml:space="preserve"> за Преходна национална помощ за говеда, необвързана с производството и за Преходна национална помощ за овце-майки и кози-ма</w:t>
      </w:r>
      <w:r w:rsidR="00664519">
        <w:rPr>
          <w:rFonts w:ascii="Arial" w:hAnsi="Arial" w:cs="Arial"/>
          <w:b/>
          <w:bCs/>
          <w:color w:val="212121"/>
          <w:sz w:val="20"/>
          <w:szCs w:val="20"/>
          <w:shd w:val="clear" w:color="auto" w:fill="FFFFFF"/>
        </w:rPr>
        <w:t>йки, обвързана с производството</w:t>
      </w:r>
      <w:r w:rsidR="0006660F" w:rsidRPr="0006660F">
        <w:rPr>
          <w:rFonts w:ascii="Arial" w:hAnsi="Arial" w:cs="Arial"/>
          <w:b/>
          <w:bCs/>
          <w:color w:val="212121"/>
          <w:sz w:val="20"/>
          <w:szCs w:val="20"/>
          <w:shd w:val="clear" w:color="auto" w:fill="FFFFFF"/>
        </w:rPr>
        <w:t xml:space="preserve"> </w:t>
      </w:r>
      <w:r w:rsidR="0006660F">
        <w:rPr>
          <w:rFonts w:ascii="Arial" w:hAnsi="Arial" w:cs="Arial"/>
          <w:b/>
          <w:bCs/>
          <w:color w:val="212121"/>
          <w:sz w:val="20"/>
          <w:szCs w:val="20"/>
          <w:shd w:val="clear" w:color="auto" w:fill="FFFFFF"/>
        </w:rPr>
        <w:t>за Кампания 2020 г.</w:t>
      </w:r>
      <w:r w:rsidR="00664519">
        <w:rPr>
          <w:rFonts w:ascii="Arial" w:hAnsi="Arial" w:cs="Arial"/>
          <w:b/>
          <w:bCs/>
          <w:color w:val="212121"/>
          <w:sz w:val="20"/>
          <w:szCs w:val="20"/>
          <w:shd w:val="clear" w:color="auto" w:fill="FFFFFF"/>
        </w:rPr>
        <w:t>.</w:t>
      </w:r>
      <w:r>
        <w:rPr>
          <w:rFonts w:ascii="Arial" w:hAnsi="Arial" w:cs="Arial"/>
          <w:bCs/>
          <w:color w:val="212121"/>
          <w:sz w:val="20"/>
          <w:szCs w:val="20"/>
          <w:shd w:val="clear" w:color="auto" w:fill="FFFFFF"/>
        </w:rPr>
        <w:t xml:space="preserve"> </w:t>
      </w:r>
      <w:r w:rsidRPr="008D2DBF">
        <w:rPr>
          <w:rFonts w:ascii="Arial" w:hAnsi="Arial" w:cs="Arial"/>
          <w:color w:val="212121"/>
          <w:sz w:val="20"/>
          <w:szCs w:val="20"/>
          <w:shd w:val="clear" w:color="auto" w:fill="FFFFFF"/>
        </w:rPr>
        <w:t xml:space="preserve">Със Заповед </w:t>
      </w:r>
      <w:r>
        <w:rPr>
          <w:rFonts w:ascii="Arial" w:hAnsi="Arial" w:cs="Arial"/>
          <w:color w:val="212121"/>
          <w:sz w:val="20"/>
          <w:szCs w:val="20"/>
          <w:shd w:val="clear" w:color="auto" w:fill="FFFFFF"/>
        </w:rPr>
        <w:t>РД 09-826</w:t>
      </w:r>
      <w:r w:rsidRPr="008D2DBF">
        <w:rPr>
          <w:rFonts w:ascii="Arial" w:hAnsi="Arial" w:cs="Arial"/>
          <w:color w:val="212121"/>
          <w:sz w:val="20"/>
          <w:szCs w:val="20"/>
          <w:shd w:val="clear" w:color="auto" w:fill="FFFFFF"/>
        </w:rPr>
        <w:t xml:space="preserve"> от 16.10.2020 г. е определен</w:t>
      </w:r>
      <w:r w:rsidR="00A56944">
        <w:rPr>
          <w:rFonts w:ascii="Arial" w:hAnsi="Arial" w:cs="Arial"/>
          <w:color w:val="212121"/>
          <w:sz w:val="20"/>
          <w:szCs w:val="20"/>
          <w:shd w:val="clear" w:color="auto" w:fill="FFFFFF"/>
        </w:rPr>
        <w:t>, ,</w:t>
      </w:r>
      <w:r w:rsidRPr="008D2DBF">
        <w:rPr>
          <w:rFonts w:ascii="Arial" w:hAnsi="Arial" w:cs="Arial"/>
          <w:color w:val="212121"/>
          <w:sz w:val="20"/>
          <w:szCs w:val="20"/>
          <w:shd w:val="clear" w:color="auto" w:fill="FFFFFF"/>
        </w:rPr>
        <w:t xml:space="preserve"> </w:t>
      </w:r>
      <w:r w:rsidR="0006660F" w:rsidRPr="008D2DBF">
        <w:rPr>
          <w:rFonts w:ascii="Arial" w:hAnsi="Arial" w:cs="Arial"/>
          <w:color w:val="212121"/>
          <w:sz w:val="20"/>
          <w:szCs w:val="20"/>
          <w:shd w:val="clear" w:color="auto" w:fill="FFFFFF"/>
        </w:rPr>
        <w:t>размер</w:t>
      </w:r>
      <w:r w:rsidR="0006660F">
        <w:rPr>
          <w:rFonts w:ascii="Arial" w:hAnsi="Arial" w:cs="Arial"/>
          <w:color w:val="212121"/>
          <w:sz w:val="20"/>
          <w:szCs w:val="20"/>
          <w:shd w:val="clear" w:color="auto" w:fill="FFFFFF"/>
        </w:rPr>
        <w:t>ът</w:t>
      </w:r>
      <w:r w:rsidR="0006660F" w:rsidRPr="008D2DBF">
        <w:rPr>
          <w:rFonts w:ascii="Arial" w:hAnsi="Arial" w:cs="Arial"/>
          <w:color w:val="212121"/>
          <w:sz w:val="20"/>
          <w:szCs w:val="20"/>
          <w:shd w:val="clear" w:color="auto" w:fill="FFFFFF"/>
        </w:rPr>
        <w:t xml:space="preserve"> </w:t>
      </w:r>
      <w:r w:rsidRPr="008D2DBF">
        <w:rPr>
          <w:rFonts w:ascii="Arial" w:hAnsi="Arial" w:cs="Arial"/>
          <w:color w:val="212121"/>
          <w:sz w:val="20"/>
          <w:szCs w:val="20"/>
          <w:shd w:val="clear" w:color="auto" w:fill="FFFFFF"/>
        </w:rPr>
        <w:t xml:space="preserve">на плащането за едно допустимо за подпомагане животно </w:t>
      </w:r>
      <w:r w:rsidR="0006660F">
        <w:rPr>
          <w:rFonts w:ascii="Arial" w:hAnsi="Arial" w:cs="Arial"/>
          <w:color w:val="212121"/>
          <w:sz w:val="20"/>
          <w:szCs w:val="20"/>
          <w:shd w:val="clear" w:color="auto" w:fill="FFFFFF"/>
        </w:rPr>
        <w:t xml:space="preserve">за Кампания 2020 </w:t>
      </w:r>
      <w:r w:rsidRPr="008D2DBF">
        <w:rPr>
          <w:rFonts w:ascii="Arial" w:hAnsi="Arial" w:cs="Arial"/>
          <w:color w:val="212121"/>
          <w:sz w:val="20"/>
          <w:szCs w:val="20"/>
          <w:shd w:val="clear" w:color="auto" w:fill="FFFFFF"/>
        </w:rPr>
        <w:t>по Схемата за преходна национална помощ за говеда</w:t>
      </w:r>
      <w:r w:rsidR="00A56944">
        <w:rPr>
          <w:rFonts w:ascii="Arial" w:hAnsi="Arial" w:cs="Arial"/>
          <w:color w:val="212121"/>
          <w:sz w:val="20"/>
          <w:szCs w:val="20"/>
          <w:shd w:val="clear" w:color="auto" w:fill="FFFFFF"/>
        </w:rPr>
        <w:t xml:space="preserve">, необвързана с производството </w:t>
      </w:r>
      <w:r w:rsidRPr="008D2DBF">
        <w:rPr>
          <w:rFonts w:ascii="Arial" w:hAnsi="Arial" w:cs="Arial"/>
          <w:color w:val="212121"/>
          <w:sz w:val="20"/>
          <w:szCs w:val="20"/>
          <w:shd w:val="clear" w:color="auto" w:fill="FFFFFF"/>
        </w:rPr>
        <w:t xml:space="preserve">на 170,92 лева за говеда и 299,11 </w:t>
      </w:r>
      <w:r>
        <w:rPr>
          <w:rFonts w:ascii="Arial" w:hAnsi="Arial" w:cs="Arial"/>
          <w:color w:val="212121"/>
          <w:sz w:val="20"/>
          <w:szCs w:val="20"/>
          <w:shd w:val="clear" w:color="auto" w:fill="FFFFFF"/>
        </w:rPr>
        <w:t>лева за биволи. Подпомагането ще</w:t>
      </w:r>
      <w:r w:rsidRPr="008D2DBF">
        <w:rPr>
          <w:rFonts w:ascii="Arial" w:hAnsi="Arial" w:cs="Arial"/>
          <w:color w:val="212121"/>
          <w:sz w:val="20"/>
          <w:szCs w:val="20"/>
          <w:shd w:val="clear" w:color="auto" w:fill="FFFFFF"/>
        </w:rPr>
        <w:t xml:space="preserve"> се изплати на следните траншове: за говеда – 94,01 лева през октомври 2020 г. и 76,91 лева през януари 2021 г.; за биволи – 164,51 лева през октомври 2020 г. и 134,60 лева през януари 2021 година</w:t>
      </w:r>
      <w:r>
        <w:rPr>
          <w:rFonts w:ascii="Arial" w:hAnsi="Arial" w:cs="Arial"/>
          <w:color w:val="212121"/>
          <w:sz w:val="20"/>
          <w:szCs w:val="20"/>
          <w:shd w:val="clear" w:color="auto" w:fill="FFFFFF"/>
        </w:rPr>
        <w:t xml:space="preserve">. </w:t>
      </w:r>
      <w:r>
        <w:rPr>
          <w:rFonts w:ascii="Arial" w:hAnsi="Arial" w:cs="Arial"/>
          <w:bCs/>
          <w:color w:val="212121"/>
          <w:sz w:val="20"/>
          <w:szCs w:val="20"/>
          <w:shd w:val="clear" w:color="auto" w:fill="FFFFFF"/>
        </w:rPr>
        <w:t xml:space="preserve">Със Заповед </w:t>
      </w:r>
      <w:r w:rsidR="00870EF9" w:rsidRPr="00870EF9">
        <w:rPr>
          <w:rFonts w:ascii="Arial" w:hAnsi="Arial" w:cs="Arial"/>
          <w:bCs/>
          <w:color w:val="212121"/>
          <w:sz w:val="20"/>
          <w:szCs w:val="20"/>
          <w:shd w:val="clear" w:color="auto" w:fill="FFFFFF"/>
        </w:rPr>
        <w:t xml:space="preserve"> РД 09-827 от 16.10.2020 г. </w:t>
      </w:r>
      <w:r w:rsidR="00233957">
        <w:rPr>
          <w:rFonts w:ascii="Arial" w:hAnsi="Arial" w:cs="Arial"/>
          <w:bCs/>
          <w:color w:val="212121"/>
          <w:sz w:val="20"/>
          <w:szCs w:val="20"/>
          <w:shd w:val="clear" w:color="auto" w:fill="FFFFFF"/>
        </w:rPr>
        <w:t xml:space="preserve">за кампания 2020 </w:t>
      </w:r>
      <w:r w:rsidR="00870EF9" w:rsidRPr="00870EF9">
        <w:rPr>
          <w:rFonts w:ascii="Arial" w:hAnsi="Arial" w:cs="Arial"/>
          <w:bCs/>
          <w:color w:val="212121"/>
          <w:sz w:val="20"/>
          <w:szCs w:val="20"/>
          <w:shd w:val="clear" w:color="auto" w:fill="FFFFFF"/>
        </w:rPr>
        <w:t xml:space="preserve">е определен </w:t>
      </w:r>
      <w:r w:rsidR="0006660F" w:rsidRPr="00870EF9">
        <w:rPr>
          <w:rFonts w:ascii="Arial" w:hAnsi="Arial" w:cs="Arial"/>
          <w:bCs/>
          <w:color w:val="212121"/>
          <w:sz w:val="20"/>
          <w:szCs w:val="20"/>
          <w:shd w:val="clear" w:color="auto" w:fill="FFFFFF"/>
        </w:rPr>
        <w:t xml:space="preserve">размер </w:t>
      </w:r>
      <w:r w:rsidR="00870EF9" w:rsidRPr="00870EF9">
        <w:rPr>
          <w:rFonts w:ascii="Arial" w:hAnsi="Arial" w:cs="Arial"/>
          <w:bCs/>
          <w:color w:val="212121"/>
          <w:sz w:val="20"/>
          <w:szCs w:val="20"/>
          <w:shd w:val="clear" w:color="auto" w:fill="FFFFFF"/>
        </w:rPr>
        <w:t>на плащането от 37,93 лева за едно допустимо за подпомагане животно по Схемата за преходна национална помощ за овце-майки и кози-майки, обвързана с производството. Съгласно цитираната заповед подпомагането ще се изплати на един транш през октомври 2020 г.</w:t>
      </w:r>
      <w:r w:rsidR="006C445A">
        <w:rPr>
          <w:rFonts w:ascii="Arial" w:hAnsi="Arial" w:cs="Arial"/>
          <w:bCs/>
          <w:color w:val="212121"/>
          <w:sz w:val="20"/>
          <w:szCs w:val="20"/>
          <w:shd w:val="clear" w:color="auto" w:fill="FFFFFF"/>
        </w:rPr>
        <w:t xml:space="preserve"> Заповедите </w:t>
      </w:r>
      <w:r w:rsidR="00A360A5">
        <w:rPr>
          <w:rFonts w:ascii="Arial" w:hAnsi="Arial" w:cs="Arial"/>
          <w:bCs/>
          <w:color w:val="212121"/>
          <w:sz w:val="20"/>
          <w:szCs w:val="20"/>
          <w:shd w:val="clear" w:color="auto" w:fill="FFFFFF"/>
        </w:rPr>
        <w:t>са</w:t>
      </w:r>
      <w:r w:rsidR="006C445A">
        <w:rPr>
          <w:rFonts w:ascii="Arial" w:hAnsi="Arial" w:cs="Arial"/>
          <w:bCs/>
          <w:color w:val="212121"/>
          <w:sz w:val="20"/>
          <w:szCs w:val="20"/>
          <w:shd w:val="clear" w:color="auto" w:fill="FFFFFF"/>
        </w:rPr>
        <w:t xml:space="preserve"> публикувани </w:t>
      </w:r>
      <w:r w:rsidR="00870EF9" w:rsidRPr="00870EF9">
        <w:rPr>
          <w:rFonts w:ascii="Arial" w:hAnsi="Arial" w:cs="Arial"/>
          <w:bCs/>
          <w:color w:val="212121"/>
          <w:sz w:val="20"/>
          <w:szCs w:val="20"/>
          <w:shd w:val="clear" w:color="auto" w:fill="FFFFFF"/>
        </w:rPr>
        <w:t>на интернет страниците на Министерството на земеделието, храните и горите и на Държавен фонд „Земеделие“</w:t>
      </w:r>
      <w:r>
        <w:rPr>
          <w:rFonts w:ascii="Arial" w:hAnsi="Arial" w:cs="Arial"/>
          <w:bCs/>
          <w:color w:val="212121"/>
          <w:sz w:val="20"/>
          <w:szCs w:val="20"/>
          <w:shd w:val="clear" w:color="auto" w:fill="FFFFFF"/>
        </w:rPr>
        <w:t>.</w:t>
      </w:r>
    </w:p>
    <w:p w:rsidR="00493928" w:rsidRPr="00493928" w:rsidRDefault="00493928" w:rsidP="00493928">
      <w:pPr>
        <w:ind w:left="360"/>
        <w:jc w:val="both"/>
        <w:rPr>
          <w:rStyle w:val="longtext"/>
          <w:rFonts w:ascii="Arial" w:hAnsi="Arial" w:cs="Arial"/>
          <w:b/>
          <w:noProof/>
          <w:sz w:val="20"/>
        </w:rPr>
      </w:pPr>
    </w:p>
    <w:tbl>
      <w:tblPr>
        <w:tblW w:w="10159" w:type="dxa"/>
        <w:tblInd w:w="108" w:type="dxa"/>
        <w:tblLook w:val="01E0" w:firstRow="1" w:lastRow="1" w:firstColumn="1" w:lastColumn="1" w:noHBand="0" w:noVBand="0"/>
      </w:tblPr>
      <w:tblGrid>
        <w:gridCol w:w="9923"/>
        <w:gridCol w:w="236"/>
      </w:tblGrid>
      <w:tr w:rsidR="001B1430" w:rsidRPr="0002016E" w:rsidTr="00F73636">
        <w:tc>
          <w:tcPr>
            <w:tcW w:w="9923" w:type="dxa"/>
            <w:shd w:val="clear" w:color="auto" w:fill="C0C0C0"/>
            <w:hideMark/>
          </w:tcPr>
          <w:p w:rsidR="001B1430" w:rsidRPr="0002016E" w:rsidRDefault="001B1430" w:rsidP="008B7A95">
            <w:pPr>
              <w:jc w:val="both"/>
              <w:rPr>
                <w:rFonts w:ascii="Arial" w:hAnsi="Arial" w:cs="Arial"/>
                <w:b/>
                <w:i/>
                <w:noProof/>
                <w:sz w:val="20"/>
              </w:rPr>
            </w:pPr>
            <w:r w:rsidRPr="0002016E">
              <w:rPr>
                <w:rFonts w:ascii="Arial" w:hAnsi="Arial" w:cs="Arial"/>
                <w:b/>
                <w:i/>
                <w:noProof/>
                <w:sz w:val="20"/>
              </w:rPr>
              <w:t>Пазарна подкрепа</w:t>
            </w:r>
          </w:p>
        </w:tc>
        <w:tc>
          <w:tcPr>
            <w:tcW w:w="236" w:type="dxa"/>
          </w:tcPr>
          <w:p w:rsidR="001B1430" w:rsidRPr="0002016E" w:rsidRDefault="001B1430" w:rsidP="008B7A95">
            <w:pPr>
              <w:jc w:val="both"/>
              <w:rPr>
                <w:rFonts w:ascii="Arial" w:hAnsi="Arial" w:cs="Arial"/>
                <w:b/>
                <w:i/>
                <w:noProof/>
                <w:sz w:val="20"/>
              </w:rPr>
            </w:pPr>
          </w:p>
        </w:tc>
      </w:tr>
    </w:tbl>
    <w:p w:rsidR="001B1430" w:rsidRPr="0002016E" w:rsidRDefault="001B1430" w:rsidP="008B7A95">
      <w:pPr>
        <w:jc w:val="both"/>
        <w:rPr>
          <w:rFonts w:ascii="Arial" w:eastAsia="SimSun" w:hAnsi="Arial" w:cs="Arial"/>
          <w:b/>
          <w:bCs/>
          <w:noProof/>
          <w:color w:val="000000"/>
          <w:sz w:val="20"/>
          <w:lang w:eastAsia="bg-BG"/>
        </w:rPr>
      </w:pPr>
    </w:p>
    <w:p w:rsidR="004F6595" w:rsidRPr="00DF5530" w:rsidRDefault="00A86293" w:rsidP="004F6595">
      <w:pPr>
        <w:jc w:val="both"/>
        <w:rPr>
          <w:rFonts w:ascii="Arial" w:hAnsi="Arial" w:cs="Arial"/>
          <w:noProof/>
          <w:sz w:val="20"/>
        </w:rPr>
      </w:pPr>
      <w:r>
        <w:rPr>
          <w:rFonts w:ascii="Arial" w:hAnsi="Arial" w:cs="Arial"/>
          <w:b/>
          <w:bCs/>
          <w:color w:val="212121"/>
          <w:sz w:val="20"/>
          <w:shd w:val="clear" w:color="auto" w:fill="FFFFFF"/>
        </w:rPr>
        <w:t>3</w:t>
      </w:r>
      <w:r w:rsidR="00527A50" w:rsidRPr="00DF5530">
        <w:rPr>
          <w:rFonts w:ascii="Arial" w:hAnsi="Arial" w:cs="Arial"/>
          <w:b/>
          <w:bCs/>
          <w:noProof/>
          <w:color w:val="212121"/>
          <w:sz w:val="20"/>
          <w:shd w:val="clear" w:color="auto" w:fill="FFFFFF"/>
        </w:rPr>
        <w:t xml:space="preserve">. </w:t>
      </w:r>
      <w:r w:rsidR="004F6595" w:rsidRPr="00DF5530">
        <w:rPr>
          <w:rFonts w:ascii="Arial" w:hAnsi="Arial" w:cs="Arial"/>
          <w:b/>
          <w:bCs/>
          <w:noProof/>
          <w:color w:val="212121"/>
          <w:sz w:val="20"/>
          <w:shd w:val="clear" w:color="auto" w:fill="FFFFFF"/>
        </w:rPr>
        <w:t xml:space="preserve">Европейската комисия предлага извънредните мерки за възстановяване на пазара в лозаро-винарския сектор да се прилагат и през 2021 г. </w:t>
      </w:r>
      <w:r w:rsidR="004F6595" w:rsidRPr="00DF5530">
        <w:rPr>
          <w:rFonts w:ascii="Arial" w:hAnsi="Arial" w:cs="Arial"/>
          <w:bCs/>
          <w:noProof/>
          <w:color w:val="212121"/>
          <w:sz w:val="20"/>
          <w:shd w:val="clear" w:color="auto" w:fill="FFFFFF"/>
        </w:rPr>
        <w:t>В рамките на Експертна група и Комитет по Вино на 13.10.2020 ЕК представи три проекта на регламенти за изменение съответно на ДР 2020/884, ДР 2020/592 и на РИ 2020/600 по отношение на прилаганите през 2020 г. извънредни мерки за справяне с последствията от пандемията COVID-19 и от сериозните ограничения на движението и контактите, въведени в държавите членки. С вече предприетите временни извънредни мерки за справяне със ситуацията в лозаро-винарския сектор временно бяха позволени дестилация на вино в случай на криза, помощи за кризисно съхранение на вино, увеличаване на подкрепата на Съюза за мерки за програми за подкрепа в лозаро-винарския сектор. Въпреки това пазарът не можа да възстанови баланса си. За да се осигури допълнително облекчение на сектора, с предложените от ЕК проекти се удължава срока на прилагане на всички въведени извънредни мерки от 16 октомври 2020 г. до 15 октомври 2021 г. Така за всички договори, сключени до 15 октомври 2021 г. ще важи увеличение на помощта от ЕС, както следва: по мярка „Преструктуриране и конверсия на лозя“ помощта ще бъде 90% (вместо 75 %) от направените допустими разходи; по „Застраховане на реколтата“, „Инвестиции в предприятия“ и „Събиране на реколтата на зелено“ помощта ще бъде 70% (вместо 50%); по „Популяризиране в трети държави“ и „Информиране в държавите – членки на ЕС“  помощта от ЕС също е увеличена на 70% (вместо 50%), но в случай че бенефициент отговаря на критериите и за държавна помощ, крайният размер на помощта остава 80%. Мярка „Кризисно съхранение на вино“  ще може да се прилага чрез авансово плащане на 100% от помощта от ЕК за договори сключени до 15 октомври 2021 г. Мярка „Събиране на реколтата на зелено“  може да бъде прилагана и през 2021 г. без анализ на очакваната пазарна ситуация. През 2021 г. важи и изключението, че когато по причини, свързани с пандемията от COVID-19, операциите по мерки „Преструктуриране и конверсия на лозя“ и „Събиране на реколтата на зелено“ не се изпълняват върху общата площ, за която е поискана помощта, ДЧ изчисляват платимата помощ въз основа на определената при проверките на място площ с изпълнени операции. Предоставената на държавите членки възможност, като изключение</w:t>
      </w:r>
      <w:r w:rsidR="004F6595" w:rsidRPr="00DF5530">
        <w:rPr>
          <w:rFonts w:ascii="Arial" w:hAnsi="Arial" w:cs="Arial"/>
          <w:noProof/>
          <w:sz w:val="20"/>
          <w:lang w:val="en-US"/>
        </w:rPr>
        <w:t xml:space="preserve"> </w:t>
      </w:r>
      <w:r w:rsidR="004F6595" w:rsidRPr="000212A8">
        <w:rPr>
          <w:rFonts w:ascii="Arial" w:hAnsi="Arial" w:cs="Arial"/>
          <w:noProof/>
          <w:sz w:val="20"/>
        </w:rPr>
        <w:t>от съществуващите разпоредби, да представят по всяко време при необходимост промени в своите национални програми за подпомагане в лозаро-винарския сектор ще се прилага също със срок 15 октомври 2021 г.</w:t>
      </w:r>
      <w:r w:rsidR="004F6595" w:rsidRPr="00DF5530">
        <w:rPr>
          <w:rFonts w:ascii="Arial" w:hAnsi="Arial" w:cs="Arial"/>
          <w:noProof/>
          <w:sz w:val="20"/>
          <w:lang w:val="en-US"/>
        </w:rPr>
        <w:tab/>
      </w:r>
      <w:r w:rsidR="004F6595" w:rsidRPr="00DF5530">
        <w:rPr>
          <w:rFonts w:ascii="Arial" w:hAnsi="Arial" w:cs="Arial"/>
          <w:noProof/>
          <w:sz w:val="20"/>
          <w:highlight w:val="yellow"/>
          <w:lang w:val="en-US"/>
        </w:rPr>
        <w:t xml:space="preserve"> </w:t>
      </w:r>
    </w:p>
    <w:p w:rsidR="004F6595" w:rsidRPr="00DF5530" w:rsidRDefault="004F6595" w:rsidP="004F6595">
      <w:pPr>
        <w:jc w:val="both"/>
        <w:rPr>
          <w:rFonts w:ascii="Arial" w:hAnsi="Arial" w:cs="Arial"/>
          <w:b/>
          <w:noProof/>
          <w:sz w:val="20"/>
          <w:lang w:val="en-US"/>
        </w:rPr>
      </w:pPr>
    </w:p>
    <w:p w:rsidR="004F6595" w:rsidRPr="00DF5530" w:rsidRDefault="00DF5530" w:rsidP="004F6595">
      <w:pPr>
        <w:jc w:val="both"/>
        <w:rPr>
          <w:rFonts w:ascii="Arial" w:hAnsi="Arial" w:cs="Arial"/>
          <w:noProof/>
          <w:sz w:val="20"/>
          <w:lang w:val="en-US"/>
        </w:rPr>
      </w:pPr>
      <w:r>
        <w:rPr>
          <w:rFonts w:ascii="Arial" w:hAnsi="Arial" w:cs="Arial"/>
          <w:b/>
          <w:noProof/>
          <w:sz w:val="20"/>
        </w:rPr>
        <w:lastRenderedPageBreak/>
        <w:t xml:space="preserve">4. </w:t>
      </w:r>
      <w:r w:rsidR="004F6595" w:rsidRPr="00DF5530">
        <w:rPr>
          <w:rFonts w:ascii="Arial" w:hAnsi="Arial" w:cs="Arial"/>
          <w:b/>
          <w:noProof/>
          <w:sz w:val="20"/>
        </w:rPr>
        <w:t>В търсене на изход от влошената пазарна ситуация в лозаро-винарския сектор.</w:t>
      </w:r>
      <w:r w:rsidR="004F6595" w:rsidRPr="00DF5530">
        <w:rPr>
          <w:rFonts w:ascii="Arial" w:hAnsi="Arial" w:cs="Arial"/>
          <w:b/>
          <w:noProof/>
          <w:sz w:val="20"/>
          <w:lang w:val="en-US"/>
        </w:rPr>
        <w:t xml:space="preserve"> </w:t>
      </w:r>
      <w:r w:rsidR="004F6595" w:rsidRPr="00DF5530">
        <w:rPr>
          <w:rFonts w:ascii="Arial" w:hAnsi="Arial" w:cs="Arial"/>
          <w:noProof/>
          <w:sz w:val="20"/>
        </w:rPr>
        <w:t>Винарските кооперативи във Франция, Италия и Испания настояват за мерки за ударно възстановяване на сектора и подчертават необходимостта от планиране за 2021 г., за да бъде насочен секторът в Европа към реално и трайно възстановяване. В изявление от 8 октомври т.г. (</w:t>
      </w:r>
      <w:hyperlink r:id="rId8" w:history="1">
        <w:r w:rsidR="004F6595" w:rsidRPr="00DF5530">
          <w:rPr>
            <w:rStyle w:val="Hyperlink"/>
            <w:rFonts w:ascii="Arial" w:hAnsi="Arial" w:cs="Arial"/>
            <w:noProof/>
            <w:sz w:val="20"/>
          </w:rPr>
          <w:t>www.farm-europe.eu/wine-institute/</w:t>
        </w:r>
      </w:hyperlink>
      <w:r w:rsidR="004F6595" w:rsidRPr="00DF5530">
        <w:rPr>
          <w:rFonts w:ascii="Arial" w:hAnsi="Arial" w:cs="Arial"/>
          <w:noProof/>
          <w:sz w:val="20"/>
        </w:rPr>
        <w:t xml:space="preserve">), трите най-големи лозаро-винарски кооперативи (La Coopération Agricole Vignerons Coopérateurs, Alleanza delle Cooperative Italiane &amp; Cooperativas Agro-alimentarias España), представляващи 80% от европейското производство на вино, съобщават, че се подготвят за трудна година, която, ако всички работят отговорно, би могла да бъде по-позитивна за лозаро-винарския сектор. Те обръщат внимание на съществуващите проблеми, включително несигурната здравна ситуация, американските мита, Брекзит и липсата на средства. Кооперативите призовават за спешни мерки, които да бъдат изпълнени през 2020 г., за да се осигури баланс на пазара. Според тях начинът да се гради бъдеще и да се възстанови динамиката на сектора е да се разчита на европейските инструменти, които са показали своите ползи и силни страни и да се осигури пълен достъп до Европейския фонд за възстановяване на земеделието.      </w:t>
      </w:r>
    </w:p>
    <w:p w:rsidR="004F6595" w:rsidRPr="00DF5530" w:rsidRDefault="004F6595" w:rsidP="004F6595">
      <w:pPr>
        <w:jc w:val="both"/>
        <w:rPr>
          <w:rFonts w:ascii="Arial" w:hAnsi="Arial" w:cs="Arial"/>
          <w:noProof/>
          <w:sz w:val="20"/>
          <w:lang w:val="en-US"/>
        </w:rPr>
      </w:pPr>
    </w:p>
    <w:p w:rsidR="001B1430" w:rsidRPr="00DF5530" w:rsidRDefault="001B1430" w:rsidP="008B7A95">
      <w:pPr>
        <w:jc w:val="both"/>
        <w:rPr>
          <w:rFonts w:ascii="Arial" w:eastAsia="SimSun" w:hAnsi="Arial" w:cs="Arial"/>
          <w:b/>
          <w:bCs/>
          <w:noProof/>
          <w:color w:val="000000"/>
          <w:sz w:val="20"/>
          <w:lang w:eastAsia="bg-BG"/>
        </w:rPr>
      </w:pPr>
    </w:p>
    <w:tbl>
      <w:tblPr>
        <w:tblW w:w="10156" w:type="dxa"/>
        <w:tblInd w:w="108" w:type="dxa"/>
        <w:tblLook w:val="01E0" w:firstRow="1" w:lastRow="1" w:firstColumn="1" w:lastColumn="1" w:noHBand="0" w:noVBand="0"/>
      </w:tblPr>
      <w:tblGrid>
        <w:gridCol w:w="9900"/>
        <w:gridCol w:w="256"/>
      </w:tblGrid>
      <w:tr w:rsidR="001B1430" w:rsidRPr="00DF5530" w:rsidTr="00F73636">
        <w:tc>
          <w:tcPr>
            <w:tcW w:w="9900" w:type="dxa"/>
            <w:shd w:val="clear" w:color="auto" w:fill="C0C0C0"/>
            <w:hideMark/>
          </w:tcPr>
          <w:p w:rsidR="001B1430" w:rsidRPr="00DF5530" w:rsidRDefault="001B1430" w:rsidP="008B7A95">
            <w:pPr>
              <w:tabs>
                <w:tab w:val="left" w:pos="1020"/>
              </w:tabs>
              <w:autoSpaceDE w:val="0"/>
              <w:autoSpaceDN w:val="0"/>
              <w:adjustRightInd w:val="0"/>
              <w:jc w:val="both"/>
              <w:rPr>
                <w:rFonts w:ascii="Arial" w:hAnsi="Arial" w:cs="Arial"/>
                <w:b/>
                <w:i/>
                <w:iCs/>
                <w:noProof/>
                <w:sz w:val="20"/>
              </w:rPr>
            </w:pPr>
            <w:r w:rsidRPr="00DF5530">
              <w:rPr>
                <w:rFonts w:ascii="Arial" w:hAnsi="Arial" w:cs="Arial"/>
                <w:b/>
                <w:i/>
                <w:noProof/>
                <w:sz w:val="20"/>
              </w:rPr>
              <w:t>Визия за ОСП след 2020 г.</w:t>
            </w:r>
          </w:p>
        </w:tc>
        <w:tc>
          <w:tcPr>
            <w:tcW w:w="256" w:type="dxa"/>
          </w:tcPr>
          <w:p w:rsidR="001B1430" w:rsidRPr="00DF5530" w:rsidRDefault="001B1430" w:rsidP="008B7A95">
            <w:pPr>
              <w:jc w:val="both"/>
              <w:rPr>
                <w:rFonts w:ascii="Arial" w:hAnsi="Arial" w:cs="Arial"/>
                <w:b/>
                <w:noProof/>
                <w:sz w:val="20"/>
              </w:rPr>
            </w:pPr>
          </w:p>
        </w:tc>
      </w:tr>
    </w:tbl>
    <w:p w:rsidR="00CA40F5" w:rsidRPr="0002016E" w:rsidRDefault="00CA40F5" w:rsidP="008B7A95">
      <w:pPr>
        <w:jc w:val="both"/>
        <w:rPr>
          <w:rFonts w:ascii="Arial" w:hAnsi="Arial" w:cs="Arial"/>
          <w:b/>
          <w:noProof/>
          <w:sz w:val="20"/>
        </w:rPr>
      </w:pPr>
    </w:p>
    <w:p w:rsidR="006F3152" w:rsidRDefault="00DF5530" w:rsidP="006F3152">
      <w:pPr>
        <w:jc w:val="both"/>
        <w:rPr>
          <w:rFonts w:ascii="Arial" w:hAnsi="Arial" w:cs="Arial"/>
          <w:color w:val="212121"/>
          <w:sz w:val="20"/>
          <w:shd w:val="clear" w:color="auto" w:fill="FFFFFF"/>
        </w:rPr>
      </w:pPr>
      <w:r>
        <w:rPr>
          <w:rFonts w:ascii="Arial" w:hAnsi="Arial" w:cs="Arial"/>
          <w:b/>
          <w:noProof/>
          <w:sz w:val="20"/>
          <w:lang w:val="en-US"/>
        </w:rPr>
        <w:t>5</w:t>
      </w:r>
      <w:r w:rsidR="00CA40F5" w:rsidRPr="0002016E">
        <w:rPr>
          <w:rFonts w:ascii="Arial" w:hAnsi="Arial" w:cs="Arial"/>
          <w:b/>
          <w:noProof/>
          <w:sz w:val="20"/>
        </w:rPr>
        <w:t xml:space="preserve">. </w:t>
      </w:r>
      <w:r w:rsidR="008F1CF3">
        <w:rPr>
          <w:rFonts w:ascii="Arial" w:hAnsi="Arial" w:cs="Arial"/>
          <w:b/>
          <w:bCs/>
          <w:color w:val="212121"/>
          <w:sz w:val="20"/>
          <w:shd w:val="clear" w:color="auto" w:fill="FFFFFF"/>
        </w:rPr>
        <w:t>На 14.10.2020 г. беше проведена неформална видеоконферентна среща за реформата на Общата селскостопанска политика (ОСП), организирана от Германското председателство, в която участваха представители на държавите-членки и Европейската комисия (ЕК). </w:t>
      </w:r>
      <w:r w:rsidR="008F1CF3">
        <w:rPr>
          <w:rFonts w:ascii="Arial" w:hAnsi="Arial" w:cs="Arial"/>
          <w:color w:val="212121"/>
          <w:sz w:val="20"/>
          <w:shd w:val="clear" w:color="auto" w:fill="FFFFFF"/>
        </w:rPr>
        <w:t>Срещата имаше за цел да се установи каква е позицията по ключови въпроси</w:t>
      </w:r>
      <w:r w:rsidR="008F6BF8">
        <w:rPr>
          <w:rFonts w:ascii="Arial" w:hAnsi="Arial" w:cs="Arial"/>
          <w:color w:val="212121"/>
          <w:sz w:val="20"/>
          <w:shd w:val="clear" w:color="auto" w:fill="FFFFFF"/>
        </w:rPr>
        <w:t>,</w:t>
      </w:r>
      <w:r w:rsidR="008F1CF3">
        <w:rPr>
          <w:rFonts w:ascii="Arial" w:hAnsi="Arial" w:cs="Arial"/>
          <w:color w:val="212121"/>
          <w:sz w:val="20"/>
          <w:shd w:val="clear" w:color="auto" w:fill="FFFFFF"/>
        </w:rPr>
        <w:t xml:space="preserve"> преди провеждането на Съвета по земеделие и рибарство на 19/20 октомври 2020 г.</w:t>
      </w:r>
      <w:r w:rsidR="008F1CF3">
        <w:rPr>
          <w:rFonts w:ascii="Arial" w:hAnsi="Arial" w:cs="Arial"/>
          <w:b/>
          <w:bCs/>
          <w:color w:val="212121"/>
          <w:sz w:val="20"/>
          <w:shd w:val="clear" w:color="auto" w:fill="FFFFFF"/>
        </w:rPr>
        <w:t> </w:t>
      </w:r>
      <w:r w:rsidR="008F1CF3">
        <w:rPr>
          <w:rFonts w:ascii="Arial" w:hAnsi="Arial" w:cs="Arial"/>
          <w:color w:val="212121"/>
          <w:sz w:val="20"/>
          <w:shd w:val="clear" w:color="auto" w:fill="FFFFFF"/>
        </w:rPr>
        <w:t>и</w:t>
      </w:r>
      <w:r w:rsidR="008F6BF8">
        <w:rPr>
          <w:rFonts w:ascii="Arial" w:hAnsi="Arial" w:cs="Arial"/>
          <w:color w:val="212121"/>
          <w:sz w:val="20"/>
          <w:shd w:val="clear" w:color="auto" w:fill="FFFFFF"/>
        </w:rPr>
        <w:t xml:space="preserve"> да се </w:t>
      </w:r>
      <w:r w:rsidR="008F1CF3">
        <w:rPr>
          <w:rFonts w:ascii="Arial" w:hAnsi="Arial" w:cs="Arial"/>
          <w:color w:val="212121"/>
          <w:sz w:val="20"/>
          <w:shd w:val="clear" w:color="auto" w:fill="FFFFFF"/>
        </w:rPr>
        <w:t>постави акцент върху политическите въпроси, които тряб</w:t>
      </w:r>
      <w:r w:rsidR="00953FBE">
        <w:rPr>
          <w:rFonts w:ascii="Arial" w:hAnsi="Arial" w:cs="Arial"/>
          <w:color w:val="212121"/>
          <w:sz w:val="20"/>
          <w:shd w:val="clear" w:color="auto" w:fill="FFFFFF"/>
        </w:rPr>
        <w:t>ва д</w:t>
      </w:r>
      <w:r w:rsidR="008F1CF3">
        <w:rPr>
          <w:rFonts w:ascii="Arial" w:hAnsi="Arial" w:cs="Arial"/>
          <w:color w:val="212121"/>
          <w:sz w:val="20"/>
          <w:shd w:val="clear" w:color="auto" w:fill="FFFFFF"/>
        </w:rPr>
        <w:t>а се решат от министрите. Председателството информира, че се очаква Европейският парламент (ЕП) да даде позицията си по пакета за реформата на ОСП след 2020 г.</w:t>
      </w:r>
      <w:r w:rsidR="00700EEB">
        <w:rPr>
          <w:rFonts w:ascii="Arial" w:hAnsi="Arial" w:cs="Arial"/>
          <w:color w:val="212121"/>
          <w:sz w:val="20"/>
          <w:shd w:val="clear" w:color="auto" w:fill="FFFFFF"/>
        </w:rPr>
        <w:t xml:space="preserve"> </w:t>
      </w:r>
      <w:r w:rsidR="008F1CF3">
        <w:rPr>
          <w:rFonts w:ascii="Arial" w:hAnsi="Arial" w:cs="Arial"/>
          <w:color w:val="212121"/>
          <w:sz w:val="20"/>
          <w:shd w:val="clear" w:color="auto" w:fill="FFFFFF"/>
        </w:rPr>
        <w:t xml:space="preserve">в края на месец октомври, като подчерта, че само стабилно решение на Съвета ще даде основа </w:t>
      </w:r>
      <w:r w:rsidR="008F1CF3">
        <w:rPr>
          <w:rFonts w:ascii="Arial" w:hAnsi="Arial" w:cs="Arial"/>
          <w:noProof/>
          <w:color w:val="212121"/>
          <w:sz w:val="20"/>
          <w:shd w:val="clear" w:color="auto" w:fill="FFFFFF"/>
        </w:rPr>
        <w:t xml:space="preserve">за триалозите с ЕП. Безспорно най-обсъждана беше темата за бюджета за еко схемите. </w:t>
      </w:r>
      <w:r w:rsidR="00700EEB">
        <w:rPr>
          <w:rFonts w:ascii="Arial" w:hAnsi="Arial" w:cs="Arial"/>
          <w:noProof/>
          <w:color w:val="212121"/>
          <w:sz w:val="20"/>
          <w:shd w:val="clear" w:color="auto" w:fill="FFFFFF"/>
        </w:rPr>
        <w:t>Някои държави-членки</w:t>
      </w:r>
      <w:r w:rsidR="008F1CF3">
        <w:rPr>
          <w:rFonts w:ascii="Arial" w:hAnsi="Arial" w:cs="Arial"/>
          <w:noProof/>
          <w:color w:val="212121"/>
          <w:sz w:val="20"/>
          <w:shd w:val="clear" w:color="auto" w:fill="FFFFFF"/>
        </w:rPr>
        <w:t xml:space="preserve"> подкрепят фиксиран</w:t>
      </w:r>
      <w:r w:rsidR="008F1CF3">
        <w:rPr>
          <w:rFonts w:ascii="Arial" w:hAnsi="Arial" w:cs="Arial"/>
          <w:color w:val="212121"/>
          <w:sz w:val="20"/>
          <w:shd w:val="clear" w:color="auto" w:fill="FFFFFF"/>
        </w:rPr>
        <w:t xml:space="preserve"> бюджет за еко схеми в размер на 20%. </w:t>
      </w:r>
      <w:r w:rsidR="00700EEB">
        <w:rPr>
          <w:rFonts w:ascii="Arial" w:hAnsi="Arial" w:cs="Arial"/>
          <w:color w:val="212121"/>
          <w:sz w:val="20"/>
          <w:shd w:val="clear" w:color="auto" w:fill="FFFFFF"/>
        </w:rPr>
        <w:t>Други страни възприемат к</w:t>
      </w:r>
      <w:r w:rsidR="008F1CF3">
        <w:rPr>
          <w:rFonts w:ascii="Arial" w:hAnsi="Arial" w:cs="Arial"/>
          <w:color w:val="212121"/>
          <w:sz w:val="20"/>
          <w:shd w:val="clear" w:color="auto" w:fill="FFFFFF"/>
        </w:rPr>
        <w:t xml:space="preserve">ато много висок този бюджет, </w:t>
      </w:r>
      <w:r w:rsidR="00700EEB">
        <w:rPr>
          <w:rFonts w:ascii="Arial" w:hAnsi="Arial" w:cs="Arial"/>
          <w:color w:val="212121"/>
          <w:sz w:val="20"/>
          <w:shd w:val="clear" w:color="auto" w:fill="FFFFFF"/>
        </w:rPr>
        <w:t>а</w:t>
      </w:r>
      <w:r w:rsidR="008F1CF3">
        <w:rPr>
          <w:rFonts w:ascii="Arial" w:hAnsi="Arial" w:cs="Arial"/>
          <w:color w:val="212121"/>
          <w:sz w:val="20"/>
          <w:shd w:val="clear" w:color="auto" w:fill="FFFFFF"/>
        </w:rPr>
        <w:t xml:space="preserve"> някои от тях считат, че трябва има гъвкавост и това да бъде предмет на национално решение. Друг важен въпрос, който беше предмет на широко обсъждане, беше обвързаната подкрепа. </w:t>
      </w:r>
      <w:r w:rsidR="00700EEB">
        <w:rPr>
          <w:rFonts w:ascii="Arial" w:hAnsi="Arial" w:cs="Arial"/>
          <w:color w:val="212121"/>
          <w:sz w:val="20"/>
          <w:shd w:val="clear" w:color="auto" w:fill="FFFFFF"/>
        </w:rPr>
        <w:t>Редица държави-членки</w:t>
      </w:r>
      <w:r w:rsidR="008F1CF3">
        <w:rPr>
          <w:rFonts w:ascii="Arial" w:hAnsi="Arial" w:cs="Arial"/>
          <w:color w:val="212121"/>
          <w:sz w:val="20"/>
          <w:shd w:val="clear" w:color="auto" w:fill="FFFFFF"/>
        </w:rPr>
        <w:t xml:space="preserve"> настояват да се запазят минимум сегашните нива на подкрепа – 13 + 2%, </w:t>
      </w:r>
      <w:r w:rsidR="00700EEB">
        <w:rPr>
          <w:rFonts w:ascii="Arial" w:hAnsi="Arial" w:cs="Arial"/>
          <w:color w:val="212121"/>
          <w:sz w:val="20"/>
          <w:shd w:val="clear" w:color="auto" w:fill="FFFFFF"/>
        </w:rPr>
        <w:t>а други</w:t>
      </w:r>
      <w:r w:rsidR="008F1CF3">
        <w:rPr>
          <w:rFonts w:ascii="Arial" w:hAnsi="Arial" w:cs="Arial"/>
          <w:color w:val="212121"/>
          <w:sz w:val="20"/>
          <w:shd w:val="clear" w:color="auto" w:fill="FFFFFF"/>
        </w:rPr>
        <w:t xml:space="preserve"> дори предлагат да бъдат разширени секторите, на които може да се предоставя</w:t>
      </w:r>
      <w:r w:rsidR="00700EEB">
        <w:rPr>
          <w:rFonts w:ascii="Arial" w:hAnsi="Arial" w:cs="Arial"/>
          <w:color w:val="212121"/>
          <w:sz w:val="20"/>
          <w:shd w:val="clear" w:color="auto" w:fill="FFFFFF"/>
        </w:rPr>
        <w:t xml:space="preserve"> обвързана подкрепа</w:t>
      </w:r>
      <w:r w:rsidR="008F1CF3">
        <w:rPr>
          <w:rFonts w:ascii="Arial" w:hAnsi="Arial" w:cs="Arial"/>
          <w:color w:val="212121"/>
          <w:sz w:val="20"/>
          <w:shd w:val="clear" w:color="auto" w:fill="FFFFFF"/>
        </w:rPr>
        <w:t xml:space="preserve">. </w:t>
      </w:r>
      <w:r w:rsidR="00AD6EA5">
        <w:rPr>
          <w:rFonts w:ascii="Arial" w:hAnsi="Arial" w:cs="Arial"/>
          <w:color w:val="212121"/>
          <w:sz w:val="20"/>
          <w:shd w:val="clear" w:color="auto" w:fill="FFFFFF"/>
        </w:rPr>
        <w:t>Една държава  по</w:t>
      </w:r>
      <w:r w:rsidR="008F1CF3">
        <w:rPr>
          <w:rFonts w:ascii="Arial" w:hAnsi="Arial" w:cs="Arial"/>
          <w:color w:val="212121"/>
          <w:sz w:val="20"/>
          <w:shd w:val="clear" w:color="auto" w:fill="FFFFFF"/>
        </w:rPr>
        <w:t xml:space="preserve">иска повече гъвкавост при прилагането на обвързана подкрепа за протеинови култури. </w:t>
      </w:r>
      <w:r w:rsidR="00183731">
        <w:rPr>
          <w:rFonts w:ascii="Arial" w:hAnsi="Arial" w:cs="Arial"/>
          <w:color w:val="212121"/>
          <w:sz w:val="20"/>
          <w:shd w:val="clear" w:color="auto" w:fill="FFFFFF"/>
        </w:rPr>
        <w:t xml:space="preserve">Има и държави, които желаят </w:t>
      </w:r>
      <w:r w:rsidR="008F1CF3">
        <w:rPr>
          <w:rFonts w:ascii="Arial" w:hAnsi="Arial" w:cs="Arial"/>
          <w:color w:val="212121"/>
          <w:sz w:val="20"/>
          <w:shd w:val="clear" w:color="auto" w:fill="FFFFFF"/>
        </w:rPr>
        <w:t xml:space="preserve"> да се предвиди възможност за постепенно премахване на обвързаната подкрепа. </w:t>
      </w:r>
      <w:r w:rsidR="00183731">
        <w:rPr>
          <w:rFonts w:ascii="Arial" w:hAnsi="Arial" w:cs="Arial"/>
          <w:color w:val="212121"/>
          <w:sz w:val="20"/>
          <w:shd w:val="clear" w:color="auto" w:fill="FFFFFF"/>
        </w:rPr>
        <w:t xml:space="preserve">Някои страни изразиха становище, че </w:t>
      </w:r>
      <w:r w:rsidR="008F1CF3">
        <w:rPr>
          <w:rFonts w:ascii="Arial" w:hAnsi="Arial" w:cs="Arial"/>
          <w:color w:val="212121"/>
          <w:sz w:val="20"/>
          <w:shd w:val="clear" w:color="auto" w:fill="FFFFFF"/>
        </w:rPr>
        <w:t>обвързаната подкрепа трябва да бъде 10% и да се пр</w:t>
      </w:r>
      <w:r w:rsidR="00183731">
        <w:rPr>
          <w:rFonts w:ascii="Arial" w:hAnsi="Arial" w:cs="Arial"/>
          <w:color w:val="212121"/>
          <w:sz w:val="20"/>
          <w:shd w:val="clear" w:color="auto" w:fill="FFFFFF"/>
        </w:rPr>
        <w:t>илага</w:t>
      </w:r>
      <w:r w:rsidR="008F1CF3">
        <w:rPr>
          <w:rFonts w:ascii="Arial" w:hAnsi="Arial" w:cs="Arial"/>
          <w:color w:val="212121"/>
          <w:sz w:val="20"/>
          <w:shd w:val="clear" w:color="auto" w:fill="FFFFFF"/>
        </w:rPr>
        <w:t xml:space="preserve"> само ако не води до увеличаване </w:t>
      </w:r>
      <w:r w:rsidR="00AB5246">
        <w:rPr>
          <w:rFonts w:ascii="Arial" w:hAnsi="Arial" w:cs="Arial"/>
          <w:color w:val="212121"/>
          <w:sz w:val="20"/>
          <w:shd w:val="clear" w:color="auto" w:fill="FFFFFF"/>
        </w:rPr>
        <w:t>на производството. Доброволното прилагане на истински</w:t>
      </w:r>
      <w:r w:rsidR="008F1CF3">
        <w:rPr>
          <w:rFonts w:ascii="Arial" w:hAnsi="Arial" w:cs="Arial"/>
          <w:color w:val="212121"/>
          <w:sz w:val="20"/>
          <w:shd w:val="clear" w:color="auto" w:fill="FFFFFF"/>
        </w:rPr>
        <w:t xml:space="preserve"> фермер и преразпределително плащане (ПРП) подкрепиха </w:t>
      </w:r>
      <w:r w:rsidR="00AB5246">
        <w:rPr>
          <w:rFonts w:ascii="Arial" w:hAnsi="Arial" w:cs="Arial"/>
          <w:color w:val="212121"/>
          <w:sz w:val="20"/>
          <w:shd w:val="clear" w:color="auto" w:fill="FFFFFF"/>
        </w:rPr>
        <w:t>две държави членки</w:t>
      </w:r>
      <w:r w:rsidR="008F1CF3">
        <w:rPr>
          <w:rFonts w:ascii="Arial" w:hAnsi="Arial" w:cs="Arial"/>
          <w:color w:val="212121"/>
          <w:sz w:val="20"/>
          <w:shd w:val="clear" w:color="auto" w:fill="FFFFFF"/>
        </w:rPr>
        <w:t xml:space="preserve">. Имаше </w:t>
      </w:r>
      <w:r w:rsidR="000856AD">
        <w:rPr>
          <w:rFonts w:ascii="Arial" w:hAnsi="Arial" w:cs="Arial"/>
          <w:color w:val="212121"/>
          <w:sz w:val="20"/>
          <w:shd w:val="clear" w:color="auto" w:fill="FFFFFF"/>
        </w:rPr>
        <w:t xml:space="preserve">обаче и </w:t>
      </w:r>
      <w:r w:rsidR="008F1CF3">
        <w:rPr>
          <w:rFonts w:ascii="Arial" w:hAnsi="Arial" w:cs="Arial"/>
          <w:color w:val="212121"/>
          <w:sz w:val="20"/>
          <w:shd w:val="clear" w:color="auto" w:fill="FFFFFF"/>
        </w:rPr>
        <w:t>мнения</w:t>
      </w:r>
      <w:r w:rsidR="000856AD">
        <w:rPr>
          <w:rFonts w:ascii="Arial" w:hAnsi="Arial" w:cs="Arial"/>
          <w:color w:val="212121"/>
          <w:sz w:val="20"/>
          <w:shd w:val="clear" w:color="auto" w:fill="FFFFFF"/>
        </w:rPr>
        <w:t xml:space="preserve"> за задължително прилагане на преразпределителното плащане.</w:t>
      </w:r>
      <w:r w:rsidR="008F1CF3">
        <w:rPr>
          <w:rFonts w:ascii="Arial" w:hAnsi="Arial" w:cs="Arial"/>
          <w:color w:val="212121"/>
          <w:sz w:val="20"/>
          <w:shd w:val="clear" w:color="auto" w:fill="FFFFFF"/>
        </w:rPr>
        <w:t xml:space="preserve"> </w:t>
      </w:r>
      <w:r w:rsidR="00AE12BC">
        <w:rPr>
          <w:rFonts w:ascii="Arial" w:hAnsi="Arial" w:cs="Arial"/>
          <w:color w:val="212121"/>
          <w:sz w:val="20"/>
          <w:shd w:val="clear" w:color="auto" w:fill="FFFFFF"/>
        </w:rPr>
        <w:t>О</w:t>
      </w:r>
      <w:r w:rsidR="008F1CF3">
        <w:rPr>
          <w:rFonts w:ascii="Arial" w:hAnsi="Arial" w:cs="Arial"/>
          <w:color w:val="212121"/>
          <w:sz w:val="20"/>
          <w:shd w:val="clear" w:color="auto" w:fill="FFFFFF"/>
        </w:rPr>
        <w:t>собено важен</w:t>
      </w:r>
      <w:r w:rsidR="00AE12BC">
        <w:rPr>
          <w:rFonts w:ascii="Arial" w:hAnsi="Arial" w:cs="Arial"/>
          <w:color w:val="212121"/>
          <w:sz w:val="20"/>
          <w:shd w:val="clear" w:color="auto" w:fill="FFFFFF"/>
        </w:rPr>
        <w:t xml:space="preserve"> въпрос</w:t>
      </w:r>
      <w:r w:rsidR="008F1CF3">
        <w:rPr>
          <w:rFonts w:ascii="Arial" w:hAnsi="Arial" w:cs="Arial"/>
          <w:color w:val="212121"/>
          <w:sz w:val="20"/>
          <w:shd w:val="clear" w:color="auto" w:fill="FFFFFF"/>
        </w:rPr>
        <w:t xml:space="preserve"> за България е запазването на възможността за подпомагане чрез преходна национална помощ </w:t>
      </w:r>
      <w:r w:rsidR="00AE12BC">
        <w:rPr>
          <w:rFonts w:ascii="Arial" w:hAnsi="Arial" w:cs="Arial"/>
          <w:color w:val="212121"/>
          <w:sz w:val="20"/>
          <w:shd w:val="clear" w:color="auto" w:fill="FFFFFF"/>
        </w:rPr>
        <w:t>през новия период на нивото на</w:t>
      </w:r>
      <w:r w:rsidR="008F1CF3">
        <w:rPr>
          <w:rFonts w:ascii="Arial" w:hAnsi="Arial" w:cs="Arial"/>
          <w:color w:val="212121"/>
          <w:sz w:val="20"/>
          <w:shd w:val="clear" w:color="auto" w:fill="FFFFFF"/>
        </w:rPr>
        <w:t xml:space="preserve"> сегашния бюджет от 50 %. </w:t>
      </w:r>
      <w:r w:rsidR="00AE12BC">
        <w:rPr>
          <w:rFonts w:ascii="Arial" w:hAnsi="Arial" w:cs="Arial"/>
          <w:color w:val="212121"/>
          <w:sz w:val="20"/>
          <w:shd w:val="clear" w:color="auto" w:fill="FFFFFF"/>
        </w:rPr>
        <w:t>Няколко държави членки също подкрепиха това искане</w:t>
      </w:r>
      <w:r w:rsidR="008F1CF3">
        <w:rPr>
          <w:rFonts w:ascii="Arial" w:hAnsi="Arial" w:cs="Arial"/>
          <w:color w:val="212121"/>
          <w:sz w:val="20"/>
          <w:shd w:val="clear" w:color="auto" w:fill="FFFFFF"/>
        </w:rPr>
        <w:t xml:space="preserve">. </w:t>
      </w:r>
      <w:r w:rsidR="00AE12BC">
        <w:rPr>
          <w:rFonts w:ascii="Arial" w:hAnsi="Arial" w:cs="Arial"/>
          <w:color w:val="212121"/>
          <w:sz w:val="20"/>
          <w:shd w:val="clear" w:color="auto" w:fill="FFFFFF"/>
        </w:rPr>
        <w:t xml:space="preserve">Някои държави членки подкрепиха </w:t>
      </w:r>
      <w:r w:rsidR="008F1CF3">
        <w:rPr>
          <w:rFonts w:ascii="Arial" w:hAnsi="Arial" w:cs="Arial"/>
          <w:color w:val="212121"/>
          <w:sz w:val="20"/>
          <w:shd w:val="clear" w:color="auto" w:fill="FFFFFF"/>
        </w:rPr>
        <w:t>запазване</w:t>
      </w:r>
      <w:r w:rsidR="00AE12BC">
        <w:rPr>
          <w:rFonts w:ascii="Arial" w:hAnsi="Arial" w:cs="Arial"/>
          <w:color w:val="212121"/>
          <w:sz w:val="20"/>
          <w:shd w:val="clear" w:color="auto" w:fill="FFFFFF"/>
        </w:rPr>
        <w:t>то</w:t>
      </w:r>
      <w:r w:rsidR="008F1CF3">
        <w:rPr>
          <w:rFonts w:ascii="Arial" w:hAnsi="Arial" w:cs="Arial"/>
          <w:color w:val="212121"/>
          <w:sz w:val="20"/>
          <w:shd w:val="clear" w:color="auto" w:fill="FFFFFF"/>
        </w:rPr>
        <w:t xml:space="preserve"> на прага от 2000 евро за целите на финансовата дисциплина. На срещата България </w:t>
      </w:r>
      <w:r w:rsidR="00E5539F">
        <w:rPr>
          <w:rFonts w:ascii="Arial" w:hAnsi="Arial" w:cs="Arial"/>
          <w:color w:val="212121"/>
          <w:sz w:val="20"/>
          <w:shd w:val="clear" w:color="auto" w:fill="FFFFFF"/>
        </w:rPr>
        <w:t xml:space="preserve">изтъкна своите приоритети като </w:t>
      </w:r>
      <w:r w:rsidR="008F1CF3">
        <w:rPr>
          <w:rFonts w:ascii="Arial" w:hAnsi="Arial" w:cs="Arial"/>
          <w:color w:val="212121"/>
          <w:sz w:val="20"/>
          <w:shd w:val="clear" w:color="auto" w:fill="FFFFFF"/>
        </w:rPr>
        <w:t xml:space="preserve">запазването на преходната национална помощ на текущите нива на подкрепа и предвиждането на възможност за актуализация на референтната година с 2018 г.; запазване на обвързаната </w:t>
      </w:r>
      <w:r w:rsidR="008F1CF3">
        <w:rPr>
          <w:rFonts w:ascii="Arial" w:hAnsi="Arial" w:cs="Arial"/>
          <w:noProof/>
          <w:color w:val="212121"/>
          <w:sz w:val="20"/>
          <w:shd w:val="clear" w:color="auto" w:fill="FFFFFF"/>
        </w:rPr>
        <w:t>подкрепа и дори по-голяма амбиция за по-високи нива на подпомагане; гъвкавост при вземане на решения за екосхемите, въвеждането на единен процент на площите с екологична насоченост в изискванията за добро земеделско</w:t>
      </w:r>
      <w:r w:rsidR="008F1CF3">
        <w:rPr>
          <w:rFonts w:ascii="Arial" w:hAnsi="Arial" w:cs="Arial"/>
          <w:color w:val="212121"/>
          <w:sz w:val="20"/>
          <w:shd w:val="clear" w:color="auto" w:fill="FFFFFF"/>
        </w:rPr>
        <w:t xml:space="preserve"> и екологично състояние (ДЗЕС 9) от максимум 5% и запазване на приложимия към момента праг по отношение на изискването за поддържане на площи с екологична насоченост от 15 ха и праг от 10 ха по отношение на  разнообразяването на културите в ДЗЕС 8, както и изключването </w:t>
      </w:r>
      <w:r w:rsidR="00E5539F">
        <w:rPr>
          <w:rFonts w:ascii="Arial" w:hAnsi="Arial" w:cs="Arial"/>
          <w:color w:val="212121"/>
          <w:sz w:val="20"/>
          <w:shd w:val="clear" w:color="auto" w:fill="FFFFFF"/>
        </w:rPr>
        <w:t xml:space="preserve">на </w:t>
      </w:r>
      <w:r w:rsidR="008F1CF3">
        <w:rPr>
          <w:rFonts w:ascii="Arial" w:hAnsi="Arial" w:cs="Arial"/>
          <w:color w:val="212121"/>
          <w:sz w:val="20"/>
          <w:shd w:val="clear" w:color="auto" w:fill="FFFFFF"/>
        </w:rPr>
        <w:t>бенефициенти, които получават директни плащания до 2 000 евро, от механизма за финансова дисциплина.</w:t>
      </w:r>
    </w:p>
    <w:p w:rsidR="006F3152" w:rsidRDefault="006F3152" w:rsidP="006F3152">
      <w:pPr>
        <w:jc w:val="both"/>
        <w:rPr>
          <w:rFonts w:ascii="Arial" w:hAnsi="Arial" w:cs="Arial"/>
          <w:color w:val="212121"/>
          <w:sz w:val="20"/>
          <w:shd w:val="clear" w:color="auto" w:fill="FFFFFF"/>
        </w:rPr>
      </w:pPr>
    </w:p>
    <w:p w:rsidR="00795712" w:rsidRPr="006F3152" w:rsidRDefault="00795712" w:rsidP="006F3152">
      <w:pPr>
        <w:jc w:val="both"/>
        <w:rPr>
          <w:rFonts w:ascii="Arial" w:hAnsi="Arial" w:cs="Arial"/>
          <w:color w:val="212121"/>
          <w:sz w:val="20"/>
          <w:shd w:val="clear" w:color="auto" w:fill="FFFFFF"/>
        </w:rPr>
      </w:pPr>
      <w:r>
        <w:rPr>
          <w:rFonts w:ascii="Arial" w:hAnsi="Arial" w:cs="Arial"/>
          <w:b/>
          <w:color w:val="212121"/>
          <w:sz w:val="20"/>
          <w:shd w:val="clear" w:color="auto" w:fill="FFFFFF"/>
        </w:rPr>
        <w:t xml:space="preserve">6. </w:t>
      </w:r>
      <w:r>
        <w:rPr>
          <w:rFonts w:ascii="Arial" w:hAnsi="Arial" w:cs="Arial"/>
          <w:b/>
          <w:bCs/>
          <w:sz w:val="20"/>
        </w:rPr>
        <w:t>На 12 октомври се проведе присъствено заседание на Специалния комитет по селско стопанство в гр. Брюксел.</w:t>
      </w:r>
      <w:r>
        <w:rPr>
          <w:rFonts w:ascii="Arial" w:hAnsi="Arial" w:cs="Arial"/>
          <w:sz w:val="20"/>
        </w:rPr>
        <w:t xml:space="preserve"> По време на заседанието бяха представени за обсъждане последните редакции на заключения на Съвета относно стратегията „От фермата до трапезата“ и предложенията за Регламент относно стратегическите планове по ОСП и Хоризонтален регламент. Председателството поясни, че има намерение да предостав</w:t>
      </w:r>
      <w:r w:rsidR="00573D2E">
        <w:rPr>
          <w:rFonts w:ascii="Arial" w:hAnsi="Arial" w:cs="Arial"/>
          <w:sz w:val="20"/>
        </w:rPr>
        <w:t>и</w:t>
      </w:r>
      <w:r>
        <w:rPr>
          <w:rFonts w:ascii="Arial" w:hAnsi="Arial" w:cs="Arial"/>
          <w:sz w:val="20"/>
        </w:rPr>
        <w:t xml:space="preserve"> заключенията за одобрение на Съвета на министрите, предвиден за 19 октомври</w:t>
      </w:r>
      <w:r w:rsidR="00573D2E">
        <w:rPr>
          <w:rFonts w:ascii="Arial" w:hAnsi="Arial" w:cs="Arial"/>
          <w:sz w:val="20"/>
        </w:rPr>
        <w:t>. П</w:t>
      </w:r>
      <w:r>
        <w:rPr>
          <w:rFonts w:ascii="Arial" w:hAnsi="Arial" w:cs="Arial"/>
          <w:sz w:val="20"/>
        </w:rPr>
        <w:t>ризова дел</w:t>
      </w:r>
      <w:r w:rsidR="00573D2E">
        <w:rPr>
          <w:rFonts w:ascii="Arial" w:hAnsi="Arial" w:cs="Arial"/>
          <w:sz w:val="20"/>
        </w:rPr>
        <w:t>е</w:t>
      </w:r>
      <w:r>
        <w:rPr>
          <w:rFonts w:ascii="Arial" w:hAnsi="Arial" w:cs="Arial"/>
          <w:sz w:val="20"/>
        </w:rPr>
        <w:t>гациите да потв</w:t>
      </w:r>
      <w:r w:rsidR="00573D2E">
        <w:rPr>
          <w:rFonts w:ascii="Arial" w:hAnsi="Arial" w:cs="Arial"/>
          <w:sz w:val="20"/>
        </w:rPr>
        <w:t>ъ</w:t>
      </w:r>
      <w:r>
        <w:rPr>
          <w:rFonts w:ascii="Arial" w:hAnsi="Arial" w:cs="Arial"/>
          <w:sz w:val="20"/>
        </w:rPr>
        <w:t xml:space="preserve">рдят дали предложените редакции на текстовете на регламенти представляват добра основа към момента за постигане на обща позиция на Съвета относно реформата на ОСП след 2020 г. По-конкретно, дискусиите относно еко-схемите в директните плащания показаха, че </w:t>
      </w:r>
      <w:r>
        <w:rPr>
          <w:rFonts w:ascii="Arial" w:hAnsi="Arial" w:cs="Arial"/>
          <w:sz w:val="20"/>
        </w:rPr>
        <w:lastRenderedPageBreak/>
        <w:t>мнозинството от ДЧ продължава да търси допълнителни гаранции и прецизиране на текстове, свързани с осигуряване на гъвкавост</w:t>
      </w:r>
      <w:r w:rsidR="00573D2E">
        <w:rPr>
          <w:rFonts w:ascii="Arial" w:hAnsi="Arial" w:cs="Arial"/>
          <w:sz w:val="20"/>
        </w:rPr>
        <w:t>,</w:t>
      </w:r>
      <w:r>
        <w:rPr>
          <w:rFonts w:ascii="Arial" w:hAnsi="Arial" w:cs="Arial"/>
          <w:sz w:val="20"/>
        </w:rPr>
        <w:t xml:space="preserve"> с оглед минимизиране на риска от загуба на средства. Относно условността, според председателството голяма част очакваната екологична амбиция е съсредоточена в изпълнението на ДЗЕС 8 и 9. </w:t>
      </w:r>
      <w:r w:rsidR="00573D2E">
        <w:rPr>
          <w:rFonts w:ascii="Arial" w:hAnsi="Arial" w:cs="Arial"/>
          <w:sz w:val="20"/>
        </w:rPr>
        <w:t>По</w:t>
      </w:r>
      <w:r>
        <w:rPr>
          <w:rFonts w:ascii="Arial" w:hAnsi="Arial" w:cs="Arial"/>
          <w:sz w:val="20"/>
        </w:rPr>
        <w:t xml:space="preserve"> ДЗЕС 9 </w:t>
      </w:r>
      <w:r w:rsidR="00573D2E">
        <w:rPr>
          <w:rFonts w:ascii="Arial" w:hAnsi="Arial" w:cs="Arial"/>
          <w:sz w:val="20"/>
        </w:rPr>
        <w:t xml:space="preserve">предложеният от председателството </w:t>
      </w:r>
      <w:r>
        <w:rPr>
          <w:rFonts w:ascii="Arial" w:hAnsi="Arial" w:cs="Arial"/>
          <w:sz w:val="20"/>
        </w:rPr>
        <w:t>единен процент за целия ЕС на площите с екологична насоченост в размер от 5% среща подкрепата на мнозинството делегации. Голяма част от ДЧ също одобряват възприетия от председателството подход за изключване на някои територии и ферми от тези стандарти</w:t>
      </w:r>
      <w:r w:rsidR="00573D2E">
        <w:rPr>
          <w:rFonts w:ascii="Arial" w:hAnsi="Arial" w:cs="Arial"/>
          <w:sz w:val="20"/>
        </w:rPr>
        <w:t>те</w:t>
      </w:r>
      <w:r>
        <w:rPr>
          <w:rFonts w:ascii="Arial" w:hAnsi="Arial" w:cs="Arial"/>
          <w:sz w:val="20"/>
        </w:rPr>
        <w:t xml:space="preserve"> (към момента с размер до 5 ха). България поиска още веднъж да се запази приложимия към момента праг по отношение на изискването за поддържане на площи с екологична насоченост от 15</w:t>
      </w:r>
      <w:r w:rsidR="00573D2E">
        <w:rPr>
          <w:rFonts w:ascii="Arial" w:hAnsi="Arial" w:cs="Arial"/>
          <w:sz w:val="20"/>
        </w:rPr>
        <w:t xml:space="preserve"> </w:t>
      </w:r>
      <w:r>
        <w:rPr>
          <w:rFonts w:ascii="Arial" w:hAnsi="Arial" w:cs="Arial"/>
          <w:sz w:val="20"/>
        </w:rPr>
        <w:t>ха, както и прага от 10</w:t>
      </w:r>
      <w:r w:rsidR="00573D2E">
        <w:rPr>
          <w:rFonts w:ascii="Arial" w:hAnsi="Arial" w:cs="Arial"/>
          <w:sz w:val="20"/>
        </w:rPr>
        <w:t xml:space="preserve"> </w:t>
      </w:r>
      <w:r>
        <w:rPr>
          <w:rFonts w:ascii="Arial" w:hAnsi="Arial" w:cs="Arial"/>
          <w:sz w:val="20"/>
        </w:rPr>
        <w:t xml:space="preserve">ха по отношение на  разнообразяването на културите в ДЗЕС 8. Сходна позиция или искане за запазване на гъвкавост изказаха </w:t>
      </w:r>
      <w:r w:rsidR="00573D2E">
        <w:rPr>
          <w:rFonts w:ascii="Arial" w:hAnsi="Arial" w:cs="Arial"/>
          <w:sz w:val="20"/>
        </w:rPr>
        <w:t>редица държави-членки</w:t>
      </w:r>
      <w:r>
        <w:rPr>
          <w:rFonts w:ascii="Arial" w:hAnsi="Arial" w:cs="Arial"/>
          <w:sz w:val="20"/>
        </w:rPr>
        <w:t xml:space="preserve">. Относно обвързана подкрепа, повечето </w:t>
      </w:r>
      <w:r w:rsidR="00FD51EF">
        <w:rPr>
          <w:rFonts w:ascii="Arial" w:hAnsi="Arial" w:cs="Arial"/>
          <w:sz w:val="20"/>
        </w:rPr>
        <w:t>страни</w:t>
      </w:r>
      <w:r>
        <w:rPr>
          <w:rFonts w:ascii="Arial" w:hAnsi="Arial" w:cs="Arial"/>
          <w:sz w:val="20"/>
        </w:rPr>
        <w:t xml:space="preserve"> изразиха удовлетворение от запазване на бюджета от 13%+2%, като въпросът остава за обсъждане от министрите. Относно преходната национална помощ, България подчерта като свой приоритет запазване на текущото ниво на подкрепа (към 2020 г), без намаление до края на периода (50% от бюджет 2013 г.) и предвиждането на възможност</w:t>
      </w:r>
      <w:r w:rsidR="00FD51EF">
        <w:rPr>
          <w:rFonts w:ascii="Arial" w:hAnsi="Arial" w:cs="Arial"/>
          <w:sz w:val="20"/>
        </w:rPr>
        <w:t xml:space="preserve"> </w:t>
      </w:r>
      <w:r>
        <w:rPr>
          <w:rFonts w:ascii="Arial" w:hAnsi="Arial" w:cs="Arial"/>
          <w:sz w:val="20"/>
        </w:rPr>
        <w:t>за актуализиране на референтната година за прилагане на схемите (с 2018 г.). В същия дух се изказа</w:t>
      </w:r>
      <w:r w:rsidR="00FD51EF">
        <w:rPr>
          <w:rFonts w:ascii="Arial" w:hAnsi="Arial" w:cs="Arial"/>
          <w:sz w:val="20"/>
        </w:rPr>
        <w:t xml:space="preserve"> още една държава –членка, а друга изтъкна</w:t>
      </w:r>
      <w:r>
        <w:rPr>
          <w:rFonts w:ascii="Arial" w:hAnsi="Arial" w:cs="Arial"/>
          <w:sz w:val="20"/>
        </w:rPr>
        <w:t xml:space="preserve"> несъгласие</w:t>
      </w:r>
      <w:r w:rsidR="00FD51EF">
        <w:rPr>
          <w:rFonts w:ascii="Arial" w:hAnsi="Arial" w:cs="Arial"/>
          <w:sz w:val="20"/>
        </w:rPr>
        <w:t>то си</w:t>
      </w:r>
      <w:r>
        <w:rPr>
          <w:rFonts w:ascii="Arial" w:hAnsi="Arial" w:cs="Arial"/>
          <w:sz w:val="20"/>
        </w:rPr>
        <w:t>. Председателството не взе отношение по текста. Относно налагането на намаление на плащанията (т.</w:t>
      </w:r>
      <w:r w:rsidR="00623E57">
        <w:rPr>
          <w:rFonts w:ascii="Arial" w:hAnsi="Arial" w:cs="Arial"/>
          <w:sz w:val="20"/>
        </w:rPr>
        <w:t xml:space="preserve"> </w:t>
      </w:r>
      <w:r>
        <w:rPr>
          <w:rFonts w:ascii="Arial" w:hAnsi="Arial" w:cs="Arial"/>
          <w:sz w:val="20"/>
        </w:rPr>
        <w:t>нар „тавани), някои делегации продължават да се противопоставят на текста и опре</w:t>
      </w:r>
      <w:r w:rsidR="001819FD">
        <w:rPr>
          <w:rFonts w:ascii="Arial" w:hAnsi="Arial" w:cs="Arial"/>
          <w:sz w:val="20"/>
        </w:rPr>
        <w:t>делените прагове,</w:t>
      </w:r>
      <w:r>
        <w:rPr>
          <w:rFonts w:ascii="Arial" w:hAnsi="Arial" w:cs="Arial"/>
          <w:sz w:val="20"/>
        </w:rPr>
        <w:t xml:space="preserve"> макар и доброволни. Относно редакциите на Хоризонталния регламент, делегациите засегнаха въвеждането на облекчен контрол при малки стопанства и въвеждането на механизъм за изключване от финансова дисциплина. Относно облекчения контрол при малки стопанства, председателството увери България, че опростеният контрол за малките стопани се прилага според текущата редакция в текста за всички стопани до 5 ха, независимо от участието им в схемата за дребни стопани. Относно механиз</w:t>
      </w:r>
      <w:r w:rsidR="00623E57">
        <w:rPr>
          <w:rFonts w:ascii="Arial" w:hAnsi="Arial" w:cs="Arial"/>
          <w:sz w:val="20"/>
        </w:rPr>
        <w:t>м</w:t>
      </w:r>
      <w:r>
        <w:rPr>
          <w:rFonts w:ascii="Arial" w:hAnsi="Arial" w:cs="Arial"/>
          <w:sz w:val="20"/>
        </w:rPr>
        <w:t>ът за изключване от финансова дисциплина, позициите на ДЧ остават разделени относно запазването на прага от 2000 евро при финансовата дисциплина, като  въпросът остава за решение на министрите. По време на дискусията бяха отправени единични призиви от някои делегации за продължение на работата по редакцията на Регламента за общата организация на пазарите и по-конкретно относно текста за укрепване на предпазната мрежа. Председателството отговори, че счита този текст за стабилен и подчерта, че допълнителни подобрения следва да се търсят в етапа на тристранни преговори.</w:t>
      </w:r>
    </w:p>
    <w:p w:rsidR="008A72C9" w:rsidRDefault="008A72C9" w:rsidP="008A72C9">
      <w:pPr>
        <w:jc w:val="both"/>
        <w:rPr>
          <w:rFonts w:ascii="Arial" w:hAnsi="Arial" w:cs="Arial"/>
          <w:color w:val="212121"/>
          <w:sz w:val="20"/>
          <w:shd w:val="clear" w:color="auto" w:fill="FFFFFF"/>
        </w:rPr>
      </w:pPr>
    </w:p>
    <w:p w:rsidR="0072576F" w:rsidRDefault="00795712" w:rsidP="004E429E">
      <w:pPr>
        <w:pStyle w:val="HTMLPreformatted"/>
        <w:shd w:val="clear" w:color="auto" w:fill="FFFFFF"/>
        <w:jc w:val="both"/>
        <w:rPr>
          <w:rFonts w:ascii="Arial" w:hAnsi="Arial" w:cs="Arial"/>
          <w:b/>
        </w:rPr>
      </w:pPr>
      <w:r>
        <w:rPr>
          <w:rFonts w:ascii="Arial" w:hAnsi="Arial" w:cs="Arial"/>
          <w:b/>
          <w:color w:val="222222"/>
        </w:rPr>
        <w:t>7</w:t>
      </w:r>
      <w:bookmarkStart w:id="0" w:name="_GoBack"/>
      <w:r w:rsidR="006B5908" w:rsidRPr="00661147">
        <w:rPr>
          <w:rFonts w:ascii="Arial" w:hAnsi="Arial" w:cs="Arial"/>
          <w:b/>
          <w:noProof/>
          <w:color w:val="222222"/>
        </w:rPr>
        <w:t>. На 12 и 13 октомври Комисията по земеделие към Европейския парламент финализира компромисни текстове относно бъдещата Обща селскостопанска политика (ОСП) след 2020 г., включително разпоредба за заделяне на 30% от средствата за директни плащания за екологизация</w:t>
      </w:r>
      <w:r w:rsidR="006B5908" w:rsidRPr="00661147">
        <w:rPr>
          <w:rFonts w:ascii="Arial" w:hAnsi="Arial" w:cs="Arial"/>
          <w:noProof/>
          <w:color w:val="222222"/>
        </w:rPr>
        <w:t xml:space="preserve">. В допълнение към това се предвижда възможност държавите-членки да могат да прехвърлят част от средствата към втория стълб на ОСП, в случай че те не са усвоени. Oтново в контекста на стратегическите планове на ОСП, предложеният компромис предвижда общо 60% от пакета за директни плащания да бъдат разпределени за основното плащане на площ, преразпределителното плащане, обвързана подкрепа. Предвижда се също така минимум 35% от средствата по втори стълб на ОСП да бъдат свързани с околната среда и климата. Съветът на ЕС работи по общ подход и с оглед на предстоящия </w:t>
      </w:r>
      <w:r w:rsidR="006B5908" w:rsidRPr="00661147">
        <w:rPr>
          <w:rFonts w:ascii="Arial" w:hAnsi="Arial" w:cs="Arial"/>
          <w:noProof/>
        </w:rPr>
        <w:t>Съвет по земеделие и рибарство на 19/20 октомври 2020 г.</w:t>
      </w:r>
      <w:r w:rsidR="006B5908" w:rsidRPr="00661147">
        <w:rPr>
          <w:rFonts w:ascii="Arial" w:hAnsi="Arial" w:cs="Arial"/>
          <w:noProof/>
          <w:color w:val="222222"/>
        </w:rPr>
        <w:t xml:space="preserve">, на 12 октомври Германското председателство на Съвета на ЕС представи документ </w:t>
      </w:r>
      <w:r w:rsidR="00F82F51" w:rsidRPr="00661147">
        <w:rPr>
          <w:rFonts w:ascii="Arial" w:hAnsi="Arial" w:cs="Arial"/>
          <w:noProof/>
          <w:color w:val="222222"/>
        </w:rPr>
        <w:t>с</w:t>
      </w:r>
      <w:r w:rsidR="006B5908" w:rsidRPr="00661147">
        <w:rPr>
          <w:rFonts w:ascii="Arial" w:hAnsi="Arial" w:cs="Arial"/>
          <w:noProof/>
          <w:color w:val="222222"/>
        </w:rPr>
        <w:t xml:space="preserve"> основните елементи в регламентите за ОСП след 2020 г. В представения от председателството документ е предложен</w:t>
      </w:r>
      <w:r w:rsidR="00F82F51" w:rsidRPr="00661147">
        <w:rPr>
          <w:rFonts w:ascii="Arial" w:hAnsi="Arial" w:cs="Arial"/>
          <w:noProof/>
          <w:color w:val="222222"/>
        </w:rPr>
        <w:t>о</w:t>
      </w:r>
      <w:r w:rsidR="006B5908" w:rsidRPr="00661147">
        <w:rPr>
          <w:rFonts w:ascii="Arial" w:hAnsi="Arial" w:cs="Arial"/>
          <w:noProof/>
          <w:color w:val="222222"/>
        </w:rPr>
        <w:t xml:space="preserve"> 20% от директната подкрепа</w:t>
      </w:r>
      <w:r w:rsidR="00F82F51" w:rsidRPr="00661147">
        <w:rPr>
          <w:rFonts w:ascii="Arial" w:hAnsi="Arial" w:cs="Arial"/>
          <w:noProof/>
          <w:color w:val="222222"/>
        </w:rPr>
        <w:t xml:space="preserve"> да са</w:t>
      </w:r>
      <w:r w:rsidR="006B5908" w:rsidRPr="00661147">
        <w:rPr>
          <w:rFonts w:ascii="Arial" w:hAnsi="Arial" w:cs="Arial"/>
          <w:noProof/>
          <w:color w:val="222222"/>
        </w:rPr>
        <w:t xml:space="preserve"> предназначени за еко-схеми. Съветът по земеделие се надява да постигне „общ подход“ по отношение на ОСП след 2020 г. в Люксембург на 19 и 20 октомври. Тогава могат да започнат преговори между Европейския парламент и Съвета на ЕС за окончателно споразумение. Резултатът от гласуването в пленарната сесия на Европейския парламент по докладите за Общата селскостопанска политика (ОСП) след 2020 г. обаче остава несигурен поради разногласия в Парламента относно еко-схемите. В свое изказване от миналата седмица евродепутатът Ан Сандър (ЕНП, Франция)  изрази опасения, че балансът е много крехък. Рискът е, че някои членове на ЕП не биха гласували за тези компромисни изменения с мотива, че договорените параметри за екологизация са твърде амбициозни или обратното - недостатъчно амбициозни. Някои евродепутати призовават 40% от средствата за директни плащания да бъдат предназначени за еко-схеми, някои настояват процентът да бъде 50% и дори 60% (представители на групата на </w:t>
      </w:r>
      <w:r w:rsidR="006B5908" w:rsidRPr="00661147">
        <w:rPr>
          <w:rFonts w:ascii="Arial" w:hAnsi="Arial" w:cs="Arial"/>
          <w:noProof/>
        </w:rPr>
        <w:t>Confederal Group of the European United Left/Nordic Green Left)</w:t>
      </w:r>
      <w:r w:rsidR="006B5908" w:rsidRPr="00661147">
        <w:rPr>
          <w:rFonts w:ascii="Arial" w:hAnsi="Arial" w:cs="Arial"/>
          <w:noProof/>
          <w:color w:val="222222"/>
        </w:rPr>
        <w:t>. Според г-жа Сандър важното е да има обща и задължителна система, ако няма достатъчно точен списък с мерки по еко схемите, всяка държава-членка ще има свободата да направи това, което иска, а ако мерките са твърде ограничителни, от друга страна, финансирането може да бъде загубено.</w:t>
      </w:r>
      <w:bookmarkEnd w:id="0"/>
    </w:p>
    <w:sectPr w:rsidR="0072576F" w:rsidSect="00852688">
      <w:headerReference w:type="default" r:id="rId9"/>
      <w:footerReference w:type="even" r:id="rId10"/>
      <w:footerReference w:type="default" r:id="rId11"/>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972" w:rsidRDefault="00D67972">
      <w:r>
        <w:separator/>
      </w:r>
    </w:p>
  </w:endnote>
  <w:endnote w:type="continuationSeparator" w:id="0">
    <w:p w:rsidR="00D67972" w:rsidRDefault="00D6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D679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3" w:rsidRPr="004B3CB3" w:rsidRDefault="00D67972" w:rsidP="004B3CB3">
    <w:pPr>
      <w:pStyle w:val="Footer"/>
      <w:pBdr>
        <w:bottom w:val="single" w:sz="4" w:space="1" w:color="7030A0"/>
      </w:pBdr>
      <w:ind w:right="-23"/>
      <w:rPr>
        <w:rFonts w:ascii="Arial" w:hAnsi="Arial"/>
        <w:i/>
        <w:iCs/>
        <w:color w:val="800080"/>
        <w:sz w:val="18"/>
        <w:szCs w:val="18"/>
        <w:lang w:val="en-US"/>
      </w:rPr>
    </w:pPr>
  </w:p>
  <w:p w:rsidR="004B3CB3" w:rsidRPr="008B7A95" w:rsidRDefault="00403CB9" w:rsidP="004B3CB3">
    <w:pPr>
      <w:pStyle w:val="Footer"/>
      <w:ind w:right="-23"/>
      <w:rPr>
        <w:rFonts w:ascii="Arial" w:hAnsi="Arial" w:cs="Arial"/>
        <w:i/>
        <w:sz w:val="20"/>
        <w:lang w:val="ru-RU"/>
      </w:rPr>
    </w:pPr>
    <w:r>
      <w:rPr>
        <w:rFonts w:ascii="Arial" w:hAnsi="Arial"/>
        <w:i/>
        <w:iCs/>
        <w:color w:val="800080"/>
        <w:sz w:val="18"/>
        <w:szCs w:val="18"/>
      </w:rPr>
      <w:t>Д</w:t>
    </w:r>
    <w:r w:rsidR="00AB2303">
      <w:rPr>
        <w:rFonts w:ascii="Arial" w:hAnsi="Arial"/>
        <w:i/>
        <w:iCs/>
        <w:color w:val="800080"/>
        <w:sz w:val="18"/>
        <w:szCs w:val="18"/>
      </w:rPr>
      <w:t xml:space="preserve">ирекции „Директни плащания </w:t>
    </w:r>
    <w:r>
      <w:rPr>
        <w:rFonts w:ascii="Arial" w:hAnsi="Arial"/>
        <w:i/>
        <w:iCs/>
        <w:color w:val="800080"/>
        <w:sz w:val="18"/>
        <w:szCs w:val="18"/>
      </w:rPr>
      <w:t xml:space="preserve">” и „Пазарни мерки и организации на </w:t>
    </w:r>
    <w:r w:rsidRPr="004B3CB3">
      <w:rPr>
        <w:rFonts w:ascii="Arial" w:hAnsi="Arial"/>
        <w:i/>
        <w:iCs/>
        <w:color w:val="800080"/>
        <w:sz w:val="18"/>
        <w:szCs w:val="18"/>
        <w:lang w:val="ru-RU"/>
      </w:rPr>
      <w:t xml:space="preserve"> </w:t>
    </w:r>
    <w:r w:rsidR="00AB2303">
      <w:rPr>
        <w:rFonts w:ascii="Arial" w:hAnsi="Arial"/>
        <w:i/>
        <w:iCs/>
        <w:color w:val="800080"/>
        <w:sz w:val="18"/>
        <w:szCs w:val="18"/>
      </w:rPr>
      <w:t>производители“, МЗХГ</w:t>
    </w:r>
    <w:r w:rsidR="00AB2303" w:rsidRPr="004B3CB3">
      <w:rPr>
        <w:rFonts w:ascii="Arial" w:hAnsi="Arial"/>
        <w:i/>
        <w:iCs/>
        <w:color w:val="800080"/>
        <w:sz w:val="18"/>
        <w:szCs w:val="18"/>
        <w:lang w:val="ru-RU"/>
      </w:rPr>
      <w:t xml:space="preserve"> </w:t>
    </w:r>
    <w:r w:rsidR="00002852">
      <w:rPr>
        <w:rFonts w:ascii="Arial" w:hAnsi="Arial"/>
        <w:i/>
        <w:iCs/>
        <w:color w:val="800080"/>
        <w:sz w:val="18"/>
        <w:szCs w:val="18"/>
        <w:lang w:val="ru-RU"/>
      </w:rPr>
      <w:tab/>
    </w:r>
    <w:r w:rsidR="00002852">
      <w:rPr>
        <w:rFonts w:ascii="Arial" w:hAnsi="Arial"/>
        <w:i/>
        <w:iCs/>
        <w:color w:val="800080"/>
        <w:sz w:val="18"/>
        <w:szCs w:val="18"/>
        <w:lang w:val="ru-RU"/>
      </w:rPr>
      <w:tab/>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661147">
      <w:rPr>
        <w:rFonts w:ascii="Arial" w:hAnsi="Arial"/>
        <w:i/>
        <w:iCs/>
        <w:noProof/>
        <w:color w:val="800080"/>
        <w:sz w:val="18"/>
        <w:szCs w:val="18"/>
      </w:rPr>
      <w:t>2</w:t>
    </w:r>
    <w:r w:rsidRPr="004B3CB3">
      <w:rPr>
        <w:rFonts w:ascii="Arial" w:hAnsi="Arial"/>
        <w:i/>
        <w:iCs/>
        <w:color w:val="800080"/>
        <w:sz w:val="18"/>
        <w:szCs w:val="18"/>
      </w:rPr>
      <w:fldChar w:fldCharType="end"/>
    </w:r>
  </w:p>
  <w:p w:rsidR="005618E1" w:rsidRPr="004B3CB3" w:rsidRDefault="00D67972">
    <w:pPr>
      <w:pStyle w:val="Footer"/>
      <w:ind w:right="360"/>
      <w:rPr>
        <w:rFonts w:ascii="Arial" w:hAnsi="Arial"/>
        <w:i/>
        <w:iCs/>
        <w:color w:val="800080"/>
        <w:sz w:val="18"/>
        <w:szCs w:val="18"/>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972" w:rsidRDefault="00D67972">
      <w:r>
        <w:separator/>
      </w:r>
    </w:p>
  </w:footnote>
  <w:footnote w:type="continuationSeparator" w:id="0">
    <w:p w:rsidR="00D67972" w:rsidRDefault="00D67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1E0" w:firstRow="1" w:lastRow="1" w:firstColumn="1" w:lastColumn="1" w:noHBand="0" w:noVBand="0"/>
    </w:tblPr>
    <w:tblGrid>
      <w:gridCol w:w="7282"/>
      <w:gridCol w:w="2510"/>
    </w:tblGrid>
    <w:tr w:rsidR="005618E1">
      <w:trPr>
        <w:trHeight w:val="495"/>
      </w:trPr>
      <w:tc>
        <w:tcPr>
          <w:tcW w:w="7379" w:type="dxa"/>
        </w:tcPr>
        <w:p w:rsidR="005618E1" w:rsidRDefault="00403CB9">
          <w:r>
            <w:rPr>
              <w:rFonts w:ascii="Palatino Linotype" w:hAnsi="Palatino Linotype" w:cs="Palatino Linotype"/>
              <w:i/>
              <w:iCs/>
              <w:noProof/>
              <w:sz w:val="52"/>
              <w:szCs w:val="52"/>
              <w:lang w:val="en-US"/>
            </w:rPr>
            <w:drawing>
              <wp:inline distT="0" distB="0" distL="0" distR="0" wp14:anchorId="74A51F42" wp14:editId="7DAD1498">
                <wp:extent cx="233680" cy="21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p>
      </w:tc>
      <w:tc>
        <w:tcPr>
          <w:tcW w:w="2535" w:type="dxa"/>
          <w:vMerge w:val="restart"/>
          <w:tcBorders>
            <w:bottom w:val="single" w:sz="24" w:space="0" w:color="0000FF"/>
          </w:tcBorders>
          <w:vAlign w:val="center"/>
        </w:tcPr>
        <w:p w:rsidR="005618E1" w:rsidRDefault="00D67972" w:rsidP="00831EFF">
          <w:pPr>
            <w:jc w:val="right"/>
            <w:rPr>
              <w:rFonts w:ascii="Comic Sans MS" w:hAnsi="Comic Sans MS" w:cs="Arial"/>
              <w:b/>
              <w:color w:val="640064"/>
              <w:sz w:val="18"/>
              <w:szCs w:val="18"/>
            </w:rPr>
          </w:pPr>
        </w:p>
        <w:p w:rsidR="005618E1" w:rsidRDefault="00403CB9" w:rsidP="00FB1F3E">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trPr>
        <w:trHeight w:val="241"/>
      </w:trPr>
      <w:tc>
        <w:tcPr>
          <w:tcW w:w="7379" w:type="dxa"/>
          <w:tcBorders>
            <w:bottom w:val="single" w:sz="24" w:space="0" w:color="0000FF"/>
          </w:tcBorders>
        </w:tcPr>
        <w:p w:rsidR="005618E1" w:rsidRDefault="00403CB9" w:rsidP="00EA332C">
          <w:pPr>
            <w:tabs>
              <w:tab w:val="left" w:pos="6165"/>
            </w:tabs>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r w:rsidR="00EA332C">
            <w:rPr>
              <w:rFonts w:ascii="Arial" w:hAnsi="Arial"/>
              <w:b/>
              <w:color w:val="800080"/>
              <w:sz w:val="20"/>
            </w:rPr>
            <w:tab/>
          </w:r>
        </w:p>
      </w:tc>
      <w:tc>
        <w:tcPr>
          <w:tcW w:w="2535" w:type="dxa"/>
          <w:vMerge/>
          <w:tcBorders>
            <w:top w:val="single" w:sz="4" w:space="0" w:color="auto"/>
            <w:bottom w:val="single" w:sz="24" w:space="0" w:color="0000FF"/>
          </w:tcBorders>
        </w:tcPr>
        <w:p w:rsidR="005618E1" w:rsidRDefault="00D67972">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E14276">
      <w:rPr>
        <w:rFonts w:ascii="Arial" w:hAnsi="Arial"/>
        <w:b/>
        <w:bCs/>
        <w:color w:val="800080"/>
        <w:sz w:val="20"/>
        <w:lang w:val="en-US"/>
      </w:rPr>
      <w:t>38</w:t>
    </w:r>
    <w:r>
      <w:rPr>
        <w:rFonts w:ascii="Arial" w:hAnsi="Arial"/>
        <w:b/>
        <w:bCs/>
        <w:color w:val="800080"/>
        <w:sz w:val="20"/>
      </w:rPr>
      <w:t>/</w:t>
    </w:r>
    <w:r w:rsidR="00E14276">
      <w:rPr>
        <w:rFonts w:ascii="Arial" w:hAnsi="Arial"/>
        <w:b/>
        <w:bCs/>
        <w:color w:val="800080"/>
        <w:sz w:val="20"/>
        <w:lang w:val="en-US"/>
      </w:rPr>
      <w:t>19</w:t>
    </w:r>
    <w:r w:rsidR="006E7A46">
      <w:rPr>
        <w:rFonts w:ascii="Arial" w:hAnsi="Arial"/>
        <w:b/>
        <w:bCs/>
        <w:color w:val="800080"/>
        <w:sz w:val="20"/>
        <w:lang w:val="en-US"/>
      </w:rPr>
      <w:t>.</w:t>
    </w:r>
    <w:r w:rsidR="005D5EBB">
      <w:rPr>
        <w:rFonts w:ascii="Arial" w:hAnsi="Arial"/>
        <w:b/>
        <w:bCs/>
        <w:color w:val="800080"/>
        <w:sz w:val="20"/>
        <w:lang w:val="en-US"/>
      </w:rPr>
      <w:t>10.</w:t>
    </w:r>
    <w:r>
      <w:rPr>
        <w:rFonts w:ascii="Arial" w:hAnsi="Arial"/>
        <w:b/>
        <w:bCs/>
        <w:color w:val="800080"/>
        <w:sz w:val="20"/>
      </w:rPr>
      <w:t>20</w:t>
    </w:r>
    <w:r w:rsidR="00B36E39">
      <w:rPr>
        <w:rFonts w:ascii="Arial" w:hAnsi="Arial"/>
        <w:b/>
        <w:bCs/>
        <w:color w:val="800080"/>
        <w:sz w:val="20"/>
        <w:lang w:val="en-US"/>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15:restartNumberingAfterBreak="0">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402F1ECF"/>
    <w:multiLevelType w:val="hybridMultilevel"/>
    <w:tmpl w:val="CB7C0C70"/>
    <w:lvl w:ilvl="0" w:tplc="F03A66F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5" w15:restartNumberingAfterBreak="0">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15:restartNumberingAfterBreak="0">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15:restartNumberingAfterBreak="0">
    <w:nsid w:val="566D6884"/>
    <w:multiLevelType w:val="hybridMultilevel"/>
    <w:tmpl w:val="21FC4CC2"/>
    <w:lvl w:ilvl="0" w:tplc="EBB627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9" w15:restartNumberingAfterBreak="0">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AFC6817"/>
    <w:multiLevelType w:val="hybridMultilevel"/>
    <w:tmpl w:val="119E54A0"/>
    <w:lvl w:ilvl="0" w:tplc="2A1AB36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5"/>
  </w:num>
  <w:num w:numId="4">
    <w:abstractNumId w:val="2"/>
  </w:num>
  <w:num w:numId="5">
    <w:abstractNumId w:val="0"/>
  </w:num>
  <w:num w:numId="6">
    <w:abstractNumId w:val="1"/>
  </w:num>
  <w:num w:numId="7">
    <w:abstractNumId w:val="6"/>
  </w:num>
  <w:num w:numId="8">
    <w:abstractNumId w:val="4"/>
  </w:num>
  <w:num w:numId="9">
    <w:abstractNumId w:val="8"/>
  </w:num>
  <w:num w:numId="10">
    <w:abstractNumId w:val="1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B9"/>
    <w:rsid w:val="00000E7B"/>
    <w:rsid w:val="000023EA"/>
    <w:rsid w:val="00002852"/>
    <w:rsid w:val="000144D9"/>
    <w:rsid w:val="0001496E"/>
    <w:rsid w:val="0002016E"/>
    <w:rsid w:val="00020B94"/>
    <w:rsid w:val="000212A8"/>
    <w:rsid w:val="0002497A"/>
    <w:rsid w:val="00024DB1"/>
    <w:rsid w:val="00027CC1"/>
    <w:rsid w:val="000305E9"/>
    <w:rsid w:val="00032EDB"/>
    <w:rsid w:val="00036E91"/>
    <w:rsid w:val="0004366B"/>
    <w:rsid w:val="00046BB0"/>
    <w:rsid w:val="00046D50"/>
    <w:rsid w:val="00050832"/>
    <w:rsid w:val="000518AE"/>
    <w:rsid w:val="00056231"/>
    <w:rsid w:val="0005714A"/>
    <w:rsid w:val="000576D0"/>
    <w:rsid w:val="0006660F"/>
    <w:rsid w:val="0006687D"/>
    <w:rsid w:val="000678FD"/>
    <w:rsid w:val="0007208A"/>
    <w:rsid w:val="00080E0F"/>
    <w:rsid w:val="00081DAE"/>
    <w:rsid w:val="000856AD"/>
    <w:rsid w:val="00091CD4"/>
    <w:rsid w:val="000A31F0"/>
    <w:rsid w:val="000A7CFB"/>
    <w:rsid w:val="000B14C5"/>
    <w:rsid w:val="000B2026"/>
    <w:rsid w:val="000B3B85"/>
    <w:rsid w:val="000B7B54"/>
    <w:rsid w:val="000C72E3"/>
    <w:rsid w:val="000E1DC9"/>
    <w:rsid w:val="000E24A7"/>
    <w:rsid w:val="000F0999"/>
    <w:rsid w:val="000F3D2D"/>
    <w:rsid w:val="001164FC"/>
    <w:rsid w:val="001173C3"/>
    <w:rsid w:val="00117955"/>
    <w:rsid w:val="00117A81"/>
    <w:rsid w:val="00120AD2"/>
    <w:rsid w:val="00131A6D"/>
    <w:rsid w:val="00134872"/>
    <w:rsid w:val="0013606E"/>
    <w:rsid w:val="00141A95"/>
    <w:rsid w:val="0014608C"/>
    <w:rsid w:val="00163137"/>
    <w:rsid w:val="001639CC"/>
    <w:rsid w:val="00170DF4"/>
    <w:rsid w:val="00173E25"/>
    <w:rsid w:val="00180311"/>
    <w:rsid w:val="00180441"/>
    <w:rsid w:val="001819FD"/>
    <w:rsid w:val="00183731"/>
    <w:rsid w:val="00186654"/>
    <w:rsid w:val="00193EEE"/>
    <w:rsid w:val="0019617C"/>
    <w:rsid w:val="001A6A7A"/>
    <w:rsid w:val="001B1430"/>
    <w:rsid w:val="001B2D6A"/>
    <w:rsid w:val="001B5399"/>
    <w:rsid w:val="001C3F62"/>
    <w:rsid w:val="001C5BC3"/>
    <w:rsid w:val="001D0029"/>
    <w:rsid w:val="001E1EAA"/>
    <w:rsid w:val="001E1F98"/>
    <w:rsid w:val="001E4050"/>
    <w:rsid w:val="001E4C01"/>
    <w:rsid w:val="001F2EC7"/>
    <w:rsid w:val="001F396B"/>
    <w:rsid w:val="00210721"/>
    <w:rsid w:val="002118F6"/>
    <w:rsid w:val="00215B7E"/>
    <w:rsid w:val="002163C0"/>
    <w:rsid w:val="00217593"/>
    <w:rsid w:val="00221CDF"/>
    <w:rsid w:val="00225A9F"/>
    <w:rsid w:val="0023339B"/>
    <w:rsid w:val="00233957"/>
    <w:rsid w:val="0024496F"/>
    <w:rsid w:val="0024546F"/>
    <w:rsid w:val="00251328"/>
    <w:rsid w:val="002521C1"/>
    <w:rsid w:val="002610A9"/>
    <w:rsid w:val="002653C2"/>
    <w:rsid w:val="00274F4E"/>
    <w:rsid w:val="00275471"/>
    <w:rsid w:val="00285183"/>
    <w:rsid w:val="00285EC6"/>
    <w:rsid w:val="0029075B"/>
    <w:rsid w:val="002918DE"/>
    <w:rsid w:val="00291A66"/>
    <w:rsid w:val="0029220D"/>
    <w:rsid w:val="00295791"/>
    <w:rsid w:val="002A2BBE"/>
    <w:rsid w:val="002A2C5F"/>
    <w:rsid w:val="002A5150"/>
    <w:rsid w:val="002A566C"/>
    <w:rsid w:val="002A6A4C"/>
    <w:rsid w:val="002A7BD7"/>
    <w:rsid w:val="002B379D"/>
    <w:rsid w:val="002B44DA"/>
    <w:rsid w:val="002C21A3"/>
    <w:rsid w:val="002C512F"/>
    <w:rsid w:val="002C6EFE"/>
    <w:rsid w:val="002D0216"/>
    <w:rsid w:val="002D1A87"/>
    <w:rsid w:val="002D25F9"/>
    <w:rsid w:val="002D4BE9"/>
    <w:rsid w:val="002F1104"/>
    <w:rsid w:val="002F3080"/>
    <w:rsid w:val="002F6211"/>
    <w:rsid w:val="002F7E40"/>
    <w:rsid w:val="00300FA3"/>
    <w:rsid w:val="00303C35"/>
    <w:rsid w:val="00304D05"/>
    <w:rsid w:val="00305C45"/>
    <w:rsid w:val="00312DA6"/>
    <w:rsid w:val="00313FBA"/>
    <w:rsid w:val="00320AF0"/>
    <w:rsid w:val="0033369E"/>
    <w:rsid w:val="003449AC"/>
    <w:rsid w:val="00350E9F"/>
    <w:rsid w:val="00353ACF"/>
    <w:rsid w:val="003679E4"/>
    <w:rsid w:val="00374E31"/>
    <w:rsid w:val="003877CA"/>
    <w:rsid w:val="00394940"/>
    <w:rsid w:val="003952CE"/>
    <w:rsid w:val="00396C28"/>
    <w:rsid w:val="003A56BA"/>
    <w:rsid w:val="003B2CFF"/>
    <w:rsid w:val="003B7AAB"/>
    <w:rsid w:val="003C0E47"/>
    <w:rsid w:val="003C1BFF"/>
    <w:rsid w:val="003C2AC0"/>
    <w:rsid w:val="003C3DEB"/>
    <w:rsid w:val="003D0C6C"/>
    <w:rsid w:val="003D4968"/>
    <w:rsid w:val="003D5B7F"/>
    <w:rsid w:val="003D6634"/>
    <w:rsid w:val="003E0404"/>
    <w:rsid w:val="003E118D"/>
    <w:rsid w:val="003E5CB2"/>
    <w:rsid w:val="003F562A"/>
    <w:rsid w:val="00403CB9"/>
    <w:rsid w:val="00407F6D"/>
    <w:rsid w:val="00411829"/>
    <w:rsid w:val="00412AFD"/>
    <w:rsid w:val="004133A8"/>
    <w:rsid w:val="00414784"/>
    <w:rsid w:val="00422311"/>
    <w:rsid w:val="00422CDC"/>
    <w:rsid w:val="004317EA"/>
    <w:rsid w:val="0043388D"/>
    <w:rsid w:val="0044148C"/>
    <w:rsid w:val="00446398"/>
    <w:rsid w:val="00452F9D"/>
    <w:rsid w:val="00462C8F"/>
    <w:rsid w:val="0046415A"/>
    <w:rsid w:val="004923C1"/>
    <w:rsid w:val="00493928"/>
    <w:rsid w:val="00496775"/>
    <w:rsid w:val="004A0254"/>
    <w:rsid w:val="004A4C92"/>
    <w:rsid w:val="004B092D"/>
    <w:rsid w:val="004B46D9"/>
    <w:rsid w:val="004E429E"/>
    <w:rsid w:val="004F02EC"/>
    <w:rsid w:val="004F4705"/>
    <w:rsid w:val="004F5E4F"/>
    <w:rsid w:val="004F6595"/>
    <w:rsid w:val="00502A0A"/>
    <w:rsid w:val="00504E8D"/>
    <w:rsid w:val="0051071D"/>
    <w:rsid w:val="005159B7"/>
    <w:rsid w:val="005179AD"/>
    <w:rsid w:val="00517F21"/>
    <w:rsid w:val="00523D20"/>
    <w:rsid w:val="005247A5"/>
    <w:rsid w:val="0052706F"/>
    <w:rsid w:val="005279E4"/>
    <w:rsid w:val="00527A50"/>
    <w:rsid w:val="00530C09"/>
    <w:rsid w:val="00537A32"/>
    <w:rsid w:val="00541A1C"/>
    <w:rsid w:val="00542DE9"/>
    <w:rsid w:val="00542E84"/>
    <w:rsid w:val="00550360"/>
    <w:rsid w:val="00555894"/>
    <w:rsid w:val="00562C02"/>
    <w:rsid w:val="00563064"/>
    <w:rsid w:val="00573D2E"/>
    <w:rsid w:val="00594324"/>
    <w:rsid w:val="00596313"/>
    <w:rsid w:val="005A0184"/>
    <w:rsid w:val="005B1884"/>
    <w:rsid w:val="005B4574"/>
    <w:rsid w:val="005C1BB7"/>
    <w:rsid w:val="005D5EBB"/>
    <w:rsid w:val="005F3548"/>
    <w:rsid w:val="006068B4"/>
    <w:rsid w:val="00617956"/>
    <w:rsid w:val="00623765"/>
    <w:rsid w:val="00623E57"/>
    <w:rsid w:val="00626A3F"/>
    <w:rsid w:val="00627881"/>
    <w:rsid w:val="006367A9"/>
    <w:rsid w:val="00642BB6"/>
    <w:rsid w:val="00661147"/>
    <w:rsid w:val="0066444F"/>
    <w:rsid w:val="00664519"/>
    <w:rsid w:val="00667C81"/>
    <w:rsid w:val="00673829"/>
    <w:rsid w:val="006809BC"/>
    <w:rsid w:val="00682667"/>
    <w:rsid w:val="00687571"/>
    <w:rsid w:val="006961F0"/>
    <w:rsid w:val="006A094F"/>
    <w:rsid w:val="006A7391"/>
    <w:rsid w:val="006A739D"/>
    <w:rsid w:val="006B1FD0"/>
    <w:rsid w:val="006B5908"/>
    <w:rsid w:val="006C196D"/>
    <w:rsid w:val="006C445A"/>
    <w:rsid w:val="006E7A46"/>
    <w:rsid w:val="006F3152"/>
    <w:rsid w:val="006F38F7"/>
    <w:rsid w:val="006F5A28"/>
    <w:rsid w:val="00700EEB"/>
    <w:rsid w:val="0070200F"/>
    <w:rsid w:val="00703520"/>
    <w:rsid w:val="00705B40"/>
    <w:rsid w:val="00713942"/>
    <w:rsid w:val="00714838"/>
    <w:rsid w:val="007178AB"/>
    <w:rsid w:val="00720E60"/>
    <w:rsid w:val="00723155"/>
    <w:rsid w:val="0072576F"/>
    <w:rsid w:val="00726AB6"/>
    <w:rsid w:val="00734448"/>
    <w:rsid w:val="00750FB4"/>
    <w:rsid w:val="00751732"/>
    <w:rsid w:val="00767AA8"/>
    <w:rsid w:val="007712FE"/>
    <w:rsid w:val="00774292"/>
    <w:rsid w:val="00782D3D"/>
    <w:rsid w:val="007846E5"/>
    <w:rsid w:val="00795712"/>
    <w:rsid w:val="007A388B"/>
    <w:rsid w:val="007A70E6"/>
    <w:rsid w:val="007A78DD"/>
    <w:rsid w:val="007B03F2"/>
    <w:rsid w:val="007B0CB0"/>
    <w:rsid w:val="007B2DB0"/>
    <w:rsid w:val="007C3F39"/>
    <w:rsid w:val="007C75B4"/>
    <w:rsid w:val="007D7438"/>
    <w:rsid w:val="007E2D2C"/>
    <w:rsid w:val="007E46F1"/>
    <w:rsid w:val="007E475C"/>
    <w:rsid w:val="007F4E89"/>
    <w:rsid w:val="008030C3"/>
    <w:rsid w:val="00811B89"/>
    <w:rsid w:val="00816686"/>
    <w:rsid w:val="0082007C"/>
    <w:rsid w:val="0082041E"/>
    <w:rsid w:val="008206C1"/>
    <w:rsid w:val="00821E30"/>
    <w:rsid w:val="0083184F"/>
    <w:rsid w:val="0083232B"/>
    <w:rsid w:val="0083395C"/>
    <w:rsid w:val="00845489"/>
    <w:rsid w:val="008523EE"/>
    <w:rsid w:val="00852DE4"/>
    <w:rsid w:val="00861450"/>
    <w:rsid w:val="00865E24"/>
    <w:rsid w:val="00870EF9"/>
    <w:rsid w:val="0087702E"/>
    <w:rsid w:val="0087763E"/>
    <w:rsid w:val="008803A4"/>
    <w:rsid w:val="008836F2"/>
    <w:rsid w:val="008933AB"/>
    <w:rsid w:val="008A1360"/>
    <w:rsid w:val="008A72C9"/>
    <w:rsid w:val="008B2118"/>
    <w:rsid w:val="008B7A95"/>
    <w:rsid w:val="008C1A20"/>
    <w:rsid w:val="008D0E78"/>
    <w:rsid w:val="008D2DBF"/>
    <w:rsid w:val="008D2FF4"/>
    <w:rsid w:val="008D58EC"/>
    <w:rsid w:val="008D7A9E"/>
    <w:rsid w:val="008E0F81"/>
    <w:rsid w:val="008E68B0"/>
    <w:rsid w:val="008F1C90"/>
    <w:rsid w:val="008F1CF3"/>
    <w:rsid w:val="008F2597"/>
    <w:rsid w:val="008F2B84"/>
    <w:rsid w:val="008F6BF8"/>
    <w:rsid w:val="008F7ECC"/>
    <w:rsid w:val="009010C3"/>
    <w:rsid w:val="00902B78"/>
    <w:rsid w:val="00902D3E"/>
    <w:rsid w:val="009063C7"/>
    <w:rsid w:val="0090678A"/>
    <w:rsid w:val="00906B00"/>
    <w:rsid w:val="00910462"/>
    <w:rsid w:val="00912576"/>
    <w:rsid w:val="00912A06"/>
    <w:rsid w:val="00917F99"/>
    <w:rsid w:val="009203FA"/>
    <w:rsid w:val="00934FA6"/>
    <w:rsid w:val="009355BA"/>
    <w:rsid w:val="00936F1A"/>
    <w:rsid w:val="0094133F"/>
    <w:rsid w:val="00953FBE"/>
    <w:rsid w:val="00955B0D"/>
    <w:rsid w:val="00956512"/>
    <w:rsid w:val="009704A2"/>
    <w:rsid w:val="00975F09"/>
    <w:rsid w:val="00977CA7"/>
    <w:rsid w:val="00984F62"/>
    <w:rsid w:val="00993FAB"/>
    <w:rsid w:val="0099695D"/>
    <w:rsid w:val="009A2752"/>
    <w:rsid w:val="009A5D09"/>
    <w:rsid w:val="009B1FAD"/>
    <w:rsid w:val="009C11B2"/>
    <w:rsid w:val="009D0924"/>
    <w:rsid w:val="009D6F1E"/>
    <w:rsid w:val="009E45D3"/>
    <w:rsid w:val="009E6BDB"/>
    <w:rsid w:val="009F4E95"/>
    <w:rsid w:val="009F7022"/>
    <w:rsid w:val="00A004DD"/>
    <w:rsid w:val="00A02393"/>
    <w:rsid w:val="00A1170C"/>
    <w:rsid w:val="00A15D87"/>
    <w:rsid w:val="00A227FC"/>
    <w:rsid w:val="00A25AAA"/>
    <w:rsid w:val="00A360A5"/>
    <w:rsid w:val="00A447C0"/>
    <w:rsid w:val="00A470F4"/>
    <w:rsid w:val="00A50E2C"/>
    <w:rsid w:val="00A5214D"/>
    <w:rsid w:val="00A566B2"/>
    <w:rsid w:val="00A56825"/>
    <w:rsid w:val="00A56944"/>
    <w:rsid w:val="00A673EB"/>
    <w:rsid w:val="00A741E2"/>
    <w:rsid w:val="00A74737"/>
    <w:rsid w:val="00A74BA4"/>
    <w:rsid w:val="00A77E07"/>
    <w:rsid w:val="00A77EC5"/>
    <w:rsid w:val="00A86293"/>
    <w:rsid w:val="00AA0722"/>
    <w:rsid w:val="00AB140A"/>
    <w:rsid w:val="00AB1841"/>
    <w:rsid w:val="00AB2303"/>
    <w:rsid w:val="00AB5246"/>
    <w:rsid w:val="00AC52D6"/>
    <w:rsid w:val="00AC73DE"/>
    <w:rsid w:val="00AC79F2"/>
    <w:rsid w:val="00AD2864"/>
    <w:rsid w:val="00AD504F"/>
    <w:rsid w:val="00AD6EA5"/>
    <w:rsid w:val="00AE0D25"/>
    <w:rsid w:val="00AE12BC"/>
    <w:rsid w:val="00AE14FF"/>
    <w:rsid w:val="00AE2FF4"/>
    <w:rsid w:val="00B03285"/>
    <w:rsid w:val="00B16835"/>
    <w:rsid w:val="00B16C07"/>
    <w:rsid w:val="00B200ED"/>
    <w:rsid w:val="00B3223C"/>
    <w:rsid w:val="00B34793"/>
    <w:rsid w:val="00B36E39"/>
    <w:rsid w:val="00B411AC"/>
    <w:rsid w:val="00B513C4"/>
    <w:rsid w:val="00B539A9"/>
    <w:rsid w:val="00B6207E"/>
    <w:rsid w:val="00B64F87"/>
    <w:rsid w:val="00B73DA3"/>
    <w:rsid w:val="00B81125"/>
    <w:rsid w:val="00B8112B"/>
    <w:rsid w:val="00B853D4"/>
    <w:rsid w:val="00B863B6"/>
    <w:rsid w:val="00B873EA"/>
    <w:rsid w:val="00B90317"/>
    <w:rsid w:val="00B93F21"/>
    <w:rsid w:val="00BA2A9E"/>
    <w:rsid w:val="00BB4446"/>
    <w:rsid w:val="00BB5782"/>
    <w:rsid w:val="00BC0F4A"/>
    <w:rsid w:val="00BC35B8"/>
    <w:rsid w:val="00BC70E2"/>
    <w:rsid w:val="00BD76C6"/>
    <w:rsid w:val="00BE0FE4"/>
    <w:rsid w:val="00BE55CA"/>
    <w:rsid w:val="00BF118B"/>
    <w:rsid w:val="00BF28EC"/>
    <w:rsid w:val="00BF7565"/>
    <w:rsid w:val="00C00F88"/>
    <w:rsid w:val="00C05DC0"/>
    <w:rsid w:val="00C05E95"/>
    <w:rsid w:val="00C12F44"/>
    <w:rsid w:val="00C14375"/>
    <w:rsid w:val="00C20809"/>
    <w:rsid w:val="00C3643A"/>
    <w:rsid w:val="00C37B23"/>
    <w:rsid w:val="00C40820"/>
    <w:rsid w:val="00C44608"/>
    <w:rsid w:val="00C574EE"/>
    <w:rsid w:val="00C60D17"/>
    <w:rsid w:val="00C6312D"/>
    <w:rsid w:val="00C70511"/>
    <w:rsid w:val="00C718EB"/>
    <w:rsid w:val="00C71F16"/>
    <w:rsid w:val="00C74D7E"/>
    <w:rsid w:val="00C7577F"/>
    <w:rsid w:val="00C801BF"/>
    <w:rsid w:val="00C96E9D"/>
    <w:rsid w:val="00C97050"/>
    <w:rsid w:val="00CA35A8"/>
    <w:rsid w:val="00CA3892"/>
    <w:rsid w:val="00CA4050"/>
    <w:rsid w:val="00CA40F5"/>
    <w:rsid w:val="00CA6CB8"/>
    <w:rsid w:val="00CA7960"/>
    <w:rsid w:val="00CB196D"/>
    <w:rsid w:val="00CB2886"/>
    <w:rsid w:val="00CC7CF0"/>
    <w:rsid w:val="00CD171C"/>
    <w:rsid w:val="00CD304C"/>
    <w:rsid w:val="00CE5641"/>
    <w:rsid w:val="00CE5E69"/>
    <w:rsid w:val="00CE7025"/>
    <w:rsid w:val="00CF0DEA"/>
    <w:rsid w:val="00CF15CD"/>
    <w:rsid w:val="00D000AE"/>
    <w:rsid w:val="00D100BD"/>
    <w:rsid w:val="00D118DE"/>
    <w:rsid w:val="00D1195A"/>
    <w:rsid w:val="00D167B1"/>
    <w:rsid w:val="00D25C9A"/>
    <w:rsid w:val="00D3159B"/>
    <w:rsid w:val="00D32B06"/>
    <w:rsid w:val="00D34070"/>
    <w:rsid w:val="00D43BBD"/>
    <w:rsid w:val="00D52E17"/>
    <w:rsid w:val="00D612D2"/>
    <w:rsid w:val="00D61B59"/>
    <w:rsid w:val="00D6359C"/>
    <w:rsid w:val="00D63914"/>
    <w:rsid w:val="00D67972"/>
    <w:rsid w:val="00D758EF"/>
    <w:rsid w:val="00D80D84"/>
    <w:rsid w:val="00D8519B"/>
    <w:rsid w:val="00D852F8"/>
    <w:rsid w:val="00D86732"/>
    <w:rsid w:val="00DA44A9"/>
    <w:rsid w:val="00DA4860"/>
    <w:rsid w:val="00DC502B"/>
    <w:rsid w:val="00DC5A8E"/>
    <w:rsid w:val="00DD1C95"/>
    <w:rsid w:val="00DE752F"/>
    <w:rsid w:val="00DF5530"/>
    <w:rsid w:val="00DF7E91"/>
    <w:rsid w:val="00E02B6A"/>
    <w:rsid w:val="00E06347"/>
    <w:rsid w:val="00E14276"/>
    <w:rsid w:val="00E17E07"/>
    <w:rsid w:val="00E2125A"/>
    <w:rsid w:val="00E23670"/>
    <w:rsid w:val="00E24FA2"/>
    <w:rsid w:val="00E256E7"/>
    <w:rsid w:val="00E26DE5"/>
    <w:rsid w:val="00E32DB5"/>
    <w:rsid w:val="00E350AD"/>
    <w:rsid w:val="00E35D6F"/>
    <w:rsid w:val="00E40A0C"/>
    <w:rsid w:val="00E4290A"/>
    <w:rsid w:val="00E44DF1"/>
    <w:rsid w:val="00E47639"/>
    <w:rsid w:val="00E51A6D"/>
    <w:rsid w:val="00E5449B"/>
    <w:rsid w:val="00E5539F"/>
    <w:rsid w:val="00E6099A"/>
    <w:rsid w:val="00E60B1D"/>
    <w:rsid w:val="00E6694D"/>
    <w:rsid w:val="00E67885"/>
    <w:rsid w:val="00E80A45"/>
    <w:rsid w:val="00E828B4"/>
    <w:rsid w:val="00E95022"/>
    <w:rsid w:val="00EA332C"/>
    <w:rsid w:val="00EA4B29"/>
    <w:rsid w:val="00EA4B99"/>
    <w:rsid w:val="00EA5878"/>
    <w:rsid w:val="00EB0F17"/>
    <w:rsid w:val="00EB289B"/>
    <w:rsid w:val="00EB4927"/>
    <w:rsid w:val="00EB783C"/>
    <w:rsid w:val="00EB7BA6"/>
    <w:rsid w:val="00EC0DDC"/>
    <w:rsid w:val="00EC4213"/>
    <w:rsid w:val="00EC6BA3"/>
    <w:rsid w:val="00EE1065"/>
    <w:rsid w:val="00EE3328"/>
    <w:rsid w:val="00EE38E7"/>
    <w:rsid w:val="00EE70E7"/>
    <w:rsid w:val="00EE7B1B"/>
    <w:rsid w:val="00EF5BDD"/>
    <w:rsid w:val="00F029F3"/>
    <w:rsid w:val="00F02F9B"/>
    <w:rsid w:val="00F0360F"/>
    <w:rsid w:val="00F12C83"/>
    <w:rsid w:val="00F23EFD"/>
    <w:rsid w:val="00F30D26"/>
    <w:rsid w:val="00F40798"/>
    <w:rsid w:val="00F40970"/>
    <w:rsid w:val="00F43319"/>
    <w:rsid w:val="00F4416D"/>
    <w:rsid w:val="00F51C30"/>
    <w:rsid w:val="00F531AD"/>
    <w:rsid w:val="00F6008B"/>
    <w:rsid w:val="00F67B7A"/>
    <w:rsid w:val="00F70B6C"/>
    <w:rsid w:val="00F72B07"/>
    <w:rsid w:val="00F72F6C"/>
    <w:rsid w:val="00F73066"/>
    <w:rsid w:val="00F73C4B"/>
    <w:rsid w:val="00F74337"/>
    <w:rsid w:val="00F74416"/>
    <w:rsid w:val="00F82F51"/>
    <w:rsid w:val="00F95033"/>
    <w:rsid w:val="00FD11AE"/>
    <w:rsid w:val="00FD4196"/>
    <w:rsid w:val="00FD51EF"/>
    <w:rsid w:val="00FD5503"/>
    <w:rsid w:val="00FE14C1"/>
    <w:rsid w:val="00FE4D8F"/>
    <w:rsid w:val="00FE4FAD"/>
    <w:rsid w:val="00FE6092"/>
    <w:rsid w:val="00FE657F"/>
    <w:rsid w:val="00FF041A"/>
    <w:rsid w:val="00FF2308"/>
    <w:rsid w:val="00FF2C29"/>
    <w:rsid w:val="00FF3C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D62457-2D3B-48C4-A604-22C058AC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725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styleId="CommentReference">
    <w:name w:val="annotation reference"/>
    <w:basedOn w:val="DefaultParagraphFont"/>
    <w:uiPriority w:val="99"/>
    <w:semiHidden/>
    <w:unhideWhenUsed/>
    <w:rsid w:val="00D118DE"/>
    <w:rPr>
      <w:sz w:val="16"/>
      <w:szCs w:val="16"/>
    </w:rPr>
  </w:style>
  <w:style w:type="paragraph" w:styleId="CommentText">
    <w:name w:val="annotation text"/>
    <w:basedOn w:val="Normal"/>
    <w:link w:val="CommentTextChar"/>
    <w:uiPriority w:val="99"/>
    <w:semiHidden/>
    <w:unhideWhenUsed/>
    <w:rsid w:val="00D118DE"/>
    <w:rPr>
      <w:sz w:val="20"/>
    </w:rPr>
  </w:style>
  <w:style w:type="character" w:customStyle="1" w:styleId="CommentTextChar">
    <w:name w:val="Comment Text Char"/>
    <w:basedOn w:val="DefaultParagraphFont"/>
    <w:link w:val="CommentText"/>
    <w:uiPriority w:val="99"/>
    <w:semiHidden/>
    <w:rsid w:val="00D118DE"/>
    <w:rPr>
      <w:rFonts w:ascii="Hebar" w:eastAsia="Times New Roman" w:hAnsi="Hebar"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118DE"/>
    <w:rPr>
      <w:b/>
      <w:bCs/>
    </w:rPr>
  </w:style>
  <w:style w:type="character" w:customStyle="1" w:styleId="CommentSubjectChar">
    <w:name w:val="Comment Subject Char"/>
    <w:basedOn w:val="CommentTextChar"/>
    <w:link w:val="CommentSubject"/>
    <w:uiPriority w:val="99"/>
    <w:semiHidden/>
    <w:rsid w:val="00D118DE"/>
    <w:rPr>
      <w:rFonts w:ascii="Hebar" w:eastAsia="Times New Roman" w:hAnsi="Hebar" w:cs="Times New Roman"/>
      <w:b/>
      <w:bCs/>
      <w:sz w:val="20"/>
      <w:szCs w:val="20"/>
      <w:lang w:val="bg-BG"/>
    </w:rPr>
  </w:style>
  <w:style w:type="character" w:customStyle="1" w:styleId="Heading1Char">
    <w:name w:val="Heading 1 Char"/>
    <w:basedOn w:val="DefaultParagraphFont"/>
    <w:link w:val="Heading1"/>
    <w:uiPriority w:val="9"/>
    <w:rsid w:val="0072576F"/>
    <w:rPr>
      <w:rFonts w:asciiTheme="majorHAnsi" w:eastAsiaTheme="majorEastAsia" w:hAnsiTheme="majorHAnsi" w:cstheme="majorBidi"/>
      <w:b/>
      <w:bCs/>
      <w:color w:val="2E74B5" w:themeColor="accent1" w:themeShade="BF"/>
      <w:sz w:val="28"/>
      <w:szCs w:val="28"/>
      <w:lang w:val="bg-BG"/>
    </w:rPr>
  </w:style>
  <w:style w:type="paragraph" w:customStyle="1" w:styleId="bodytext1">
    <w:name w:val="bodytext1"/>
    <w:basedOn w:val="Normal"/>
    <w:uiPriority w:val="99"/>
    <w:semiHidden/>
    <w:rsid w:val="003B2CFF"/>
    <w:pPr>
      <w:spacing w:before="100" w:beforeAutospacing="1" w:after="100" w:afterAutospacing="1"/>
    </w:pPr>
    <w:rPr>
      <w:rFonts w:ascii="Times New Roman" w:eastAsiaTheme="minorHAnsi" w:hAnsi="Times New Roman"/>
      <w:szCs w:val="24"/>
      <w:lang w:eastAsia="bg-BG"/>
    </w:rPr>
  </w:style>
  <w:style w:type="character" w:styleId="Emphasis">
    <w:name w:val="Emphasis"/>
    <w:basedOn w:val="DefaultParagraphFont"/>
    <w:uiPriority w:val="20"/>
    <w:qFormat/>
    <w:rsid w:val="003B2CFF"/>
    <w:rPr>
      <w:i/>
      <w:iCs/>
    </w:rPr>
  </w:style>
  <w:style w:type="character" w:styleId="Strong">
    <w:name w:val="Strong"/>
    <w:basedOn w:val="DefaultParagraphFont"/>
    <w:uiPriority w:val="22"/>
    <w:qFormat/>
    <w:rsid w:val="003B2CFF"/>
    <w:rPr>
      <w:b/>
      <w:bCs/>
    </w:rPr>
  </w:style>
  <w:style w:type="paragraph" w:styleId="BodyTextIndent3">
    <w:name w:val="Body Text Indent 3"/>
    <w:basedOn w:val="Normal"/>
    <w:link w:val="BodyTextIndent3Char"/>
    <w:uiPriority w:val="99"/>
    <w:unhideWhenUsed/>
    <w:rsid w:val="00FF2C29"/>
    <w:pPr>
      <w:spacing w:after="120"/>
      <w:ind w:left="360"/>
    </w:pPr>
    <w:rPr>
      <w:sz w:val="16"/>
      <w:szCs w:val="16"/>
    </w:rPr>
  </w:style>
  <w:style w:type="character" w:customStyle="1" w:styleId="BodyTextIndent3Char">
    <w:name w:val="Body Text Indent 3 Char"/>
    <w:basedOn w:val="DefaultParagraphFont"/>
    <w:link w:val="BodyTextIndent3"/>
    <w:uiPriority w:val="99"/>
    <w:rsid w:val="00FF2C29"/>
    <w:rPr>
      <w:rFonts w:ascii="Hebar" w:eastAsia="Times New Roman" w:hAnsi="Hebar" w:cs="Times New Roman"/>
      <w:sz w:val="16"/>
      <w:szCs w:val="16"/>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6444">
      <w:bodyDiv w:val="1"/>
      <w:marLeft w:val="0"/>
      <w:marRight w:val="0"/>
      <w:marTop w:val="0"/>
      <w:marBottom w:val="0"/>
      <w:divBdr>
        <w:top w:val="none" w:sz="0" w:space="0" w:color="auto"/>
        <w:left w:val="none" w:sz="0" w:space="0" w:color="auto"/>
        <w:bottom w:val="none" w:sz="0" w:space="0" w:color="auto"/>
        <w:right w:val="none" w:sz="0" w:space="0" w:color="auto"/>
      </w:divBdr>
    </w:div>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291374052">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264605367">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09664556">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114279725">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m-europe.eu/wine-institu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C3659-A547-4031-9D3B-67B5D3B1C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2238</Words>
  <Characters>12761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Mariya Stefanova</cp:lastModifiedBy>
  <cp:revision>8</cp:revision>
  <cp:lastPrinted>2020-10-16T08:31:00Z</cp:lastPrinted>
  <dcterms:created xsi:type="dcterms:W3CDTF">2020-10-19T14:04:00Z</dcterms:created>
  <dcterms:modified xsi:type="dcterms:W3CDTF">2020-10-19T14:07:00Z</dcterms:modified>
</cp:coreProperties>
</file>