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08" w:rsidRPr="00017CA1" w:rsidRDefault="0080120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801208" w:rsidRPr="00017CA1" w:rsidRDefault="0080120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801208" w:rsidRPr="00017CA1" w:rsidRDefault="0080120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801208" w:rsidRDefault="00801208" w:rsidP="001033CC">
      <w:pPr>
        <w:pStyle w:val="Header"/>
        <w:ind w:firstLine="1276"/>
      </w:pPr>
    </w:p>
    <w:p w:rsidR="00801208" w:rsidRDefault="00801208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01208" w:rsidRDefault="00801208" w:rsidP="002554CC">
      <w:pPr>
        <w:jc w:val="center"/>
        <w:rPr>
          <w:b/>
          <w:bCs/>
          <w:lang w:eastAsia="bg-BG"/>
        </w:rPr>
      </w:pPr>
    </w:p>
    <w:p w:rsidR="00801208" w:rsidRDefault="00801208" w:rsidP="00BB4863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801208" w:rsidRPr="00C73066" w:rsidRDefault="00801208" w:rsidP="00BB4863">
      <w:pPr>
        <w:jc w:val="center"/>
        <w:rPr>
          <w:b/>
          <w:bCs/>
          <w:sz w:val="22"/>
          <w:szCs w:val="22"/>
        </w:rPr>
      </w:pPr>
    </w:p>
    <w:p w:rsidR="00801208" w:rsidRPr="000F0F84" w:rsidRDefault="00801208" w:rsidP="00BB48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0F0F84">
        <w:rPr>
          <w:b/>
          <w:bCs/>
          <w:sz w:val="22"/>
          <w:szCs w:val="22"/>
        </w:rPr>
        <w:t>РД</w:t>
      </w:r>
      <w:r>
        <w:rPr>
          <w:b/>
          <w:bCs/>
          <w:sz w:val="22"/>
          <w:szCs w:val="22"/>
        </w:rPr>
        <w:t>-19-04-185</w:t>
      </w:r>
      <w:r w:rsidRPr="000F0F84">
        <w:rPr>
          <w:b/>
          <w:bCs/>
          <w:sz w:val="22"/>
          <w:szCs w:val="22"/>
        </w:rPr>
        <w:t xml:space="preserve"> </w:t>
      </w:r>
    </w:p>
    <w:p w:rsidR="00801208" w:rsidRPr="000F0F84" w:rsidRDefault="00801208" w:rsidP="00BB4863">
      <w:pPr>
        <w:jc w:val="center"/>
        <w:rPr>
          <w:b/>
          <w:bCs/>
          <w:sz w:val="22"/>
          <w:szCs w:val="22"/>
        </w:rPr>
      </w:pPr>
      <w:r w:rsidRPr="000F0F84">
        <w:rPr>
          <w:b/>
          <w:bCs/>
          <w:sz w:val="22"/>
          <w:szCs w:val="22"/>
        </w:rPr>
        <w:t>гр. Варна, 01.10.20</w:t>
      </w:r>
      <w:r>
        <w:rPr>
          <w:b/>
          <w:bCs/>
          <w:sz w:val="22"/>
          <w:szCs w:val="22"/>
        </w:rPr>
        <w:t>19</w:t>
      </w:r>
      <w:r w:rsidRPr="000F0F84">
        <w:rPr>
          <w:b/>
          <w:bCs/>
          <w:sz w:val="22"/>
          <w:szCs w:val="22"/>
        </w:rPr>
        <w:t xml:space="preserve"> г.</w:t>
      </w:r>
    </w:p>
    <w:p w:rsidR="00801208" w:rsidRDefault="00801208" w:rsidP="00BB4863">
      <w:pPr>
        <w:jc w:val="center"/>
        <w:rPr>
          <w:sz w:val="22"/>
          <w:szCs w:val="22"/>
        </w:rPr>
      </w:pPr>
    </w:p>
    <w:p w:rsidR="00801208" w:rsidRDefault="00801208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РД-07-76-16/12.09.2019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>
        <w:rPr>
          <w:sz w:val="22"/>
          <w:szCs w:val="22"/>
        </w:rPr>
        <w:t>07-76-22/</w:t>
      </w:r>
      <w:r>
        <w:rPr>
          <w:sz w:val="22"/>
          <w:szCs w:val="22"/>
          <w:lang w:val="ru-RU"/>
        </w:rPr>
        <w:t>13.09</w:t>
      </w:r>
      <w:r>
        <w:rPr>
          <w:sz w:val="22"/>
          <w:szCs w:val="22"/>
        </w:rPr>
        <w:t>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ПО-09-417/ 29.08.2019г. за землището на </w:t>
      </w:r>
      <w:r w:rsidRPr="0084690B">
        <w:rPr>
          <w:b/>
          <w:bCs/>
          <w:sz w:val="22"/>
          <w:szCs w:val="22"/>
        </w:rPr>
        <w:t>с. Рудник</w:t>
      </w:r>
      <w:r>
        <w:rPr>
          <w:sz w:val="22"/>
          <w:szCs w:val="22"/>
        </w:rPr>
        <w:t>, ЕКАТТЕ 63197, общ. Долни чифлик,  област Варна</w:t>
      </w:r>
    </w:p>
    <w:p w:rsidR="00801208" w:rsidRDefault="00801208" w:rsidP="00BB4863">
      <w:pPr>
        <w:jc w:val="both"/>
        <w:rPr>
          <w:sz w:val="22"/>
          <w:szCs w:val="22"/>
        </w:rPr>
      </w:pPr>
    </w:p>
    <w:p w:rsidR="00801208" w:rsidRDefault="00801208" w:rsidP="00BB4863">
      <w:pPr>
        <w:jc w:val="both"/>
        <w:rPr>
          <w:sz w:val="22"/>
          <w:szCs w:val="22"/>
        </w:rPr>
      </w:pPr>
    </w:p>
    <w:p w:rsidR="00801208" w:rsidRDefault="00801208" w:rsidP="00BB48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801208" w:rsidRDefault="00801208" w:rsidP="00BB4863">
      <w:pPr>
        <w:rPr>
          <w:b/>
          <w:bCs/>
          <w:sz w:val="22"/>
          <w:szCs w:val="22"/>
        </w:rPr>
      </w:pPr>
    </w:p>
    <w:p w:rsidR="00801208" w:rsidRPr="002A0F70" w:rsidRDefault="00801208" w:rsidP="00BB4863">
      <w:pPr>
        <w:rPr>
          <w:b/>
          <w:bCs/>
          <w:sz w:val="22"/>
          <w:szCs w:val="22"/>
        </w:rPr>
      </w:pPr>
    </w:p>
    <w:p w:rsidR="00801208" w:rsidRPr="00CE6FF9" w:rsidRDefault="00801208" w:rsidP="00CE6FF9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Рудник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63197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5636E3">
        <w:rPr>
          <w:b/>
          <w:bCs/>
          <w:sz w:val="22"/>
          <w:szCs w:val="22"/>
        </w:rPr>
        <w:t xml:space="preserve">  1. "АГРОФЕРТ-80"ЕООД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правно основание: 864.368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основание на чл. 37в, ал. 3, т. 2 от ЗСПЗЗ: 92.105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Разпределени масиви (по номера), съгласно проекта:7, 27, 35, 12, 57, 42, 8, 23, 41, 24, 37, 39, 40, 47, 58, 506, 19, 48, 14, 22, 34, 21, 15, 43, 9, общо площ: 956.473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5636E3">
        <w:rPr>
          <w:b/>
          <w:bCs/>
          <w:sz w:val="22"/>
          <w:szCs w:val="22"/>
        </w:rPr>
        <w:t xml:space="preserve">  2. "ВИНИТРАНС" ЕООД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правно основание: 497.615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основание на чл. 37в, ал. 3, т. 2 от ЗСПЗЗ: 48.126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Разпределени масиви (по номера), съгласно проекта:83, 38, 509, 36, 510, 512, 29, 20, 91, общо площ: 545.740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5636E3">
        <w:rPr>
          <w:b/>
          <w:bCs/>
          <w:sz w:val="22"/>
          <w:szCs w:val="22"/>
        </w:rPr>
        <w:t xml:space="preserve">  3. ДОБРИНА НЕСТОРОВА ИВАНОВА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правно основание: 89.874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основание на чл. 37в, ал. 3, т. 2 от ЗСПЗЗ: 4.049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Разпределени масиви (по номера), съгласно проекта:46, 2, общо площ: 93.923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5636E3">
        <w:rPr>
          <w:b/>
          <w:bCs/>
          <w:sz w:val="22"/>
          <w:szCs w:val="22"/>
        </w:rPr>
        <w:t xml:space="preserve">  4. ЕТ"ДЪГА-67-ИВАН МАНОЛОВ"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правно основание: 2414.740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основание на чл. 37в, ал. 3, т. 2 от ЗСПЗЗ: 149.718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Разпределени масиви (по номера), съгласно проекта:481, 51, 60, 28, 3, 44, 4, 1, 11, 16, 30, 33, 13, 507, 6, 502, 32, 18, 26, 14-, 10, 45, общо площ: 2564.458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5636E3">
        <w:rPr>
          <w:b/>
          <w:bCs/>
          <w:sz w:val="22"/>
          <w:szCs w:val="22"/>
        </w:rPr>
        <w:t xml:space="preserve">  5. РОСЕН СЪБЕВ ИВАНОВ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правно основание: 83.324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Площ на имоти, ползвани на основание на чл. 37в, ал. 3, т. 2 от ЗСПЗЗ: 7.107 дка</w:t>
      </w:r>
    </w:p>
    <w:p w:rsidR="00801208" w:rsidRPr="005636E3" w:rsidRDefault="00801208" w:rsidP="00F22D1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636E3">
        <w:rPr>
          <w:sz w:val="22"/>
          <w:szCs w:val="22"/>
        </w:rPr>
        <w:t xml:space="preserve">    Разпределени масиви (по номера), съгласно проекта:17, 1, 98, 25, 31, общо площ: 90.431 дка</w:t>
      </w:r>
    </w:p>
    <w:p w:rsidR="00801208" w:rsidRPr="005636E3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BB486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01208" w:rsidRDefault="00801208" w:rsidP="00CE6FF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1208" w:rsidRPr="001C288C" w:rsidRDefault="00801208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801208" w:rsidRPr="001C288C" w:rsidRDefault="00801208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>за стопанската 2019/2020 година</w:t>
      </w:r>
    </w:p>
    <w:p w:rsidR="00801208" w:rsidRPr="001C288C" w:rsidRDefault="00801208" w:rsidP="00BB48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C288C">
        <w:rPr>
          <w:b/>
          <w:bCs/>
          <w:sz w:val="22"/>
          <w:szCs w:val="22"/>
        </w:rPr>
        <w:t xml:space="preserve">за землището на с. </w:t>
      </w:r>
      <w:r>
        <w:rPr>
          <w:b/>
          <w:bCs/>
          <w:sz w:val="22"/>
          <w:szCs w:val="22"/>
        </w:rPr>
        <w:t>Рудник</w:t>
      </w:r>
      <w:r w:rsidRPr="001C288C">
        <w:rPr>
          <w:b/>
          <w:bCs/>
          <w:sz w:val="22"/>
          <w:szCs w:val="22"/>
        </w:rPr>
        <w:t xml:space="preserve">, ЕКАТТЕ </w:t>
      </w:r>
      <w:r>
        <w:rPr>
          <w:b/>
          <w:bCs/>
          <w:sz w:val="22"/>
          <w:szCs w:val="22"/>
        </w:rPr>
        <w:t>63197</w:t>
      </w:r>
      <w:r w:rsidRPr="001C288C">
        <w:rPr>
          <w:b/>
          <w:bCs/>
          <w:sz w:val="22"/>
          <w:szCs w:val="22"/>
        </w:rPr>
        <w:t>, община Долни чифлик, област Варна.</w:t>
      </w:r>
    </w:p>
    <w:p w:rsidR="00801208" w:rsidRDefault="00801208" w:rsidP="00BB4863">
      <w:pPr>
        <w:autoSpaceDE w:val="0"/>
        <w:autoSpaceDN w:val="0"/>
        <w:adjustRightInd w:val="0"/>
        <w:rPr>
          <w:b/>
          <w:bCs/>
        </w:rPr>
      </w:pPr>
    </w:p>
    <w:p w:rsidR="00801208" w:rsidRDefault="00801208" w:rsidP="00BB4863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</w:tblGrid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56.49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51.56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34.45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32.56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30.12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21.34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20.36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20.26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14.26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241.63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23.02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270.70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93.44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68.94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42.87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16.51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14.14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65.35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10.44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6.19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80.54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45.27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35.61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33.90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16.02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15.86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8.35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197.54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391.43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206.23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22.73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8.01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132.25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94.89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64.98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33.53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7.35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13.55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11.37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11.32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137.45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122.91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121.82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56.88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27.40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7.69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43.81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17.32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12.19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12.13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10.01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88.00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29.93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25.96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22.95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20.45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99.19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30.89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6.77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53.77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65.26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"АГРОФЕРТ-80"ЕООД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18.94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864.368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92.105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3776.32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122.92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94.63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45.07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38.49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34.43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29.53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28.55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24.14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15.81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10.88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9.02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65.18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38.60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22.58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17.18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81.79</w:t>
            </w:r>
          </w:p>
        </w:tc>
      </w:tr>
      <w:tr w:rsidR="00801208" w:rsidRPr="00F26D57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20.84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17.18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15.44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6.39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115.39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94.77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34.03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27.01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26.27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23.00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18.77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401.90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40.71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15.97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9.55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148.22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39.74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169.93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18.17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"ВИНИТРАНС"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497.615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48.126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1973.15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89.10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28.27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48.63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ДОБРИНА НЕСТОРОВА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89.874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165.99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109.76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25.35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245.81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28.57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12.26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10.46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243.47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148.19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145.88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88.41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51.92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50.35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42.61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18.59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15.57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12.40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12.08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11.92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7.39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138.14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130.50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117.85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113.45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47.40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31.70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266.30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204.81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169.11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122.92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122.91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122.87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106.26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60.05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55.09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49.31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43.74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40.85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40.63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39.70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39.11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31.20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30.90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30.10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29.75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22.82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16.98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15.94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13.85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7.23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26.74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11.08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5.58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497.80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160.71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59.82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35.25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29.68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21.77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12.40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11.43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272.17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125.69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44.99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31.09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15.75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8.46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247.70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32.39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16.80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81.93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28.48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16.58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171.72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26.93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13.79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75.88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26.44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24.89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248.46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12.41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174.22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ЕТ"ДЪГА-67-ИВАН МАНОЛОВ"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4.96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2414.740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149.718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6138.44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40.18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9.10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8.32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5.18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33.91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20.43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16.57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4.73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138.00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РОСЕН СЪБЕВ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77.321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sz w:val="18"/>
                <w:szCs w:val="18"/>
              </w:rPr>
              <w:t>14.95</w:t>
            </w:r>
          </w:p>
        </w:tc>
      </w:tr>
      <w:tr w:rsidR="00801208" w:rsidRPr="00F26D57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83.324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7.107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08" w:rsidRPr="00F26D57" w:rsidRDefault="00801208" w:rsidP="00333AB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F26D57">
              <w:rPr>
                <w:b/>
                <w:bCs/>
                <w:sz w:val="18"/>
                <w:szCs w:val="18"/>
              </w:rPr>
              <w:t>291.38</w:t>
            </w:r>
          </w:p>
        </w:tc>
      </w:tr>
    </w:tbl>
    <w:p w:rsidR="00801208" w:rsidRDefault="00801208" w:rsidP="00BB4863">
      <w:pPr>
        <w:autoSpaceDE w:val="0"/>
        <w:autoSpaceDN w:val="0"/>
        <w:adjustRightInd w:val="0"/>
        <w:rPr>
          <w:b/>
          <w:bCs/>
        </w:rPr>
      </w:pPr>
    </w:p>
    <w:p w:rsidR="00801208" w:rsidRDefault="00801208" w:rsidP="00BB4863">
      <w:pPr>
        <w:autoSpaceDE w:val="0"/>
        <w:autoSpaceDN w:val="0"/>
        <w:adjustRightInd w:val="0"/>
        <w:rPr>
          <w:b/>
          <w:bCs/>
        </w:rPr>
      </w:pPr>
    </w:p>
    <w:p w:rsidR="00801208" w:rsidRPr="00441D8C" w:rsidRDefault="00801208" w:rsidP="00984897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Рудник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63197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801208" w:rsidRDefault="00801208" w:rsidP="009F76FF">
      <w:pPr>
        <w:shd w:val="clear" w:color="auto" w:fill="FFFFFF"/>
        <w:tabs>
          <w:tab w:val="left" w:pos="720"/>
          <w:tab w:val="left" w:pos="1485"/>
        </w:tabs>
        <w:spacing w:line="360" w:lineRule="auto"/>
        <w:rPr>
          <w:sz w:val="22"/>
          <w:szCs w:val="22"/>
        </w:rPr>
      </w:pPr>
    </w:p>
    <w:tbl>
      <w:tblPr>
        <w:tblW w:w="10325" w:type="dxa"/>
        <w:jc w:val="center"/>
        <w:tblCellMar>
          <w:left w:w="70" w:type="dxa"/>
          <w:right w:w="70" w:type="dxa"/>
        </w:tblCellMar>
        <w:tblLook w:val="00A0"/>
      </w:tblPr>
      <w:tblGrid>
        <w:gridCol w:w="2146"/>
        <w:gridCol w:w="944"/>
        <w:gridCol w:w="1000"/>
        <w:gridCol w:w="917"/>
        <w:gridCol w:w="944"/>
        <w:gridCol w:w="2455"/>
        <w:gridCol w:w="1919"/>
      </w:tblGrid>
      <w:tr w:rsidR="00801208" w:rsidRPr="00F26D57">
        <w:trPr>
          <w:trHeight w:val="67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825BB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F26D57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F26D57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3,353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137,45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3,563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122,91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121,82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99,19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2,868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2,314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94,89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"КАСЪЛМЕЙН ДИВЕЛЪПМЪНТС"ЕООД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80,54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1,594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65,35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1,378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56,49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1,451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1,258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51,56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1,338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1,069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43,81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4,061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78.13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1,004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2,080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0,840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34,45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0,878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0,794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32,56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0,925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29,93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23,02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0,650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20,36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0,423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4,211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"М Д М" 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4,800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"МИСТЪР БЪЛГАРИЯ"ЕООД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0,204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17.123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Общо за задълженото лице: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26,757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1097,00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5,893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241,63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3,226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132,25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4,199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"СЕД ИНВЕСТМЪНТ"ЕООД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2,279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93,44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2,283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169,93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4,397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122,92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115,39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7,104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2,311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94,77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5,723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94,63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6,993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44.10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81,79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1,099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45,07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1,164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29,53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0,696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28,55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0,741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0,641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26,27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5,495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24,14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0,747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18,77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0,377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15,44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9,993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"СТАВРИДИС И БРАТЯ"ЕООД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"ВИНИТРАНС" ЕООД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Общо за задълженото лице: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32,549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1334,52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74.10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89,10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3,366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40,18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0,498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20,43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21,580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3,960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0,203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8,32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Общо за задълженото лице: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7,442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305,13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9,547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391,43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9,993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"СТАВРИДИС И БРАТЯ"ЕООД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6,602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6,602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"ЕЛИБЕТ"ЕООД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4,818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197,54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5,447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63.16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12,142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497,80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13,615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6,638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272,17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7,994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41.90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6,495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266,30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6,495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248,46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7,060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6,042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247,70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6,175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"ФЛОВАР"ЕООД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245,81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43.42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204,81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4,249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174,22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171,72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42.101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169,11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4,220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63.19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160,71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4,045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3,558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145,88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3,558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3,369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3,497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3,066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125,69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3,290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Ф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122,92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122,91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Ч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122,87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2,874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117,85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113,45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2,677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109,76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5,348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Ч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Ч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88,41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3,939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81,93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1,851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75,88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1,039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42,61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2,037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0,652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26,74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42.47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16,98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7,879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13,79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41.85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6,57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5,110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300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5,25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3,497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2E2915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F26D57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F26D57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</w:tr>
      <w:tr w:rsidR="00801208" w:rsidRPr="00F26D57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Общо за задълженото лице: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121,854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4996,11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F26D57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F26D57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801208" w:rsidRDefault="00801208" w:rsidP="009F76FF">
      <w:pPr>
        <w:pStyle w:val="a"/>
        <w:spacing w:before="240"/>
        <w:jc w:val="both"/>
        <w:rPr>
          <w:rFonts w:ascii="Courier New" w:hAnsi="Courier New" w:cs="Courier New"/>
          <w:lang w:val="ru-RU"/>
        </w:rPr>
      </w:pPr>
    </w:p>
    <w:p w:rsidR="00801208" w:rsidRPr="00140B9C" w:rsidRDefault="00801208" w:rsidP="009F76FF">
      <w:pPr>
        <w:pStyle w:val="a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801208" w:rsidRDefault="00801208" w:rsidP="009F76FF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0A0"/>
      </w:tblPr>
      <w:tblGrid>
        <w:gridCol w:w="2089"/>
        <w:gridCol w:w="920"/>
        <w:gridCol w:w="937"/>
        <w:gridCol w:w="841"/>
        <w:gridCol w:w="2720"/>
        <w:gridCol w:w="2836"/>
      </w:tblGrid>
      <w:tr w:rsidR="00801208" w:rsidRPr="0074775A">
        <w:trPr>
          <w:trHeight w:val="541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825BB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№ на имот по 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74775A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82.101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2,146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2,146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1,284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38.615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0,255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5,887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Временно неизползувана орна земя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1,592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2,327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0,520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17.122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0,494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0,494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17.128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38.616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9,992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Временно неизползувана орна земя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38.616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9,992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Временно неизползувана орна земя</w:t>
            </w:r>
          </w:p>
        </w:tc>
      </w:tr>
      <w:tr w:rsidR="00801208" w:rsidRPr="0074775A">
        <w:trPr>
          <w:trHeight w:val="25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6,966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33,012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0,840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0,936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17.135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0,559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25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1,391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1,495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5,938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17,986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74775A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801208" w:rsidRPr="0074775A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5,938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17,986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74775A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4775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801208" w:rsidRPr="00DA5F14" w:rsidRDefault="00801208" w:rsidP="009F76FF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801208" w:rsidRPr="00DA5F14" w:rsidRDefault="00801208" w:rsidP="009F76FF">
      <w:pPr>
        <w:jc w:val="both"/>
        <w:rPr>
          <w:b/>
          <w:bCs/>
        </w:rPr>
      </w:pPr>
    </w:p>
    <w:p w:rsidR="00801208" w:rsidRPr="00A87E1F" w:rsidRDefault="00801208" w:rsidP="009F76FF">
      <w:pPr>
        <w:jc w:val="both"/>
        <w:rPr>
          <w:sz w:val="22"/>
          <w:szCs w:val="22"/>
        </w:rPr>
      </w:pPr>
      <w:r w:rsidRPr="00A87E1F">
        <w:rPr>
          <w:sz w:val="22"/>
          <w:szCs w:val="22"/>
        </w:rPr>
        <w:t>Средното рентно плащане за землищата на община Долни чифлик, съгл. Параграф 2е от ЗСПЗЗ е определено от комисия, назнач</w:t>
      </w:r>
      <w:r>
        <w:rPr>
          <w:sz w:val="22"/>
          <w:szCs w:val="22"/>
        </w:rPr>
        <w:t>ена със Заповед № РД 19-10-159</w:t>
      </w:r>
      <w:r w:rsidRPr="00A87E1F">
        <w:rPr>
          <w:sz w:val="22"/>
          <w:szCs w:val="22"/>
        </w:rPr>
        <w:t>/</w:t>
      </w:r>
      <w:r>
        <w:rPr>
          <w:sz w:val="22"/>
          <w:szCs w:val="22"/>
        </w:rPr>
        <w:t>12.03.2019</w:t>
      </w:r>
      <w:r w:rsidRPr="00A87E1F">
        <w:rPr>
          <w:sz w:val="22"/>
          <w:szCs w:val="22"/>
        </w:rPr>
        <w:t xml:space="preserve">г. от директора на ОД “Земеделие” - Варна. Съгласно </w:t>
      </w:r>
      <w:r>
        <w:rPr>
          <w:sz w:val="22"/>
          <w:szCs w:val="22"/>
        </w:rPr>
        <w:t>протокол 1 от 29.03.2019</w:t>
      </w:r>
      <w:r w:rsidRPr="00A87E1F">
        <w:rPr>
          <w:sz w:val="22"/>
          <w:szCs w:val="22"/>
        </w:rPr>
        <w:t xml:space="preserve">г. за землището на с. </w:t>
      </w:r>
      <w:r>
        <w:rPr>
          <w:sz w:val="22"/>
          <w:szCs w:val="22"/>
        </w:rPr>
        <w:t>Рудник</w:t>
      </w:r>
      <w:r w:rsidRPr="00A87E1F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63197</w:t>
      </w:r>
      <w:r w:rsidRPr="00A87E1F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на </w:t>
      </w:r>
      <w:r w:rsidRPr="00D8757D">
        <w:rPr>
          <w:b/>
          <w:bCs/>
          <w:sz w:val="22"/>
          <w:szCs w:val="22"/>
        </w:rPr>
        <w:t>41,00/дка</w:t>
      </w:r>
      <w:r w:rsidRPr="00A87E1F">
        <w:rPr>
          <w:sz w:val="22"/>
          <w:szCs w:val="22"/>
        </w:rPr>
        <w:t>.</w:t>
      </w:r>
      <w:bookmarkStart w:id="0" w:name="_GoBack"/>
      <w:bookmarkEnd w:id="0"/>
    </w:p>
    <w:p w:rsidR="00801208" w:rsidRDefault="00801208" w:rsidP="00BB4863">
      <w:pPr>
        <w:autoSpaceDE w:val="0"/>
        <w:autoSpaceDN w:val="0"/>
        <w:adjustRightInd w:val="0"/>
        <w:rPr>
          <w:b/>
          <w:bCs/>
        </w:rPr>
      </w:pPr>
    </w:p>
    <w:p w:rsidR="00801208" w:rsidRPr="00942825" w:rsidRDefault="00801208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942825">
        <w:rPr>
          <w:color w:val="000000"/>
          <w:spacing w:val="4"/>
          <w:sz w:val="22"/>
          <w:szCs w:val="22"/>
          <w:lang w:val="en-US"/>
        </w:rPr>
        <w:t xml:space="preserve">. </w:t>
      </w:r>
      <w:r>
        <w:rPr>
          <w:b/>
          <w:bCs/>
          <w:color w:val="000000"/>
          <w:spacing w:val="4"/>
          <w:sz w:val="22"/>
          <w:szCs w:val="22"/>
        </w:rPr>
        <w:t xml:space="preserve">Рудник </w:t>
      </w:r>
      <w:r>
        <w:rPr>
          <w:b/>
          <w:bCs/>
          <w:sz w:val="22"/>
          <w:szCs w:val="22"/>
        </w:rPr>
        <w:t>ЕКАТТЕ 63197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801208" w:rsidRPr="00942825" w:rsidRDefault="00801208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Рудник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63197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801208" w:rsidRPr="00942825" w:rsidRDefault="00801208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801208" w:rsidRPr="00942825" w:rsidRDefault="00801208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en-US"/>
        </w:rPr>
      </w:pPr>
    </w:p>
    <w:p w:rsidR="00801208" w:rsidRPr="00942825" w:rsidRDefault="00801208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801208" w:rsidRPr="00942825" w:rsidRDefault="00801208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801208" w:rsidRPr="00942825" w:rsidRDefault="00801208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BG35UNCR70003319723172</w:t>
      </w:r>
    </w:p>
    <w:p w:rsidR="00801208" w:rsidRPr="00942825" w:rsidRDefault="00801208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en-US"/>
        </w:rPr>
      </w:pPr>
    </w:p>
    <w:p w:rsidR="00801208" w:rsidRPr="00942825" w:rsidRDefault="00801208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801208" w:rsidRPr="00E677CF" w:rsidRDefault="00801208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01208" w:rsidRPr="00E677CF" w:rsidRDefault="00801208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01208" w:rsidRPr="00E677CF" w:rsidRDefault="00801208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801208" w:rsidRPr="00E677CF" w:rsidRDefault="00801208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01208" w:rsidRPr="00E677CF" w:rsidRDefault="00801208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01208" w:rsidRPr="00E677CF" w:rsidRDefault="00801208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01208" w:rsidRPr="00E677CF" w:rsidRDefault="00801208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01208" w:rsidRPr="00E677CF" w:rsidRDefault="00801208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01208" w:rsidRPr="00E677CF" w:rsidRDefault="00801208" w:rsidP="00BB4863">
      <w:pPr>
        <w:pStyle w:val="NormalWeb"/>
        <w:rPr>
          <w:color w:val="auto"/>
          <w:sz w:val="22"/>
          <w:szCs w:val="22"/>
        </w:rPr>
      </w:pPr>
    </w:p>
    <w:p w:rsidR="00801208" w:rsidRPr="00E677CF" w:rsidRDefault="00801208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>п</w:t>
      </w:r>
      <w:r w:rsidRPr="00E677CF">
        <w:rPr>
          <w:lang/>
        </w:rPr>
        <w:t xml:space="preserve">олзвател на земеделски земи, на който със заповедта </w:t>
      </w:r>
      <w:r w:rsidRPr="00E677CF">
        <w:rPr>
          <w:sz w:val="22"/>
          <w:szCs w:val="22"/>
          <w:lang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01208" w:rsidRPr="00E677CF" w:rsidRDefault="00801208" w:rsidP="00BB4863">
      <w:pPr>
        <w:tabs>
          <w:tab w:val="left" w:pos="1800"/>
        </w:tabs>
        <w:jc w:val="both"/>
        <w:rPr>
          <w:b/>
          <w:bCs/>
        </w:rPr>
      </w:pPr>
    </w:p>
    <w:p w:rsidR="00801208" w:rsidRPr="00D37605" w:rsidRDefault="00801208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Рудник,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801208" w:rsidRPr="00D37605" w:rsidRDefault="00801208" w:rsidP="00BB4863">
      <w:pPr>
        <w:tabs>
          <w:tab w:val="left" w:pos="1800"/>
        </w:tabs>
        <w:jc w:val="both"/>
      </w:pPr>
    </w:p>
    <w:p w:rsidR="00801208" w:rsidRDefault="00801208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 </w:t>
      </w:r>
      <w:r>
        <w:t xml:space="preserve"> и горите </w:t>
      </w:r>
      <w:r w:rsidRPr="00D37605">
        <w:t>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801208" w:rsidRPr="00D37605" w:rsidRDefault="00801208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801208" w:rsidRPr="00D37605" w:rsidRDefault="00801208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801208" w:rsidRDefault="00801208" w:rsidP="00BB4863">
      <w:pPr>
        <w:tabs>
          <w:tab w:val="left" w:pos="1800"/>
        </w:tabs>
        <w:jc w:val="both"/>
        <w:rPr>
          <w:color w:val="000000"/>
        </w:rPr>
      </w:pPr>
    </w:p>
    <w:p w:rsidR="00801208" w:rsidRDefault="00801208" w:rsidP="00BB4863">
      <w:pPr>
        <w:tabs>
          <w:tab w:val="left" w:pos="1800"/>
        </w:tabs>
        <w:jc w:val="both"/>
        <w:rPr>
          <w:color w:val="000000"/>
        </w:rPr>
      </w:pPr>
    </w:p>
    <w:p w:rsidR="00801208" w:rsidRDefault="00801208" w:rsidP="00BB4863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/ </w:t>
      </w:r>
      <w:r>
        <w:rPr>
          <w:b/>
          <w:bCs/>
        </w:rPr>
        <w:t>П</w:t>
      </w:r>
      <w:r>
        <w:rPr>
          <w:b/>
          <w:bCs/>
          <w:lang w:val="ru-RU"/>
        </w:rPr>
        <w:t xml:space="preserve"> /</w:t>
      </w:r>
    </w:p>
    <w:p w:rsidR="00801208" w:rsidRDefault="00801208" w:rsidP="00BB4863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801208" w:rsidRDefault="00801208" w:rsidP="00BB4863">
      <w:pPr>
        <w:ind w:left="3540"/>
        <w:rPr>
          <w:b/>
          <w:bCs/>
          <w:lang w:val="ru-RU"/>
        </w:rPr>
      </w:pPr>
    </w:p>
    <w:p w:rsidR="00801208" w:rsidRPr="005636E3" w:rsidRDefault="00801208" w:rsidP="00BB4863">
      <w:pPr>
        <w:rPr>
          <w:i/>
          <w:iCs/>
        </w:rPr>
      </w:pPr>
      <w:r w:rsidRPr="005636E3">
        <w:rPr>
          <w:i/>
          <w:iCs/>
        </w:rPr>
        <w:t>ЕА/ЙД/ОСЗ</w:t>
      </w:r>
    </w:p>
    <w:p w:rsidR="00801208" w:rsidRPr="001A1EA0" w:rsidRDefault="00801208" w:rsidP="001A1EA0">
      <w:pPr>
        <w:tabs>
          <w:tab w:val="left" w:pos="5220"/>
        </w:tabs>
        <w:ind w:right="-720"/>
        <w:jc w:val="both"/>
        <w:rPr>
          <w:i/>
          <w:iCs/>
        </w:rPr>
      </w:pPr>
    </w:p>
    <w:p w:rsidR="00801208" w:rsidRPr="00F90922" w:rsidRDefault="00801208" w:rsidP="00BB4863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801208" w:rsidRPr="005604C2" w:rsidRDefault="00801208" w:rsidP="00BB4863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801208" w:rsidRPr="00354DB1" w:rsidRDefault="00801208" w:rsidP="00BB4863">
      <w:pPr>
        <w:jc w:val="center"/>
        <w:rPr>
          <w:b/>
          <w:bCs/>
          <w:sz w:val="22"/>
          <w:szCs w:val="22"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19-04-185/01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801208" w:rsidRDefault="00801208" w:rsidP="00BB4863">
      <w:pPr>
        <w:rPr>
          <w:b/>
          <w:bCs/>
        </w:rPr>
      </w:pPr>
    </w:p>
    <w:p w:rsidR="00801208" w:rsidRDefault="00801208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Рудник 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801208" w:rsidRDefault="00801208" w:rsidP="009F76FF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tbl>
      <w:tblPr>
        <w:tblW w:w="9388" w:type="dxa"/>
        <w:jc w:val="center"/>
        <w:tblCellMar>
          <w:left w:w="70" w:type="dxa"/>
          <w:right w:w="70" w:type="dxa"/>
        </w:tblCellMar>
        <w:tblLook w:val="00A0"/>
      </w:tblPr>
      <w:tblGrid>
        <w:gridCol w:w="2532"/>
        <w:gridCol w:w="960"/>
        <w:gridCol w:w="1034"/>
        <w:gridCol w:w="960"/>
        <w:gridCol w:w="2622"/>
        <w:gridCol w:w="1280"/>
      </w:tblGrid>
      <w:tr w:rsidR="00801208" w:rsidRPr="00C80FE4">
        <w:trPr>
          <w:trHeight w:val="623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825BB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C80FE4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08" w:rsidRPr="00C80FE4" w:rsidRDefault="00801208" w:rsidP="00333A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3,970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36.170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3,617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1,944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81.50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4,312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3,018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54.311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38.170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6,100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54.305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2,070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54.428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82.336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46.315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4,387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79.321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85.170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7,259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85.170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7,259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1,767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57.318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2,121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0,409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0,492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54.428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58.625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6,726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46.315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4,387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55.311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3,504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54.314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38.170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6,100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"АГРОФЕРТ-80"ЕООД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57.318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2,121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19,401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87,441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3,970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44.200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1,589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47.208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1,590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48.315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5,717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1,431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3,265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1,507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44.30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1,764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35.163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1,120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44.50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47.200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1,755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0,464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64.39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44.51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0,156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64.218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2,141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"ВИНИТРАНС"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44.191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1,675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11,228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32,274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76.326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2,387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ДОБРИНА НЕСТОРОВА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1,875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4,360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10,925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10,925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5,772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81.325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4,110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2,355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1,384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3,617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1,112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42.51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4,374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80.325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3,258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1,069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51.315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2,781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67.268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4,069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71.28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42.52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3,504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63.29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77.321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2,867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79.321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80.55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80.325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3,295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10,925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73.283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2,934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0,698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71.274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3,237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43.64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4,703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0,422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4,069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81.50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4,312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61.290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0,786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31.97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1,480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0,291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73.40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11,839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48.315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5,717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33.131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59.318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7,874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36.170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3,617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41.76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2,412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47.208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1,590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ЕТ"ДЪГА-67-ИВАН МАНОЛОВ"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0,405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41,432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155,562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76.326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2,387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76.325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77.321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2,867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0,412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РОСЕН СЪБЕВ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75.634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1,843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801208" w:rsidRPr="00C80FE4">
        <w:trPr>
          <w:trHeight w:val="300"/>
          <w:jc w:val="center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1,837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9,682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C80FE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08" w:rsidRPr="00C80FE4" w:rsidRDefault="00801208" w:rsidP="00333AB1">
            <w:pPr>
              <w:rPr>
                <w:sz w:val="18"/>
                <w:szCs w:val="18"/>
                <w:lang w:eastAsia="bg-BG"/>
              </w:rPr>
            </w:pPr>
            <w:r w:rsidRPr="00C80FE4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801208" w:rsidRDefault="00801208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801208" w:rsidRDefault="00801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 xml:space="preserve">е неразделна </w:t>
      </w:r>
      <w:r w:rsidRPr="00354DB1">
        <w:rPr>
          <w:b/>
          <w:bCs/>
        </w:rPr>
        <w:t xml:space="preserve">част от </w:t>
      </w:r>
      <w:r>
        <w:rPr>
          <w:b/>
          <w:bCs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19-04-185/01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801208" w:rsidRPr="008562D5" w:rsidRDefault="00801208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01208" w:rsidRDefault="00801208" w:rsidP="004A5859"/>
    <w:sectPr w:rsidR="00801208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08" w:rsidRDefault="00801208" w:rsidP="00043091">
      <w:r>
        <w:separator/>
      </w:r>
    </w:p>
  </w:endnote>
  <w:endnote w:type="continuationSeparator" w:id="0">
    <w:p w:rsidR="00801208" w:rsidRDefault="0080120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08" w:rsidRPr="00433B27" w:rsidRDefault="0080120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01208" w:rsidRPr="00433B27" w:rsidRDefault="0080120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01208" w:rsidRPr="00433B27" w:rsidRDefault="0080120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>
        <w:rPr>
          <w:rFonts w:ascii="Arial Narrow" w:hAnsi="Arial Narrow" w:cs="Arial Narrow"/>
          <w:b/>
          <w:bCs/>
          <w:noProof/>
          <w:sz w:val="18"/>
          <w:szCs w:val="18"/>
        </w:rPr>
        <w:t>26</w:t>
      </w:r>
    </w:fldSimple>
  </w:p>
  <w:p w:rsidR="00801208" w:rsidRPr="00433B27" w:rsidRDefault="0080120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08" w:rsidRDefault="00801208" w:rsidP="00043091">
      <w:r>
        <w:separator/>
      </w:r>
    </w:p>
  </w:footnote>
  <w:footnote w:type="continuationSeparator" w:id="0">
    <w:p w:rsidR="00801208" w:rsidRDefault="0080120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A67900"/>
    <w:multiLevelType w:val="hybridMultilevel"/>
    <w:tmpl w:val="94888BD2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677BF"/>
    <w:rsid w:val="0008489C"/>
    <w:rsid w:val="000B5C78"/>
    <w:rsid w:val="000C51FB"/>
    <w:rsid w:val="000F0F84"/>
    <w:rsid w:val="00100B79"/>
    <w:rsid w:val="001033CC"/>
    <w:rsid w:val="00140B9C"/>
    <w:rsid w:val="00145681"/>
    <w:rsid w:val="001748AD"/>
    <w:rsid w:val="00180D6E"/>
    <w:rsid w:val="001A1EA0"/>
    <w:rsid w:val="001B46E2"/>
    <w:rsid w:val="001C288C"/>
    <w:rsid w:val="00226B68"/>
    <w:rsid w:val="002554CC"/>
    <w:rsid w:val="002A0F70"/>
    <w:rsid w:val="002A2157"/>
    <w:rsid w:val="002C5AEA"/>
    <w:rsid w:val="002E2915"/>
    <w:rsid w:val="0033165A"/>
    <w:rsid w:val="00333AB1"/>
    <w:rsid w:val="00354DB1"/>
    <w:rsid w:val="0039461B"/>
    <w:rsid w:val="003F184C"/>
    <w:rsid w:val="00433B27"/>
    <w:rsid w:val="00441D8C"/>
    <w:rsid w:val="00445A4D"/>
    <w:rsid w:val="00457C39"/>
    <w:rsid w:val="0048175B"/>
    <w:rsid w:val="00495EE0"/>
    <w:rsid w:val="004A5859"/>
    <w:rsid w:val="00522E44"/>
    <w:rsid w:val="0052712F"/>
    <w:rsid w:val="00533CC3"/>
    <w:rsid w:val="005604C2"/>
    <w:rsid w:val="00561C44"/>
    <w:rsid w:val="005636E3"/>
    <w:rsid w:val="00592FC2"/>
    <w:rsid w:val="00640F8C"/>
    <w:rsid w:val="00655703"/>
    <w:rsid w:val="00681AA5"/>
    <w:rsid w:val="007044D2"/>
    <w:rsid w:val="0071646F"/>
    <w:rsid w:val="0074775A"/>
    <w:rsid w:val="00762999"/>
    <w:rsid w:val="007E076C"/>
    <w:rsid w:val="00801208"/>
    <w:rsid w:val="00825BBB"/>
    <w:rsid w:val="0084690B"/>
    <w:rsid w:val="008562D5"/>
    <w:rsid w:val="008661FB"/>
    <w:rsid w:val="008758AF"/>
    <w:rsid w:val="00911AE5"/>
    <w:rsid w:val="00942825"/>
    <w:rsid w:val="009550F6"/>
    <w:rsid w:val="00974C2C"/>
    <w:rsid w:val="00984897"/>
    <w:rsid w:val="00986014"/>
    <w:rsid w:val="009B39CC"/>
    <w:rsid w:val="009F76FF"/>
    <w:rsid w:val="00A572F6"/>
    <w:rsid w:val="00A65239"/>
    <w:rsid w:val="00A660F3"/>
    <w:rsid w:val="00A87E1F"/>
    <w:rsid w:val="00A96E3F"/>
    <w:rsid w:val="00AC73CD"/>
    <w:rsid w:val="00AF1108"/>
    <w:rsid w:val="00BB4863"/>
    <w:rsid w:val="00C6709B"/>
    <w:rsid w:val="00C73066"/>
    <w:rsid w:val="00C80FE4"/>
    <w:rsid w:val="00C86802"/>
    <w:rsid w:val="00CC2FF9"/>
    <w:rsid w:val="00CC431F"/>
    <w:rsid w:val="00CE6FF9"/>
    <w:rsid w:val="00D37605"/>
    <w:rsid w:val="00D85E44"/>
    <w:rsid w:val="00D8757D"/>
    <w:rsid w:val="00DA5F14"/>
    <w:rsid w:val="00DA73CB"/>
    <w:rsid w:val="00DD1AFA"/>
    <w:rsid w:val="00DF0BDE"/>
    <w:rsid w:val="00DF5667"/>
    <w:rsid w:val="00E03C8A"/>
    <w:rsid w:val="00E42A5D"/>
    <w:rsid w:val="00E677CF"/>
    <w:rsid w:val="00EA6B6D"/>
    <w:rsid w:val="00EC2BFB"/>
    <w:rsid w:val="00EC7DB5"/>
    <w:rsid w:val="00EE0ED8"/>
    <w:rsid w:val="00EE0F49"/>
    <w:rsid w:val="00F07366"/>
    <w:rsid w:val="00F12D43"/>
    <w:rsid w:val="00F22D1F"/>
    <w:rsid w:val="00F26D57"/>
    <w:rsid w:val="00F90922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B4863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2">
    <w:name w:val="xl72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Normal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Normal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ListParagraph">
    <w:name w:val="List Paragraph"/>
    <w:basedOn w:val="Normal"/>
    <w:uiPriority w:val="99"/>
    <w:qFormat/>
    <w:rsid w:val="001A1E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bg-BG"/>
    </w:rPr>
  </w:style>
  <w:style w:type="paragraph" w:customStyle="1" w:styleId="xl59">
    <w:name w:val="xl59"/>
    <w:basedOn w:val="Normal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0">
    <w:name w:val="xl60"/>
    <w:basedOn w:val="Normal"/>
    <w:uiPriority w:val="99"/>
    <w:rsid w:val="00180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8">
    <w:name w:val="xl78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9">
    <w:name w:val="xl79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80">
    <w:name w:val="xl80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1">
    <w:name w:val="xl81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82">
    <w:name w:val="xl82"/>
    <w:basedOn w:val="Normal"/>
    <w:uiPriority w:val="99"/>
    <w:rsid w:val="00CE6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26</Pages>
  <Words>9992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9</cp:revision>
  <cp:lastPrinted>2019-08-22T11:07:00Z</cp:lastPrinted>
  <dcterms:created xsi:type="dcterms:W3CDTF">2019-09-09T13:05:00Z</dcterms:created>
  <dcterms:modified xsi:type="dcterms:W3CDTF">2019-10-01T06:56:00Z</dcterms:modified>
</cp:coreProperties>
</file>