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4B3F5D" w:rsidTr="00DF42CC">
        <w:tc>
          <w:tcPr>
            <w:tcW w:w="9923" w:type="dxa"/>
            <w:shd w:val="clear" w:color="auto" w:fill="C0C0C0"/>
          </w:tcPr>
          <w:p w:rsidR="00403CB9" w:rsidRPr="004B3F5D" w:rsidRDefault="00403CB9" w:rsidP="00DF42CC">
            <w:pPr>
              <w:jc w:val="both"/>
              <w:rPr>
                <w:rFonts w:ascii="Arial" w:hAnsi="Arial" w:cs="Arial"/>
                <w:i/>
                <w:sz w:val="20"/>
                <w:lang w:val="bg-BG"/>
              </w:rPr>
            </w:pPr>
            <w:r w:rsidRPr="004B3F5D">
              <w:rPr>
                <w:rFonts w:ascii="Arial" w:hAnsi="Arial" w:cs="Arial"/>
                <w:i/>
                <w:sz w:val="20"/>
                <w:lang w:val="bg-BG"/>
              </w:rPr>
              <w:t>Директни плащания</w:t>
            </w:r>
          </w:p>
        </w:tc>
      </w:tr>
    </w:tbl>
    <w:p w:rsidR="00403CB9" w:rsidRPr="004B3F5D" w:rsidRDefault="00403CB9" w:rsidP="00403CB9">
      <w:pPr>
        <w:jc w:val="both"/>
        <w:rPr>
          <w:rStyle w:val="longtext"/>
          <w:rFonts w:ascii="Arial" w:hAnsi="Arial" w:cs="Arial"/>
          <w:b/>
          <w:sz w:val="20"/>
          <w:lang w:val="bg-BG"/>
        </w:rPr>
      </w:pPr>
    </w:p>
    <w:p w:rsidR="00FF6831" w:rsidRPr="00EA588F" w:rsidRDefault="002F1C7E" w:rsidP="00EA588F">
      <w:pPr>
        <w:pStyle w:val="ListParagraph"/>
        <w:numPr>
          <w:ilvl w:val="0"/>
          <w:numId w:val="8"/>
        </w:numPr>
        <w:tabs>
          <w:tab w:val="left" w:pos="284"/>
        </w:tabs>
        <w:ind w:left="0" w:firstLine="0"/>
        <w:jc w:val="both"/>
        <w:rPr>
          <w:rFonts w:ascii="Arial" w:hAnsi="Arial" w:cs="Arial"/>
          <w:sz w:val="20"/>
          <w:lang w:val="bg-BG" w:eastAsia="bg-BG"/>
        </w:rPr>
      </w:pPr>
      <w:r w:rsidRPr="00EA588F">
        <w:rPr>
          <w:rFonts w:ascii="Arial" w:hAnsi="Arial" w:cs="Arial"/>
          <w:b/>
          <w:sz w:val="20"/>
          <w:lang w:val="bg-BG"/>
        </w:rPr>
        <w:t>Кандидатите</w:t>
      </w:r>
      <w:r w:rsidR="00247CAC" w:rsidRPr="00482D68">
        <w:rPr>
          <w:rFonts w:ascii="Arial" w:hAnsi="Arial" w:cs="Arial"/>
          <w:b/>
          <w:sz w:val="20"/>
          <w:lang w:val="ru-RU"/>
        </w:rPr>
        <w:t xml:space="preserve"> </w:t>
      </w:r>
      <w:r w:rsidR="00247CAC" w:rsidRPr="00EA588F">
        <w:rPr>
          <w:rFonts w:ascii="Arial" w:hAnsi="Arial" w:cs="Arial"/>
          <w:b/>
          <w:sz w:val="20"/>
          <w:lang w:val="bg-BG"/>
        </w:rPr>
        <w:t>за подпомагане по схемата за млади земеделски стопани</w:t>
      </w:r>
      <w:r w:rsidRPr="00EA588F">
        <w:rPr>
          <w:rFonts w:ascii="Arial" w:hAnsi="Arial" w:cs="Arial"/>
          <w:b/>
          <w:sz w:val="20"/>
          <w:lang w:val="bg-BG"/>
        </w:rPr>
        <w:t xml:space="preserve">, </w:t>
      </w:r>
      <w:r w:rsidR="00247CAC" w:rsidRPr="00EA588F">
        <w:rPr>
          <w:rFonts w:ascii="Arial" w:hAnsi="Arial" w:cs="Arial"/>
          <w:b/>
          <w:sz w:val="20"/>
          <w:lang w:val="bg-BG"/>
        </w:rPr>
        <w:t>при кандидатстване за</w:t>
      </w:r>
      <w:r w:rsidRPr="00EA588F">
        <w:rPr>
          <w:rFonts w:ascii="Arial" w:hAnsi="Arial" w:cs="Arial"/>
          <w:b/>
          <w:sz w:val="20"/>
          <w:lang w:val="bg-BG"/>
        </w:rPr>
        <w:t xml:space="preserve"> първи път </w:t>
      </w:r>
      <w:r w:rsidR="00247CAC" w:rsidRPr="00EA588F">
        <w:rPr>
          <w:rFonts w:ascii="Arial" w:hAnsi="Arial" w:cs="Arial"/>
          <w:b/>
          <w:sz w:val="20"/>
          <w:lang w:val="bg-BG"/>
        </w:rPr>
        <w:t>по схемата през 2019 г.</w:t>
      </w:r>
      <w:r w:rsidRPr="00EA588F">
        <w:rPr>
          <w:rStyle w:val="longtext"/>
          <w:rFonts w:ascii="Arial" w:hAnsi="Arial" w:cs="Arial"/>
          <w:b/>
          <w:sz w:val="20"/>
          <w:lang w:val="bg-BG"/>
        </w:rPr>
        <w:t xml:space="preserve"> или </w:t>
      </w:r>
      <w:r w:rsidR="00247CAC" w:rsidRPr="00EA588F">
        <w:rPr>
          <w:rStyle w:val="longtext"/>
          <w:rFonts w:ascii="Arial" w:hAnsi="Arial" w:cs="Arial"/>
          <w:b/>
          <w:sz w:val="20"/>
          <w:lang w:val="bg-BG"/>
        </w:rPr>
        <w:t>при</w:t>
      </w:r>
      <w:r w:rsidRPr="00EA588F">
        <w:rPr>
          <w:rStyle w:val="longtext"/>
          <w:rFonts w:ascii="Arial" w:hAnsi="Arial" w:cs="Arial"/>
          <w:b/>
          <w:sz w:val="20"/>
          <w:lang w:val="bg-BG"/>
        </w:rPr>
        <w:t xml:space="preserve"> промяна в обстоятелствата спрямо предходната кампания</w:t>
      </w:r>
      <w:r w:rsidRPr="00EA588F">
        <w:rPr>
          <w:rFonts w:ascii="Arial" w:hAnsi="Arial" w:cs="Arial"/>
          <w:b/>
          <w:sz w:val="20"/>
          <w:lang w:val="bg-BG"/>
        </w:rPr>
        <w:t>, е необходимо да предоставят до 1 декември 201</w:t>
      </w:r>
      <w:r w:rsidR="00247CAC" w:rsidRPr="00EA588F">
        <w:rPr>
          <w:rFonts w:ascii="Arial" w:hAnsi="Arial" w:cs="Arial"/>
          <w:b/>
          <w:sz w:val="20"/>
          <w:lang w:val="bg-BG"/>
        </w:rPr>
        <w:t>9</w:t>
      </w:r>
      <w:r w:rsidRPr="00EA588F">
        <w:rPr>
          <w:rFonts w:ascii="Arial" w:hAnsi="Arial" w:cs="Arial"/>
          <w:b/>
          <w:sz w:val="20"/>
          <w:lang w:val="bg-BG"/>
        </w:rPr>
        <w:t xml:space="preserve"> г. в областните дирекции на Държавен фонд „Земеделие“- РА документи за придобити професионални умения и познания, като задължително условие по схемата.</w:t>
      </w:r>
      <w:r w:rsidRPr="00EA588F">
        <w:rPr>
          <w:rStyle w:val="longtext"/>
          <w:rFonts w:ascii="Arial" w:hAnsi="Arial" w:cs="Arial"/>
          <w:sz w:val="20"/>
          <w:lang w:val="bg-BG"/>
        </w:rPr>
        <w:t xml:space="preserve"> </w:t>
      </w:r>
      <w:r w:rsidR="00FF6831" w:rsidRPr="00EA588F">
        <w:rPr>
          <w:rStyle w:val="longtext"/>
          <w:rFonts w:ascii="Arial" w:hAnsi="Arial" w:cs="Arial"/>
          <w:sz w:val="20"/>
          <w:lang w:val="bg-BG" w:eastAsia="bg-BG"/>
        </w:rPr>
        <w:t>Кандидатите за подпомагане могат да оттеглят подаденото заявление или една или повече схеми по него, с изключение на схемата за подпомагане на дребни земеделски стопани</w:t>
      </w:r>
      <w:r w:rsidR="00D367B0">
        <w:rPr>
          <w:rStyle w:val="longtext"/>
          <w:rFonts w:ascii="Arial" w:hAnsi="Arial" w:cs="Arial"/>
          <w:sz w:val="20"/>
          <w:lang w:val="bg-BG" w:eastAsia="bg-BG"/>
        </w:rPr>
        <w:t>,</w:t>
      </w:r>
      <w:r w:rsidR="00FF6831" w:rsidRPr="00EA588F">
        <w:rPr>
          <w:rStyle w:val="longtext"/>
          <w:rFonts w:ascii="Arial" w:hAnsi="Arial" w:cs="Arial"/>
          <w:sz w:val="20"/>
          <w:lang w:val="bg-BG" w:eastAsia="bg-BG"/>
        </w:rPr>
        <w:t xml:space="preserve"> до момента на извършване на плащането по съответната схема, но не по-късно от 1 декември на годината на подаване на заявлението. Оттеглянето се извършва с писмено искане до съответната ОД на ДФЗ от областта, в която е</w:t>
      </w:r>
      <w:r w:rsidR="00FF6831" w:rsidRPr="00EA588F">
        <w:rPr>
          <w:rFonts w:ascii="Arial" w:hAnsi="Arial" w:cs="Arial"/>
          <w:sz w:val="20"/>
          <w:lang w:val="bg-BG"/>
        </w:rPr>
        <w:t xml:space="preserve"> </w:t>
      </w:r>
      <w:r w:rsidR="00FF6831" w:rsidRPr="00EA588F">
        <w:rPr>
          <w:rStyle w:val="longtext"/>
          <w:rFonts w:ascii="Arial" w:hAnsi="Arial" w:cs="Arial"/>
          <w:sz w:val="20"/>
          <w:lang w:val="bg-BG" w:eastAsia="bg-BG"/>
        </w:rPr>
        <w:t>постоянният адрес на кандидата – физическо лице или адресът на управление на кандидата – юридическо лице или едноличен търговец.</w:t>
      </w:r>
      <w:r w:rsidR="008F0ACD" w:rsidRPr="00EA588F">
        <w:rPr>
          <w:rStyle w:val="longtext"/>
          <w:rFonts w:ascii="Arial" w:hAnsi="Arial" w:cs="Arial"/>
          <w:sz w:val="20"/>
          <w:lang w:val="bg-BG" w:eastAsia="bg-BG"/>
        </w:rPr>
        <w:t xml:space="preserve"> Кандидат, който е оттеглил заявление за подпомагане или една или повече схеми по него, не може да ползва никакви права, произтичащи от оттегленото заявление или от оттеглена една или повече схеми от него.</w:t>
      </w:r>
    </w:p>
    <w:p w:rsidR="00FF6831" w:rsidRPr="00482D68" w:rsidRDefault="00FF6831" w:rsidP="00FF6831">
      <w:pPr>
        <w:tabs>
          <w:tab w:val="left" w:pos="4177"/>
        </w:tabs>
        <w:jc w:val="both"/>
        <w:rPr>
          <w:rFonts w:ascii="Arial" w:hAnsi="Arial" w:cs="Arial"/>
          <w:b/>
          <w:sz w:val="20"/>
          <w:lang w:val="ru-RU"/>
        </w:rPr>
      </w:pPr>
    </w:p>
    <w:tbl>
      <w:tblPr>
        <w:tblW w:w="10159" w:type="dxa"/>
        <w:tblInd w:w="108" w:type="dxa"/>
        <w:tblLook w:val="01E0" w:firstRow="1" w:lastRow="1" w:firstColumn="1" w:lastColumn="1" w:noHBand="0" w:noVBand="0"/>
      </w:tblPr>
      <w:tblGrid>
        <w:gridCol w:w="9923"/>
        <w:gridCol w:w="236"/>
      </w:tblGrid>
      <w:tr w:rsidR="00403CB9" w:rsidRPr="00CE5E69" w:rsidTr="00DF42CC">
        <w:tc>
          <w:tcPr>
            <w:tcW w:w="9923" w:type="dxa"/>
            <w:shd w:val="clear" w:color="auto" w:fill="C0C0C0"/>
            <w:hideMark/>
          </w:tcPr>
          <w:p w:rsidR="00403CB9" w:rsidRPr="00CE5E69" w:rsidRDefault="00403CB9" w:rsidP="00DF42CC">
            <w:pPr>
              <w:jc w:val="both"/>
              <w:rPr>
                <w:rFonts w:ascii="Arial" w:hAnsi="Arial" w:cs="Arial"/>
                <w:i/>
                <w:sz w:val="20"/>
                <w:lang w:val="bg-BG"/>
              </w:rPr>
            </w:pPr>
            <w:r w:rsidRPr="00CE5E69">
              <w:rPr>
                <w:rFonts w:ascii="Arial" w:hAnsi="Arial" w:cs="Arial"/>
                <w:i/>
                <w:sz w:val="20"/>
                <w:lang w:val="bg-BG"/>
              </w:rPr>
              <w:t>Пазарна подкрепа</w:t>
            </w:r>
          </w:p>
        </w:tc>
        <w:tc>
          <w:tcPr>
            <w:tcW w:w="236" w:type="dxa"/>
          </w:tcPr>
          <w:p w:rsidR="00403CB9" w:rsidRPr="00CE5E69" w:rsidRDefault="00403CB9" w:rsidP="00DF42CC">
            <w:pPr>
              <w:jc w:val="both"/>
              <w:rPr>
                <w:rFonts w:ascii="Arial" w:hAnsi="Arial" w:cs="Arial"/>
                <w:i/>
                <w:sz w:val="20"/>
                <w:lang w:val="bg-BG"/>
              </w:rPr>
            </w:pPr>
          </w:p>
        </w:tc>
      </w:tr>
    </w:tbl>
    <w:p w:rsidR="00B90317" w:rsidRDefault="00B90317" w:rsidP="00403CB9">
      <w:pPr>
        <w:jc w:val="both"/>
        <w:rPr>
          <w:rFonts w:ascii="Arial" w:eastAsia="SimSun" w:hAnsi="Arial" w:cs="Arial"/>
          <w:b/>
          <w:bCs/>
          <w:color w:val="000000"/>
          <w:sz w:val="20"/>
          <w:lang w:val="en-US" w:eastAsia="bg-BG"/>
        </w:rPr>
      </w:pPr>
    </w:p>
    <w:p w:rsidR="00434ABA" w:rsidRPr="00F03EE3" w:rsidRDefault="0082007C" w:rsidP="00434ABA">
      <w:pPr>
        <w:jc w:val="both"/>
        <w:rPr>
          <w:rStyle w:val="longtext"/>
          <w:rFonts w:ascii="Arial" w:hAnsi="Arial" w:cs="Arial"/>
          <w:sz w:val="20"/>
          <w:lang w:val="bg-BG" w:eastAsia="bg-BG"/>
        </w:rPr>
      </w:pPr>
      <w:r w:rsidRPr="00F03EE3">
        <w:rPr>
          <w:rFonts w:ascii="Arial" w:eastAsia="SimSun" w:hAnsi="Arial" w:cs="Arial"/>
          <w:b/>
          <w:bCs/>
          <w:color w:val="000000"/>
          <w:sz w:val="20"/>
          <w:lang w:val="bg-BG" w:eastAsia="bg-BG"/>
        </w:rPr>
        <w:t>2.</w:t>
      </w:r>
      <w:r w:rsidR="00434ABA" w:rsidRPr="00F03EE3">
        <w:rPr>
          <w:rFonts w:ascii="Arial" w:eastAsia="SimSun" w:hAnsi="Arial" w:cs="Arial"/>
          <w:b/>
          <w:bCs/>
          <w:color w:val="000000"/>
          <w:sz w:val="20"/>
          <w:lang w:val="bg-BG" w:eastAsia="bg-BG"/>
        </w:rPr>
        <w:t xml:space="preserve"> </w:t>
      </w:r>
      <w:r w:rsidR="00434ABA" w:rsidRPr="00F03EE3">
        <w:rPr>
          <w:rFonts w:ascii="Arial" w:hAnsi="Arial" w:cs="Arial"/>
          <w:b/>
          <w:sz w:val="20"/>
          <w:lang w:val="bg-BG"/>
        </w:rPr>
        <w:t xml:space="preserve">Договорено е търговското споразумение между ЕС и Сингапур. </w:t>
      </w:r>
      <w:r w:rsidR="00434ABA" w:rsidRPr="00F03EE3">
        <w:rPr>
          <w:rStyle w:val="longtext"/>
          <w:rFonts w:ascii="Arial" w:hAnsi="Arial" w:cs="Arial"/>
          <w:sz w:val="20"/>
          <w:lang w:val="bg-BG" w:eastAsia="bg-BG"/>
        </w:rPr>
        <w:t xml:space="preserve">Министрите на финансите на Европейския съюз одобриха споразумението за търговия между ЕС и Сингапур, което може да влезе в сила на 21.11.2019г. Това ще проправи път за премахване на митата и признаване на 138 висококачествени храни и напитки на сингапурския пазар. Председателят на Комисията Жан-Клод Юнкер отбеляза, че това е първото двустранно търговско споразумение между ЕС и държава в Югоизточна Азия и градивен елемент за по-близки отношения между Европа и един от най-динамичните региони в света. Комисарят по търговията </w:t>
      </w:r>
      <w:proofErr w:type="spellStart"/>
      <w:r w:rsidR="00434ABA" w:rsidRPr="00F03EE3">
        <w:rPr>
          <w:rStyle w:val="longtext"/>
          <w:rFonts w:ascii="Arial" w:hAnsi="Arial" w:cs="Arial"/>
          <w:sz w:val="20"/>
          <w:lang w:val="bg-BG" w:eastAsia="bg-BG"/>
        </w:rPr>
        <w:t>Сесилия</w:t>
      </w:r>
      <w:proofErr w:type="spellEnd"/>
      <w:r w:rsidR="00434ABA" w:rsidRPr="00F03EE3">
        <w:rPr>
          <w:rStyle w:val="longtext"/>
          <w:rFonts w:ascii="Arial" w:hAnsi="Arial" w:cs="Arial"/>
          <w:sz w:val="20"/>
          <w:lang w:val="bg-BG" w:eastAsia="bg-BG"/>
        </w:rPr>
        <w:t xml:space="preserve"> </w:t>
      </w:r>
      <w:proofErr w:type="spellStart"/>
      <w:r w:rsidR="00434ABA" w:rsidRPr="00F03EE3">
        <w:rPr>
          <w:rStyle w:val="longtext"/>
          <w:rFonts w:ascii="Arial" w:hAnsi="Arial" w:cs="Arial"/>
          <w:sz w:val="20"/>
          <w:lang w:val="bg-BG" w:eastAsia="bg-BG"/>
        </w:rPr>
        <w:t>Малмстрьом</w:t>
      </w:r>
      <w:proofErr w:type="spellEnd"/>
      <w:r w:rsidR="00434ABA" w:rsidRPr="00F03EE3">
        <w:rPr>
          <w:rStyle w:val="longtext"/>
          <w:rFonts w:ascii="Arial" w:hAnsi="Arial" w:cs="Arial"/>
          <w:sz w:val="20"/>
          <w:lang w:val="bg-BG" w:eastAsia="bg-BG"/>
        </w:rPr>
        <w:t xml:space="preserve"> определи споразумението като допълнително доказателство за нашия ангажимент за справедлива и основаваща се на правила  търговия. През последните пет години ЕС е сключил  16 споразумения, което води до общо 42 сключени търговки споразумения със 73 партньора. Това представлява една трета от общата търговия в ЕС. С население от близо 6 милиона, страната е най-големият търговски партньор на ЕС в региона на Югоизточна Азия, като общата двустранна търговия със стоки надхвърля 53 милиарда евро и още 51 милиарда евро за търговия с услуги. Съгласно разпоредбите на сключеното споразумение, Сингапур ще премахне всички останали тарифи за продукти от ЕС ( като алкохолни напитки) и същевременно ще признае 138 европейски храни и напитки. От деня на влизане в сила на Споразумението над 80% от целия внос от Сингапур ще влиза без мито на територията на ЕС. В останалата си част тарифите на Съюза ще отпаднат в рамките на три до пет години. Сингапур е </w:t>
      </w:r>
      <w:proofErr w:type="spellStart"/>
      <w:r w:rsidR="00434ABA" w:rsidRPr="00F03EE3">
        <w:rPr>
          <w:rStyle w:val="longtext"/>
          <w:rFonts w:ascii="Arial" w:hAnsi="Arial" w:cs="Arial"/>
          <w:sz w:val="20"/>
          <w:lang w:val="bg-BG" w:eastAsia="bg-BG"/>
        </w:rPr>
        <w:t>петия</w:t>
      </w:r>
      <w:r w:rsidR="00151352">
        <w:rPr>
          <w:rStyle w:val="longtext"/>
          <w:rFonts w:ascii="Arial" w:hAnsi="Arial" w:cs="Arial"/>
          <w:sz w:val="20"/>
          <w:lang w:val="bg-BG" w:eastAsia="bg-BG"/>
        </w:rPr>
        <w:t>т</w:t>
      </w:r>
      <w:bookmarkStart w:id="0" w:name="_GoBack"/>
      <w:bookmarkEnd w:id="0"/>
      <w:proofErr w:type="spellEnd"/>
      <w:r w:rsidR="00434ABA" w:rsidRPr="00F03EE3">
        <w:rPr>
          <w:rStyle w:val="longtext"/>
          <w:rFonts w:ascii="Arial" w:hAnsi="Arial" w:cs="Arial"/>
          <w:sz w:val="20"/>
          <w:lang w:val="bg-BG" w:eastAsia="bg-BG"/>
        </w:rPr>
        <w:t xml:space="preserve"> по големина експортен пазар в Азия за храни и напитки от ЕС, като износът на ЕС за страната възлиза на около 2 млрд. евро. Новите партньори ще бъдат безкомпромисни по отношение на безопасността на храните. Повече информация може да бъде намерена на адрес: </w:t>
      </w:r>
      <w:hyperlink r:id="rId8" w:history="1">
        <w:r w:rsidR="00434ABA" w:rsidRPr="00F03EE3">
          <w:rPr>
            <w:rStyle w:val="longtext"/>
            <w:rFonts w:ascii="Arial" w:hAnsi="Arial" w:cs="Arial"/>
            <w:sz w:val="20"/>
            <w:lang w:val="bg-BG" w:eastAsia="bg-BG"/>
          </w:rPr>
          <w:t>https://ec.europa.eu/commission/presscorner/detail/en/MEMO_18_3327</w:t>
        </w:r>
      </w:hyperlink>
      <w:r w:rsidR="00434ABA" w:rsidRPr="00F03EE3">
        <w:rPr>
          <w:rStyle w:val="longtext"/>
          <w:rFonts w:ascii="Arial" w:hAnsi="Arial" w:cs="Arial"/>
          <w:sz w:val="20"/>
          <w:lang w:val="bg-BG" w:eastAsia="bg-BG"/>
        </w:rPr>
        <w:t xml:space="preserve"> </w:t>
      </w:r>
    </w:p>
    <w:p w:rsidR="009D0924" w:rsidRPr="00F03EE3" w:rsidRDefault="009D0924" w:rsidP="00403CB9">
      <w:pPr>
        <w:jc w:val="both"/>
        <w:rPr>
          <w:rFonts w:ascii="Arial" w:eastAsia="SimSun" w:hAnsi="Arial" w:cs="Arial"/>
          <w:b/>
          <w:bCs/>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3E76D7" w:rsidTr="00DF42CC">
        <w:tc>
          <w:tcPr>
            <w:tcW w:w="9900" w:type="dxa"/>
            <w:shd w:val="clear" w:color="auto" w:fill="C0C0C0"/>
            <w:hideMark/>
          </w:tcPr>
          <w:p w:rsidR="00403CB9" w:rsidRPr="00CE5E69" w:rsidRDefault="00403CB9" w:rsidP="00DF42CC">
            <w:pPr>
              <w:tabs>
                <w:tab w:val="left" w:pos="1020"/>
              </w:tabs>
              <w:autoSpaceDE w:val="0"/>
              <w:autoSpaceDN w:val="0"/>
              <w:adjustRightInd w:val="0"/>
              <w:jc w:val="both"/>
              <w:rPr>
                <w:rFonts w:ascii="Arial" w:hAnsi="Arial" w:cs="Arial"/>
                <w:i/>
                <w:iCs/>
                <w:sz w:val="20"/>
                <w:lang w:val="bg-BG"/>
              </w:rPr>
            </w:pPr>
            <w:r w:rsidRPr="00CE5E69">
              <w:rPr>
                <w:rFonts w:ascii="Arial" w:hAnsi="Arial" w:cs="Arial"/>
                <w:i/>
                <w:sz w:val="20"/>
                <w:lang w:val="bg-BG"/>
              </w:rPr>
              <w:t>Визия за ОСП след 2020 г.</w:t>
            </w:r>
          </w:p>
        </w:tc>
        <w:tc>
          <w:tcPr>
            <w:tcW w:w="256" w:type="dxa"/>
          </w:tcPr>
          <w:p w:rsidR="00403CB9" w:rsidRPr="00CE5E69" w:rsidRDefault="00403CB9" w:rsidP="00DF42CC">
            <w:pPr>
              <w:jc w:val="both"/>
              <w:rPr>
                <w:rFonts w:ascii="Arial" w:hAnsi="Arial" w:cs="Arial"/>
                <w:sz w:val="20"/>
                <w:lang w:val="bg-BG"/>
              </w:rPr>
            </w:pPr>
          </w:p>
        </w:tc>
      </w:tr>
    </w:tbl>
    <w:p w:rsidR="00B90317" w:rsidRPr="00482D68" w:rsidRDefault="00B90317" w:rsidP="00C00F88">
      <w:pPr>
        <w:jc w:val="both"/>
        <w:rPr>
          <w:rFonts w:ascii="Arial" w:hAnsi="Arial" w:cs="Arial"/>
          <w:b/>
          <w:sz w:val="20"/>
          <w:lang w:val="ru-RU"/>
        </w:rPr>
      </w:pPr>
    </w:p>
    <w:p w:rsidR="00A752F7" w:rsidRPr="00A752F7" w:rsidRDefault="00186654" w:rsidP="00A752F7">
      <w:pPr>
        <w:jc w:val="both"/>
        <w:rPr>
          <w:rStyle w:val="tlid-translation"/>
          <w:rFonts w:ascii="Arial" w:hAnsi="Arial" w:cs="Arial"/>
          <w:sz w:val="20"/>
          <w:lang w:val="bg-BG"/>
        </w:rPr>
      </w:pPr>
      <w:r w:rsidRPr="00186654">
        <w:rPr>
          <w:rStyle w:val="tlid-translation"/>
          <w:rFonts w:ascii="Arial" w:hAnsi="Arial" w:cs="Arial"/>
          <w:b/>
          <w:sz w:val="20"/>
          <w:lang w:val="bg-BG"/>
        </w:rPr>
        <w:t>3.</w:t>
      </w:r>
      <w:r w:rsidR="00A752F7" w:rsidRPr="00482D68">
        <w:rPr>
          <w:lang w:val="ru-RU"/>
        </w:rPr>
        <w:t xml:space="preserve"> </w:t>
      </w:r>
      <w:r w:rsidR="00A752F7" w:rsidRPr="00A752F7">
        <w:rPr>
          <w:rStyle w:val="tlid-translation"/>
          <w:rFonts w:ascii="Arial" w:hAnsi="Arial" w:cs="Arial" w:hint="eastAsia"/>
          <w:b/>
          <w:sz w:val="20"/>
          <w:lang w:val="bg-BG"/>
        </w:rPr>
        <w:t>На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заседанието</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на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Работна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група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Хоризонтални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селскостопански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въпроси“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на</w:t>
      </w:r>
      <w:r w:rsidR="00A752F7" w:rsidRPr="00A752F7">
        <w:rPr>
          <w:rStyle w:val="tlid-translation"/>
          <w:rFonts w:ascii="Arial" w:hAnsi="Arial" w:cs="Arial"/>
          <w:b/>
          <w:sz w:val="20"/>
          <w:lang w:val="bg-BG"/>
        </w:rPr>
        <w:t xml:space="preserve"> 13 </w:t>
      </w:r>
      <w:r w:rsidR="00A752F7" w:rsidRPr="00A752F7">
        <w:rPr>
          <w:rStyle w:val="tlid-translation"/>
          <w:rFonts w:ascii="Arial" w:hAnsi="Arial" w:cs="Arial" w:hint="eastAsia"/>
          <w:b/>
          <w:sz w:val="20"/>
          <w:lang w:val="bg-BG"/>
        </w:rPr>
        <w:t>ноември</w:t>
      </w:r>
      <w:r w:rsidR="00A752F7" w:rsidRPr="00A752F7">
        <w:rPr>
          <w:rStyle w:val="tlid-translation"/>
          <w:rFonts w:ascii="Arial" w:hAnsi="Arial" w:cs="Arial"/>
          <w:b/>
          <w:sz w:val="20"/>
          <w:lang w:val="bg-BG"/>
        </w:rPr>
        <w:t xml:space="preserve"> 2019 </w:t>
      </w:r>
      <w:r w:rsidR="00A752F7" w:rsidRPr="00A752F7">
        <w:rPr>
          <w:rStyle w:val="tlid-translation"/>
          <w:rFonts w:ascii="Arial" w:hAnsi="Arial" w:cs="Arial" w:hint="eastAsia"/>
          <w:b/>
          <w:sz w:val="20"/>
          <w:lang w:val="bg-BG"/>
        </w:rPr>
        <w:t>г</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ЕК</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направи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детайлно</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представяне</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на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двата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проект</w:t>
      </w:r>
      <w:r w:rsidR="00B57244">
        <w:rPr>
          <w:rStyle w:val="tlid-translation"/>
          <w:rFonts w:ascii="Arial" w:hAnsi="Arial" w:cs="Arial"/>
          <w:b/>
          <w:sz w:val="20"/>
          <w:lang w:val="bg-BG"/>
        </w:rPr>
        <w:t>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на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регламент</w:t>
      </w:r>
      <w:r w:rsidR="00B57244">
        <w:rPr>
          <w:rStyle w:val="tlid-translation"/>
          <w:rFonts w:ascii="Arial" w:hAnsi="Arial" w:cs="Arial"/>
          <w:b/>
          <w:sz w:val="20"/>
          <w:lang w:val="bg-BG"/>
        </w:rPr>
        <w:t>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които</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съставляват</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пакетът</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от</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преходни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правила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Разделянето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правила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налага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необходимостта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спешното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приемане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разпоредби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относно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прехвърлянето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средства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между</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Първи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Втори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стълб</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2020 </w:t>
      </w:r>
      <w:r w:rsidR="00A752F7" w:rsidRPr="00A752F7">
        <w:rPr>
          <w:rStyle w:val="tlid-translation"/>
          <w:rFonts w:ascii="Arial" w:hAnsi="Arial" w:cs="Arial" w:hint="eastAsia"/>
          <w:sz w:val="20"/>
          <w:lang w:val="bg-BG"/>
        </w:rPr>
        <w:t>г</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продължаване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прилагането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финансовата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дисциплина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гарантираща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наличието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финансови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средства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някои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пазарни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мерки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Третият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елемент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w:t>
      </w:r>
      <w:r w:rsidR="00A752F7" w:rsidRPr="00A752F7">
        <w:rPr>
          <w:rStyle w:val="tlid-translation"/>
          <w:rFonts w:ascii="Arial" w:hAnsi="Arial" w:cs="Arial"/>
          <w:sz w:val="20"/>
          <w:lang w:val="bg-BG"/>
        </w:rPr>
        <w:t>.</w:t>
      </w:r>
      <w:r w:rsidR="00A752F7" w:rsidRPr="00A752F7">
        <w:rPr>
          <w:rStyle w:val="tlid-translation"/>
          <w:rFonts w:ascii="Arial" w:hAnsi="Arial" w:cs="Arial" w:hint="eastAsia"/>
          <w:sz w:val="20"/>
          <w:lang w:val="bg-BG"/>
        </w:rPr>
        <w:t>нар</w:t>
      </w:r>
      <w:r w:rsidR="00A752F7" w:rsidRPr="00A752F7">
        <w:rPr>
          <w:rStyle w:val="tlid-translation"/>
          <w:rFonts w:ascii="Arial" w:hAnsi="Arial" w:cs="Arial"/>
          <w:sz w:val="20"/>
          <w:lang w:val="bg-BG"/>
        </w:rPr>
        <w:t>. „</w:t>
      </w:r>
      <w:r w:rsidR="00A752F7" w:rsidRPr="00A752F7">
        <w:rPr>
          <w:rStyle w:val="tlid-translation"/>
          <w:rFonts w:ascii="Arial" w:hAnsi="Arial" w:cs="Arial" w:hint="eastAsia"/>
          <w:sz w:val="20"/>
          <w:lang w:val="bg-BG"/>
        </w:rPr>
        <w:t>регламент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относно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гъвкавостта“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предвиждането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възможност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адаптиране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таваните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обвързана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подкрепа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случай</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използване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гъвкавостта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прехвърляне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средства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между</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стълбовете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2020 </w:t>
      </w:r>
      <w:r w:rsidR="00A752F7" w:rsidRPr="00A752F7">
        <w:rPr>
          <w:rStyle w:val="tlid-translation"/>
          <w:rFonts w:ascii="Arial" w:hAnsi="Arial" w:cs="Arial" w:hint="eastAsia"/>
          <w:sz w:val="20"/>
          <w:lang w:val="bg-BG"/>
        </w:rPr>
        <w:t>г</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Този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проект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трябва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бъде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приет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края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годината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или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най</w:t>
      </w:r>
      <w:r w:rsidR="00A752F7" w:rsidRPr="00A752F7">
        <w:rPr>
          <w:rStyle w:val="tlid-translation"/>
          <w:rFonts w:ascii="Arial" w:hAnsi="Arial" w:cs="Arial"/>
          <w:sz w:val="20"/>
          <w:lang w:val="bg-BG"/>
        </w:rPr>
        <w:t>-</w:t>
      </w:r>
      <w:r w:rsidR="00A752F7" w:rsidRPr="00A752F7">
        <w:rPr>
          <w:rStyle w:val="tlid-translation"/>
          <w:rFonts w:ascii="Arial" w:hAnsi="Arial" w:cs="Arial" w:hint="eastAsia"/>
          <w:sz w:val="20"/>
          <w:lang w:val="bg-BG"/>
        </w:rPr>
        <w:t>късно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w:t>
      </w:r>
      <w:r w:rsidR="00A752F7" w:rsidRPr="00A752F7">
        <w:rPr>
          <w:rStyle w:val="tlid-translation"/>
          <w:rFonts w:ascii="Arial" w:hAnsi="Arial" w:cs="Arial"/>
          <w:sz w:val="20"/>
          <w:lang w:val="bg-BG"/>
        </w:rPr>
        <w:t xml:space="preserve"> </w:t>
      </w:r>
      <w:r w:rsidR="00090E32">
        <w:rPr>
          <w:rStyle w:val="tlid-translation"/>
          <w:rFonts w:ascii="Arial" w:hAnsi="Arial" w:cs="Arial" w:hint="eastAsia"/>
          <w:sz w:val="20"/>
          <w:lang w:val="bg-BG"/>
        </w:rPr>
        <w:t>начало</w:t>
      </w:r>
      <w:r w:rsidR="00090E32">
        <w:rPr>
          <w:rStyle w:val="tlid-translation"/>
          <w:rFonts w:ascii="Arial" w:hAnsi="Arial" w:cs="Arial"/>
          <w:sz w:val="20"/>
          <w:lang w:val="bg-BG"/>
        </w:rPr>
        <w:t>т</w:t>
      </w:r>
      <w:r w:rsidR="00A752F7" w:rsidRPr="00A752F7">
        <w:rPr>
          <w:rStyle w:val="tlid-translation"/>
          <w:rFonts w:ascii="Arial" w:hAnsi="Arial" w:cs="Arial" w:hint="eastAsia"/>
          <w:sz w:val="20"/>
          <w:lang w:val="bg-BG"/>
        </w:rPr>
        <w:t>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следващата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година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което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счита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постижимо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поради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техническия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характер</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акта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края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месец</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ноември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очаква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проектът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бъде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w:t>
      </w:r>
      <w:r w:rsidR="00090E32">
        <w:rPr>
          <w:rStyle w:val="tlid-translation"/>
          <w:rFonts w:ascii="Arial" w:hAnsi="Arial" w:cs="Arial"/>
          <w:sz w:val="20"/>
          <w:lang w:val="bg-BG"/>
        </w:rPr>
        <w:t>р</w:t>
      </w:r>
      <w:r w:rsidR="00A752F7" w:rsidRPr="00A752F7">
        <w:rPr>
          <w:rStyle w:val="tlid-translation"/>
          <w:rFonts w:ascii="Arial" w:hAnsi="Arial" w:cs="Arial" w:hint="eastAsia"/>
          <w:sz w:val="20"/>
          <w:lang w:val="bg-BG"/>
        </w:rPr>
        <w:t>едоставе</w:t>
      </w:r>
      <w:r w:rsidR="00090E32">
        <w:rPr>
          <w:rStyle w:val="tlid-translation"/>
          <w:rFonts w:ascii="Arial" w:hAnsi="Arial" w:cs="Arial"/>
          <w:sz w:val="20"/>
          <w:lang w:val="bg-BG"/>
        </w:rPr>
        <w:t>н</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ЕП</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който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вече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изразил</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готовност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приемане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бърза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процедура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Вторият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проект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осигурява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правила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относно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директните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плащания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РСР</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секторните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мерки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Действащите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към</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момента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ще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продължат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прилагат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през</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година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налага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допълване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някои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разпоредби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осигуряващи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продължаването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действието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им</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още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една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година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Данните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относно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финансовите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тавани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базиран</w:t>
      </w:r>
      <w:r w:rsidR="00B57244">
        <w:rPr>
          <w:rStyle w:val="tlid-translation"/>
          <w:rFonts w:ascii="Arial" w:hAnsi="Arial" w:cs="Arial"/>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предложението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ЕК</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относно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МФР</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ще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бъдат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окончателно</w:t>
      </w:r>
      <w:r w:rsidR="00A752F7" w:rsidRPr="00A752F7">
        <w:rPr>
          <w:rStyle w:val="tlid-translation"/>
          <w:rFonts w:ascii="Arial" w:hAnsi="Arial" w:cs="Arial"/>
          <w:sz w:val="20"/>
          <w:lang w:val="bg-BG"/>
        </w:rPr>
        <w:t xml:space="preserve"> </w:t>
      </w:r>
      <w:r w:rsidR="00B57244">
        <w:rPr>
          <w:rStyle w:val="tlid-translation"/>
          <w:rFonts w:ascii="Arial" w:hAnsi="Arial" w:cs="Arial" w:hint="eastAsia"/>
          <w:sz w:val="20"/>
          <w:lang w:val="bg-BG"/>
        </w:rPr>
        <w:t>актуализиран</w:t>
      </w:r>
      <w:r w:rsidR="00B57244">
        <w:rPr>
          <w:rStyle w:val="tlid-translation"/>
          <w:rFonts w:ascii="Arial" w:hAnsi="Arial" w:cs="Arial"/>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след</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приемането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новата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финансова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рамка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през</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следващата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година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ЕК</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отговори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множество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технически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въпроси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поставени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ДЧ</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България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още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веднъж</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постави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въпроса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запазване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национална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помощ</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през</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преходни</w:t>
      </w:r>
      <w:r w:rsidR="00B57244">
        <w:rPr>
          <w:rStyle w:val="tlid-translation"/>
          <w:rFonts w:ascii="Arial" w:hAnsi="Arial" w:cs="Arial"/>
          <w:sz w:val="20"/>
          <w:lang w:val="bg-BG"/>
        </w:rPr>
        <w:t>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период</w:t>
      </w:r>
      <w:r w:rsidR="00A752F7" w:rsidRPr="00A752F7">
        <w:rPr>
          <w:rStyle w:val="tlid-translation"/>
          <w:rFonts w:ascii="Arial" w:hAnsi="Arial" w:cs="Arial"/>
          <w:sz w:val="20"/>
          <w:lang w:val="bg-BG"/>
        </w:rPr>
        <w:t xml:space="preserve">, </w:t>
      </w:r>
      <w:r w:rsidR="00B57244">
        <w:rPr>
          <w:rStyle w:val="tlid-translation"/>
          <w:rFonts w:ascii="Arial" w:hAnsi="Arial" w:cs="Arial" w:hint="eastAsia"/>
          <w:sz w:val="20"/>
          <w:lang w:val="bg-BG"/>
        </w:rPr>
        <w:t>отч</w:t>
      </w:r>
      <w:r w:rsidR="00B57244">
        <w:rPr>
          <w:rStyle w:val="tlid-translation"/>
          <w:rFonts w:ascii="Arial" w:hAnsi="Arial" w:cs="Arial"/>
          <w:sz w:val="20"/>
          <w:lang w:val="bg-BG"/>
        </w:rPr>
        <w:t>и</w:t>
      </w:r>
      <w:r w:rsidR="00A752F7" w:rsidRPr="00A752F7">
        <w:rPr>
          <w:rStyle w:val="tlid-translation"/>
          <w:rFonts w:ascii="Arial" w:hAnsi="Arial" w:cs="Arial" w:hint="eastAsia"/>
          <w:sz w:val="20"/>
          <w:lang w:val="bg-BG"/>
        </w:rPr>
        <w:t>тайки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нейната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важност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секторите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lastRenderedPageBreak/>
        <w:t>които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подпомагат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този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вид</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подкрепа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Допълнителни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бележки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предложения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преходния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могат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бъдат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изпращани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до</w:t>
      </w:r>
      <w:r w:rsidR="00A752F7" w:rsidRPr="00A752F7">
        <w:rPr>
          <w:rStyle w:val="tlid-translation"/>
          <w:rFonts w:ascii="Arial" w:hAnsi="Arial" w:cs="Arial"/>
          <w:sz w:val="20"/>
          <w:lang w:val="bg-BG"/>
        </w:rPr>
        <w:t xml:space="preserve"> 22 </w:t>
      </w:r>
      <w:r w:rsidR="00A752F7" w:rsidRPr="00A752F7">
        <w:rPr>
          <w:rStyle w:val="tlid-translation"/>
          <w:rFonts w:ascii="Arial" w:hAnsi="Arial" w:cs="Arial" w:hint="eastAsia"/>
          <w:sz w:val="20"/>
          <w:lang w:val="bg-BG"/>
        </w:rPr>
        <w:t>ноември</w:t>
      </w:r>
      <w:r w:rsidR="00A752F7" w:rsidRPr="00A752F7">
        <w:rPr>
          <w:rStyle w:val="tlid-translation"/>
          <w:rFonts w:ascii="Arial" w:hAnsi="Arial" w:cs="Arial"/>
          <w:sz w:val="20"/>
          <w:lang w:val="bg-BG"/>
        </w:rPr>
        <w:t xml:space="preserve"> 2019 </w:t>
      </w:r>
      <w:r w:rsidR="00A752F7" w:rsidRPr="00A752F7">
        <w:rPr>
          <w:rStyle w:val="tlid-translation"/>
          <w:rFonts w:ascii="Arial" w:hAnsi="Arial" w:cs="Arial" w:hint="eastAsia"/>
          <w:sz w:val="20"/>
          <w:lang w:val="bg-BG"/>
        </w:rPr>
        <w:t>г</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правила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ще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продължат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B57244">
        <w:rPr>
          <w:rStyle w:val="tlid-translation"/>
          <w:rFonts w:ascii="Arial" w:hAnsi="Arial" w:cs="Arial" w:hint="eastAsia"/>
          <w:sz w:val="20"/>
          <w:lang w:val="bg-BG"/>
        </w:rPr>
        <w:t>обсъжда</w:t>
      </w:r>
      <w:r w:rsidR="00B57244">
        <w:rPr>
          <w:rStyle w:val="tlid-translation"/>
          <w:rFonts w:ascii="Arial" w:hAnsi="Arial" w:cs="Arial"/>
          <w:sz w:val="20"/>
          <w:lang w:val="bg-BG"/>
        </w:rPr>
        <w:t>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СКСС</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2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9 </w:t>
      </w:r>
      <w:r w:rsidR="00B57244">
        <w:rPr>
          <w:rStyle w:val="tlid-translation"/>
          <w:rFonts w:ascii="Arial" w:hAnsi="Arial" w:cs="Arial"/>
          <w:sz w:val="20"/>
          <w:lang w:val="bg-BG"/>
        </w:rPr>
        <w:t>д</w:t>
      </w:r>
      <w:r w:rsidR="00A752F7" w:rsidRPr="00A752F7">
        <w:rPr>
          <w:rStyle w:val="tlid-translation"/>
          <w:rFonts w:ascii="Arial" w:hAnsi="Arial" w:cs="Arial" w:hint="eastAsia"/>
          <w:sz w:val="20"/>
          <w:lang w:val="bg-BG"/>
        </w:rPr>
        <w:t>е</w:t>
      </w:r>
      <w:r w:rsidR="00B57244">
        <w:rPr>
          <w:rStyle w:val="tlid-translation"/>
          <w:rFonts w:ascii="Arial" w:hAnsi="Arial" w:cs="Arial"/>
          <w:sz w:val="20"/>
          <w:lang w:val="bg-BG"/>
        </w:rPr>
        <w:t>ке</w:t>
      </w:r>
      <w:r w:rsidR="00A752F7" w:rsidRPr="00A752F7">
        <w:rPr>
          <w:rStyle w:val="tlid-translation"/>
          <w:rFonts w:ascii="Arial" w:hAnsi="Arial" w:cs="Arial" w:hint="eastAsia"/>
          <w:sz w:val="20"/>
          <w:lang w:val="bg-BG"/>
        </w:rPr>
        <w:t>мври</w:t>
      </w:r>
      <w:r w:rsidR="00A752F7" w:rsidRPr="00A752F7">
        <w:rPr>
          <w:rStyle w:val="tlid-translation"/>
          <w:rFonts w:ascii="Arial" w:hAnsi="Arial" w:cs="Arial"/>
          <w:sz w:val="20"/>
          <w:lang w:val="bg-BG"/>
        </w:rPr>
        <w:t xml:space="preserve"> 2019 </w:t>
      </w:r>
      <w:r w:rsidR="00A752F7" w:rsidRPr="00A752F7">
        <w:rPr>
          <w:rStyle w:val="tlid-translation"/>
          <w:rFonts w:ascii="Arial" w:hAnsi="Arial" w:cs="Arial" w:hint="eastAsia"/>
          <w:sz w:val="20"/>
          <w:lang w:val="bg-BG"/>
        </w:rPr>
        <w:t>г</w:t>
      </w:r>
      <w:r w:rsidR="00A752F7" w:rsidRPr="00A752F7">
        <w:rPr>
          <w:rStyle w:val="tlid-translation"/>
          <w:rFonts w:ascii="Arial" w:hAnsi="Arial" w:cs="Arial"/>
          <w:sz w:val="20"/>
          <w:lang w:val="bg-BG"/>
        </w:rPr>
        <w:t xml:space="preserve">.  </w:t>
      </w:r>
    </w:p>
    <w:p w:rsidR="006A094F" w:rsidRPr="00482D68" w:rsidRDefault="006A094F" w:rsidP="00A752F7">
      <w:pPr>
        <w:contextualSpacing/>
        <w:jc w:val="both"/>
        <w:rPr>
          <w:rStyle w:val="tlid-translation"/>
          <w:rFonts w:ascii="Arial" w:hAnsi="Arial" w:cs="Arial"/>
          <w:sz w:val="20"/>
          <w:lang w:val="ru-RU"/>
        </w:rPr>
      </w:pPr>
    </w:p>
    <w:p w:rsidR="00831470" w:rsidRDefault="00434ABA" w:rsidP="00DA4860">
      <w:pPr>
        <w:jc w:val="both"/>
        <w:rPr>
          <w:rFonts w:ascii="Arial" w:hAnsi="Arial" w:cs="Arial"/>
          <w:noProof/>
          <w:color w:val="000000"/>
          <w:sz w:val="20"/>
          <w:lang w:val="bg-BG"/>
        </w:rPr>
      </w:pPr>
      <w:r w:rsidRPr="00831470">
        <w:rPr>
          <w:rStyle w:val="tlid-translation"/>
          <w:rFonts w:ascii="Arial" w:hAnsi="Arial" w:cs="Arial"/>
          <w:b/>
          <w:noProof/>
          <w:sz w:val="20"/>
          <w:lang w:val="bg-BG"/>
        </w:rPr>
        <w:t xml:space="preserve">4. </w:t>
      </w:r>
      <w:r w:rsidR="00897FD9" w:rsidRPr="00831470">
        <w:rPr>
          <w:rFonts w:ascii="Arial" w:hAnsi="Arial" w:cs="Arial"/>
          <w:b/>
          <w:noProof/>
          <w:color w:val="000000"/>
          <w:sz w:val="20"/>
          <w:lang w:val="bg-BG"/>
        </w:rPr>
        <w:t>На</w:t>
      </w:r>
      <w:r w:rsidR="0033168E" w:rsidRPr="00831470">
        <w:rPr>
          <w:rFonts w:ascii="Arial" w:hAnsi="Arial" w:cs="Arial"/>
          <w:b/>
          <w:noProof/>
          <w:color w:val="000000"/>
          <w:sz w:val="20"/>
          <w:lang w:val="bg-BG"/>
        </w:rPr>
        <w:t xml:space="preserve"> заседанието на Специалния комитет по селско стопанство на 12 ноември</w:t>
      </w:r>
      <w:r w:rsidR="0033168E" w:rsidRPr="00831470">
        <w:rPr>
          <w:rFonts w:ascii="Arial" w:hAnsi="Arial" w:cs="Arial"/>
          <w:noProof/>
          <w:color w:val="000000"/>
          <w:sz w:val="20"/>
          <w:lang w:val="bg-BG"/>
        </w:rPr>
        <w:t xml:space="preserve"> </w:t>
      </w:r>
      <w:r w:rsidR="0033168E" w:rsidRPr="00831470">
        <w:rPr>
          <w:rFonts w:ascii="Arial" w:hAnsi="Arial" w:cs="Arial"/>
          <w:b/>
          <w:noProof/>
          <w:color w:val="000000"/>
          <w:sz w:val="20"/>
          <w:lang w:val="bg-BG"/>
        </w:rPr>
        <w:t>финландското председателство на Съвета на ЕС представи предложения</w:t>
      </w:r>
      <w:r w:rsidR="00831470" w:rsidRPr="00831470">
        <w:rPr>
          <w:rFonts w:ascii="Arial" w:hAnsi="Arial" w:cs="Arial"/>
          <w:b/>
          <w:noProof/>
          <w:color w:val="000000"/>
          <w:sz w:val="20"/>
          <w:lang w:val="bg-BG"/>
        </w:rPr>
        <w:t>та си</w:t>
      </w:r>
      <w:r w:rsidR="0033168E" w:rsidRPr="00831470">
        <w:rPr>
          <w:rFonts w:ascii="Arial" w:hAnsi="Arial" w:cs="Arial"/>
          <w:b/>
          <w:noProof/>
          <w:color w:val="000000"/>
          <w:sz w:val="20"/>
          <w:lang w:val="bg-BG"/>
        </w:rPr>
        <w:t xml:space="preserve"> </w:t>
      </w:r>
      <w:r w:rsidR="00896351" w:rsidRPr="00831470">
        <w:rPr>
          <w:rFonts w:ascii="Arial" w:hAnsi="Arial" w:cs="Arial"/>
          <w:b/>
          <w:noProof/>
          <w:color w:val="000000"/>
          <w:sz w:val="20"/>
          <w:lang w:val="bg-BG"/>
        </w:rPr>
        <w:t>о</w:t>
      </w:r>
      <w:r w:rsidR="0033168E" w:rsidRPr="00831470">
        <w:rPr>
          <w:rFonts w:ascii="Arial" w:hAnsi="Arial" w:cs="Arial"/>
          <w:b/>
          <w:noProof/>
          <w:color w:val="000000"/>
          <w:sz w:val="20"/>
          <w:lang w:val="bg-BG"/>
        </w:rPr>
        <w:t>тносно някои аспекти на Обща селскостопанска политика (ОСП) след 2020 г.</w:t>
      </w:r>
      <w:r w:rsidR="00831470">
        <w:rPr>
          <w:rFonts w:ascii="Arial" w:hAnsi="Arial" w:cs="Arial"/>
          <w:b/>
          <w:noProof/>
          <w:color w:val="000000"/>
          <w:sz w:val="20"/>
          <w:lang w:val="bg-BG"/>
        </w:rPr>
        <w:t>,</w:t>
      </w:r>
      <w:r w:rsidR="0033168E" w:rsidRPr="00831470">
        <w:rPr>
          <w:rFonts w:ascii="Arial" w:hAnsi="Arial" w:cs="Arial"/>
          <w:b/>
          <w:noProof/>
          <w:color w:val="000000"/>
          <w:sz w:val="20"/>
          <w:lang w:val="bg-BG"/>
        </w:rPr>
        <w:t xml:space="preserve"> по-специално свързани с околната среда и климата и директни плащания. </w:t>
      </w:r>
      <w:r w:rsidR="00831470" w:rsidRPr="00831470">
        <w:rPr>
          <w:rFonts w:ascii="Arial" w:hAnsi="Arial" w:cs="Arial"/>
          <w:noProof/>
          <w:color w:val="000000"/>
          <w:sz w:val="20"/>
          <w:lang w:val="bg-BG"/>
        </w:rPr>
        <w:t>П</w:t>
      </w:r>
      <w:r w:rsidR="0033168E" w:rsidRPr="00831470">
        <w:rPr>
          <w:rFonts w:ascii="Arial" w:hAnsi="Arial" w:cs="Arial"/>
          <w:noProof/>
          <w:color w:val="000000"/>
          <w:sz w:val="20"/>
          <w:lang w:val="bg-BG"/>
        </w:rPr>
        <w:t>редложения</w:t>
      </w:r>
      <w:r w:rsidR="00831470">
        <w:rPr>
          <w:rFonts w:ascii="Arial" w:hAnsi="Arial" w:cs="Arial"/>
          <w:noProof/>
          <w:color w:val="000000"/>
          <w:sz w:val="20"/>
          <w:lang w:val="bg-BG"/>
        </w:rPr>
        <w:t>та</w:t>
      </w:r>
      <w:r w:rsidR="0033168E" w:rsidRPr="00831470">
        <w:rPr>
          <w:rFonts w:ascii="Arial" w:hAnsi="Arial" w:cs="Arial"/>
          <w:noProof/>
          <w:color w:val="000000"/>
          <w:sz w:val="20"/>
          <w:lang w:val="bg-BG"/>
        </w:rPr>
        <w:t xml:space="preserve"> включват някои разпоредби </w:t>
      </w:r>
      <w:r w:rsidR="0038742B" w:rsidRPr="00831470">
        <w:rPr>
          <w:rFonts w:ascii="Arial" w:hAnsi="Arial" w:cs="Arial"/>
          <w:noProof/>
          <w:color w:val="000000"/>
          <w:sz w:val="20"/>
          <w:lang w:val="bg-BG"/>
        </w:rPr>
        <w:t>от</w:t>
      </w:r>
      <w:r w:rsidR="0033168E" w:rsidRPr="00831470">
        <w:rPr>
          <w:rFonts w:ascii="Arial" w:hAnsi="Arial" w:cs="Arial"/>
          <w:noProof/>
          <w:color w:val="000000"/>
          <w:sz w:val="20"/>
          <w:lang w:val="bg-BG"/>
        </w:rPr>
        <w:t xml:space="preserve"> Регламента за стратегическите планове </w:t>
      </w:r>
      <w:r w:rsidR="00831470" w:rsidRPr="00831470">
        <w:rPr>
          <w:rFonts w:ascii="Arial" w:hAnsi="Arial" w:cs="Arial"/>
          <w:noProof/>
          <w:color w:val="000000"/>
          <w:sz w:val="20"/>
          <w:lang w:val="bg-BG"/>
        </w:rPr>
        <w:t>по</w:t>
      </w:r>
      <w:r w:rsidR="0033168E" w:rsidRPr="00831470">
        <w:rPr>
          <w:rFonts w:ascii="Arial" w:hAnsi="Arial" w:cs="Arial"/>
          <w:noProof/>
          <w:color w:val="000000"/>
          <w:sz w:val="20"/>
          <w:lang w:val="bg-BG"/>
        </w:rPr>
        <w:t xml:space="preserve"> ОСП. Освен това финландското председателство продължава своите усилия за постигане на напредък в преговорите</w:t>
      </w:r>
      <w:r w:rsidR="00831470">
        <w:rPr>
          <w:rFonts w:ascii="Arial" w:hAnsi="Arial" w:cs="Arial"/>
          <w:noProof/>
          <w:color w:val="000000"/>
          <w:sz w:val="20"/>
          <w:lang w:val="bg-BG"/>
        </w:rPr>
        <w:t>,</w:t>
      </w:r>
      <w:r w:rsidR="0033168E" w:rsidRPr="00831470">
        <w:rPr>
          <w:rFonts w:ascii="Arial" w:hAnsi="Arial" w:cs="Arial"/>
          <w:noProof/>
          <w:color w:val="000000"/>
          <w:sz w:val="20"/>
          <w:lang w:val="bg-BG"/>
        </w:rPr>
        <w:t xml:space="preserve"> като се очаква Съветът по земеделие на 18 ноември да обсъди разходите на ОСП по отношение на действията, свързани с климата.</w:t>
      </w:r>
      <w:r w:rsidR="0049130E" w:rsidRPr="00831470">
        <w:rPr>
          <w:rFonts w:ascii="Arial" w:hAnsi="Arial" w:cs="Arial"/>
          <w:noProof/>
          <w:color w:val="000000"/>
          <w:sz w:val="20"/>
          <w:lang w:val="bg-BG"/>
        </w:rPr>
        <w:t xml:space="preserve"> </w:t>
      </w:r>
      <w:r w:rsidR="00831470">
        <w:rPr>
          <w:rFonts w:ascii="Arial" w:hAnsi="Arial" w:cs="Arial"/>
          <w:noProof/>
          <w:color w:val="000000"/>
          <w:sz w:val="20"/>
          <w:lang w:val="bg-BG"/>
        </w:rPr>
        <w:t>Относно</w:t>
      </w:r>
      <w:r w:rsidR="0033168E" w:rsidRPr="00831470">
        <w:rPr>
          <w:rFonts w:ascii="Arial" w:hAnsi="Arial" w:cs="Arial"/>
          <w:noProof/>
          <w:color w:val="000000"/>
          <w:sz w:val="20"/>
          <w:lang w:val="bg-BG"/>
        </w:rPr>
        <w:t xml:space="preserve"> зелената архитектура председателството предлага да се премахне целта за разпределяне на 30% от разходите по втория стълб на ОСП (развитие на селските райони) за действия, благоприятни за климата, като вместо това държавите членки да отделят определен процент от общия си пакет от ОСП (по стълбове 1 и 2) за целите</w:t>
      </w:r>
      <w:r w:rsidR="003E76D7">
        <w:rPr>
          <w:rFonts w:ascii="Arial" w:hAnsi="Arial" w:cs="Arial"/>
          <w:noProof/>
          <w:color w:val="000000"/>
          <w:sz w:val="20"/>
          <w:lang w:val="bg-BG"/>
        </w:rPr>
        <w:t>,</w:t>
      </w:r>
      <w:r w:rsidR="0033168E" w:rsidRPr="00831470">
        <w:rPr>
          <w:rFonts w:ascii="Arial" w:hAnsi="Arial" w:cs="Arial"/>
          <w:noProof/>
          <w:color w:val="000000"/>
          <w:sz w:val="20"/>
          <w:lang w:val="bg-BG"/>
        </w:rPr>
        <w:t xml:space="preserve"> свързани с климата. Този процент може да бъде определен по-късно, след преговорите за </w:t>
      </w:r>
      <w:r w:rsidR="003E76D7">
        <w:rPr>
          <w:rFonts w:ascii="Arial" w:hAnsi="Arial" w:cs="Arial"/>
          <w:noProof/>
          <w:color w:val="000000"/>
          <w:sz w:val="20"/>
          <w:lang w:val="bg-BG"/>
        </w:rPr>
        <w:t>М</w:t>
      </w:r>
      <w:r w:rsidR="0033168E" w:rsidRPr="00831470">
        <w:rPr>
          <w:rFonts w:ascii="Arial" w:hAnsi="Arial" w:cs="Arial"/>
          <w:noProof/>
          <w:color w:val="000000"/>
          <w:sz w:val="20"/>
          <w:lang w:val="bg-BG"/>
        </w:rPr>
        <w:t>ногогодишната финансова рамка на ЕС 2021-2027. Председателството изтъква, че въпросът за задължителния характер на еко-схемите (екологичните програми) остава „отворен“.</w:t>
      </w:r>
      <w:r w:rsidR="00831470">
        <w:rPr>
          <w:rFonts w:ascii="Arial" w:hAnsi="Arial" w:cs="Arial"/>
          <w:noProof/>
          <w:color w:val="000000"/>
          <w:sz w:val="20"/>
          <w:lang w:val="bg-BG"/>
        </w:rPr>
        <w:t xml:space="preserve"> </w:t>
      </w:r>
      <w:r w:rsidR="0033168E" w:rsidRPr="00831470">
        <w:rPr>
          <w:rFonts w:ascii="Arial" w:hAnsi="Arial" w:cs="Arial"/>
          <w:noProof/>
          <w:color w:val="000000"/>
          <w:sz w:val="20"/>
          <w:lang w:val="bg-BG"/>
        </w:rPr>
        <w:t xml:space="preserve">По отношение на директните плащания финландското председателство посочва, че страните от ЕС са разделени по въпроса за обвързаната подкрепа. Някои ДЧ биха искали да </w:t>
      </w:r>
      <w:r w:rsidR="00831470">
        <w:rPr>
          <w:rFonts w:ascii="Arial" w:hAnsi="Arial" w:cs="Arial"/>
          <w:noProof/>
          <w:color w:val="000000"/>
          <w:sz w:val="20"/>
          <w:lang w:val="bg-BG"/>
        </w:rPr>
        <w:t>се включат</w:t>
      </w:r>
      <w:r w:rsidR="0033168E" w:rsidRPr="00831470">
        <w:rPr>
          <w:rFonts w:ascii="Arial" w:hAnsi="Arial" w:cs="Arial"/>
          <w:noProof/>
          <w:color w:val="000000"/>
          <w:sz w:val="20"/>
          <w:lang w:val="bg-BG"/>
        </w:rPr>
        <w:t xml:space="preserve"> повече сектори, докато така наречените „либерални“ държави искат да запазят статуквото и постепенно да се премахне обвързаната подкрепа. Председателството счита, че настоящият текст представлява балансиран компромис между тези две гледни точки. По отношение на допълнителното преразпределително подпомагане председателството предлага ДЧ да изплащат тази помощ само на стопанства, по-малки от лимит, определен от тях. Този лимит може да се основава или на броя хектари</w:t>
      </w:r>
      <w:r w:rsidR="00831470">
        <w:rPr>
          <w:rFonts w:ascii="Arial" w:hAnsi="Arial" w:cs="Arial"/>
          <w:noProof/>
          <w:color w:val="000000"/>
          <w:sz w:val="20"/>
          <w:lang w:val="bg-BG"/>
        </w:rPr>
        <w:t>,</w:t>
      </w:r>
      <w:r w:rsidR="0033168E" w:rsidRPr="00831470">
        <w:rPr>
          <w:rFonts w:ascii="Arial" w:hAnsi="Arial" w:cs="Arial"/>
          <w:noProof/>
          <w:color w:val="000000"/>
          <w:sz w:val="20"/>
          <w:lang w:val="bg-BG"/>
        </w:rPr>
        <w:t xml:space="preserve"> или на икономическия размер на стопанството</w:t>
      </w:r>
      <w:r w:rsidR="00831470">
        <w:rPr>
          <w:rFonts w:ascii="Arial" w:hAnsi="Arial" w:cs="Arial"/>
          <w:noProof/>
          <w:color w:val="000000"/>
          <w:sz w:val="20"/>
          <w:lang w:val="bg-BG"/>
        </w:rPr>
        <w:t>.</w:t>
      </w:r>
    </w:p>
    <w:p w:rsidR="00DC5A8E" w:rsidRPr="00482D68" w:rsidRDefault="00186654" w:rsidP="00DA4860">
      <w:pPr>
        <w:jc w:val="both"/>
        <w:rPr>
          <w:rFonts w:ascii="Arial" w:hAnsi="Arial" w:cs="Arial"/>
          <w:color w:val="000000"/>
          <w:sz w:val="20"/>
          <w:lang w:val="ru-RU"/>
        </w:rPr>
      </w:pPr>
      <w:r w:rsidRPr="00186654">
        <w:rPr>
          <w:rStyle w:val="tlid-translation"/>
          <w:rFonts w:ascii="Arial" w:hAnsi="Arial" w:cs="Arial"/>
          <w:b/>
          <w:sz w:val="20"/>
          <w:lang w:val="bg-BG"/>
        </w:rPr>
        <w:t xml:space="preserve"> </w:t>
      </w:r>
    </w:p>
    <w:tbl>
      <w:tblPr>
        <w:tblW w:w="10159" w:type="dxa"/>
        <w:tblInd w:w="108" w:type="dxa"/>
        <w:tblLook w:val="01E0" w:firstRow="1" w:lastRow="1" w:firstColumn="1" w:lastColumn="1" w:noHBand="0" w:noVBand="0"/>
      </w:tblPr>
      <w:tblGrid>
        <w:gridCol w:w="9923"/>
        <w:gridCol w:w="236"/>
      </w:tblGrid>
      <w:tr w:rsidR="00403CB9" w:rsidRPr="003E76D7" w:rsidTr="00DF42CC">
        <w:tc>
          <w:tcPr>
            <w:tcW w:w="9923" w:type="dxa"/>
            <w:shd w:val="clear" w:color="auto" w:fill="C0C0C0"/>
            <w:hideMark/>
          </w:tcPr>
          <w:p w:rsidR="00403CB9" w:rsidRPr="00CE5E69" w:rsidRDefault="00403CB9" w:rsidP="00DF42CC">
            <w:pPr>
              <w:jc w:val="both"/>
              <w:rPr>
                <w:rStyle w:val="longtext"/>
                <w:rFonts w:ascii="Arial" w:hAnsi="Arial" w:cs="Arial"/>
                <w:i/>
                <w:sz w:val="20"/>
                <w:lang w:val="bg-BG"/>
              </w:rPr>
            </w:pPr>
            <w:r w:rsidRPr="00CE5E69">
              <w:rPr>
                <w:rStyle w:val="longtext"/>
                <w:rFonts w:ascii="Arial" w:hAnsi="Arial" w:cs="Arial"/>
                <w:i/>
                <w:sz w:val="20"/>
                <w:lang w:val="bg-BG"/>
              </w:rPr>
              <w:t>Още от ЕС и света</w:t>
            </w:r>
          </w:p>
        </w:tc>
        <w:tc>
          <w:tcPr>
            <w:tcW w:w="236" w:type="dxa"/>
          </w:tcPr>
          <w:p w:rsidR="00403CB9" w:rsidRPr="00CE5E69" w:rsidRDefault="00403CB9" w:rsidP="00DF42CC">
            <w:pPr>
              <w:jc w:val="both"/>
              <w:rPr>
                <w:rStyle w:val="longtext"/>
                <w:rFonts w:ascii="Arial" w:hAnsi="Arial" w:cs="Arial"/>
                <w:sz w:val="20"/>
                <w:lang w:val="bg-BG"/>
              </w:rPr>
            </w:pPr>
          </w:p>
        </w:tc>
      </w:tr>
    </w:tbl>
    <w:p w:rsidR="00403CB9" w:rsidRPr="00CE5E69"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lang w:val="bg-BG"/>
        </w:rPr>
      </w:pPr>
    </w:p>
    <w:p w:rsidR="00C37B23" w:rsidRPr="00482D68" w:rsidRDefault="00F44D33" w:rsidP="006A094F">
      <w:pPr>
        <w:pStyle w:val="Default"/>
        <w:jc w:val="both"/>
        <w:rPr>
          <w:rStyle w:val="tlid-translation"/>
          <w:rFonts w:eastAsia="Times New Roman"/>
          <w:noProof/>
          <w:color w:val="auto"/>
          <w:sz w:val="20"/>
          <w:szCs w:val="20"/>
          <w:lang w:val="ru-RU"/>
        </w:rPr>
      </w:pPr>
      <w:r>
        <w:rPr>
          <w:rStyle w:val="longtext"/>
          <w:b/>
          <w:sz w:val="20"/>
          <w:szCs w:val="20"/>
          <w:lang w:val="bg-BG"/>
        </w:rPr>
        <w:t>5</w:t>
      </w:r>
      <w:r w:rsidR="00B90317" w:rsidRPr="00482D68">
        <w:rPr>
          <w:rStyle w:val="longtext"/>
          <w:b/>
          <w:sz w:val="20"/>
          <w:szCs w:val="20"/>
          <w:lang w:val="ru-RU"/>
        </w:rPr>
        <w:t xml:space="preserve">. </w:t>
      </w:r>
      <w:r w:rsidR="001D0ACD" w:rsidRPr="001D0ACD">
        <w:rPr>
          <w:rStyle w:val="tlid-translation"/>
          <w:rFonts w:eastAsia="Times New Roman"/>
          <w:b/>
          <w:noProof/>
          <w:color w:val="auto"/>
          <w:sz w:val="20"/>
          <w:szCs w:val="20"/>
          <w:lang w:val="bg-BG"/>
        </w:rPr>
        <w:t>Членовете на Комисията по земеделие на Европейския парламент изразиха загриженост относно положението на сектора на говеждото месо по време на дебат на 5 ноември.</w:t>
      </w:r>
      <w:r w:rsidR="001D0ACD" w:rsidRPr="001D0ACD">
        <w:rPr>
          <w:rStyle w:val="tlid-translation"/>
          <w:rFonts w:eastAsia="Times New Roman"/>
          <w:noProof/>
          <w:color w:val="auto"/>
          <w:sz w:val="20"/>
          <w:szCs w:val="20"/>
          <w:lang w:val="bg-BG"/>
        </w:rPr>
        <w:t xml:space="preserve"> Представителят на Европейската комисия призна, че има причина за безпокойство по отношение на бъдещето на европейския сектор за говеждо месо, защото цените са ниски и секторът е изправен пред няколко предизвикателства, потреблението спада и промените влияят на търговските потоци, въпреки че има разлики между цените. Спадът на цените (средно -5%) през последните дванадесет месеца засегна животновъдите главно в Полша (-9%), Швеция (-7%) и Германия (-6.6%). От друга страна, Румъния и Франция преживяха (макар и скромно) увеличение на цените. През последните години изменението на климата, променящите се модели на потребление и перспективите за безрезултатен Brexit доведоха до голяма дестабилизация на пазара на говеждо месо в Европа, обясни Комисията. Ан Сандър (ЕНП, Франция) заяви, че реформата на ОСП през 2013 г. предоставя редица инструменти за управление на риска и договаряне. Предложенията за ОСП след 2020 г. включват различни мерки, включително екологични режими. Ярослав Калиновски (ЕНП, Полша) изрази съжаление, че Комисията е предоставила помощ за ирландски производители, но не и за полските фермери. Джеръми Десерле (Обновена Европа, Франция) и други членове на ЕП изразиха опасения относно проекта на търговско споразумение ЕС / Меркосур. Комисията посочи, че бразилските износители на месо (малък брой от тях имат лиценз за износ за ЕС) са насочени главно към китайския пазар, а не към европейския пазар. Комисията добави, че ЕС прилага много строг контрол върху вноса и че в споразумението ЕС / Меркосур съществува защитна клауза, която може да бъде задействана в случай на рязко увеличение на вноса или в случай на сериозни заплахи, които биха дестабилизирали пазара.</w:t>
      </w:r>
    </w:p>
    <w:p w:rsidR="00C37B23" w:rsidRPr="00482D68" w:rsidRDefault="00C37B23" w:rsidP="00320AF0">
      <w:pPr>
        <w:jc w:val="both"/>
        <w:rPr>
          <w:rStyle w:val="tlid-translation"/>
          <w:noProof/>
          <w:sz w:val="20"/>
          <w:lang w:val="ru-RU"/>
        </w:rPr>
      </w:pPr>
    </w:p>
    <w:sectPr w:rsidR="00C37B23" w:rsidRPr="00482D68"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DA" w:rsidRDefault="00567BDA">
      <w:r>
        <w:separator/>
      </w:r>
    </w:p>
  </w:endnote>
  <w:endnote w:type="continuationSeparator" w:id="0">
    <w:p w:rsidR="00567BDA" w:rsidRDefault="0056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567B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567BDA"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A02094">
    <w:pPr>
      <w:pStyle w:val="Footer"/>
      <w:ind w:right="-23"/>
      <w:jc w:val="center"/>
      <w:rPr>
        <w:rFonts w:ascii="Arial" w:hAnsi="Arial" w:cs="Arial"/>
        <w:i/>
        <w:sz w:val="20"/>
        <w:lang w:val="ru-RU"/>
      </w:rPr>
    </w:pPr>
    <w:r>
      <w:rPr>
        <w:rFonts w:ascii="Arial" w:hAnsi="Arial"/>
        <w:i/>
        <w:iCs/>
        <w:color w:val="800080"/>
        <w:sz w:val="18"/>
        <w:szCs w:val="18"/>
        <w:lang w:val="bg-BG"/>
      </w:rPr>
      <w:t>Дирекции „Директни плащания” и „Пазарни мерки и организации на производители“, МЗХГ</w:t>
    </w:r>
  </w:p>
  <w:p w:rsidR="005618E1" w:rsidRPr="004B3CB3" w:rsidRDefault="00567BDA">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DA" w:rsidRDefault="00567BDA">
      <w:r>
        <w:separator/>
      </w:r>
    </w:p>
  </w:footnote>
  <w:footnote w:type="continuationSeparator" w:id="0">
    <w:p w:rsidR="00567BDA" w:rsidRDefault="00567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1B8BA984" wp14:editId="57F2DF27">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567BDA"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567BDA">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750FB4">
      <w:rPr>
        <w:rFonts w:ascii="Arial" w:hAnsi="Arial"/>
        <w:b/>
        <w:bCs/>
        <w:color w:val="800080"/>
        <w:sz w:val="20"/>
        <w:lang w:val="en-US"/>
      </w:rPr>
      <w:t>9</w:t>
    </w:r>
    <w:r w:rsidR="00A02094">
      <w:rPr>
        <w:rFonts w:ascii="Arial" w:hAnsi="Arial"/>
        <w:b/>
        <w:bCs/>
        <w:color w:val="800080"/>
        <w:sz w:val="20"/>
        <w:lang w:val="bg-BG"/>
      </w:rPr>
      <w:t>6</w:t>
    </w:r>
    <w:r>
      <w:rPr>
        <w:rFonts w:ascii="Arial" w:hAnsi="Arial"/>
        <w:b/>
        <w:bCs/>
        <w:color w:val="800080"/>
        <w:sz w:val="20"/>
        <w:lang w:val="bg-BG"/>
      </w:rPr>
      <w:t>/</w:t>
    </w:r>
    <w:r w:rsidR="00F0360F">
      <w:rPr>
        <w:rFonts w:ascii="Arial" w:hAnsi="Arial"/>
        <w:b/>
        <w:bCs/>
        <w:color w:val="800080"/>
        <w:sz w:val="20"/>
        <w:lang w:val="en-US"/>
      </w:rPr>
      <w:t>1</w:t>
    </w:r>
    <w:r w:rsidR="00A02094">
      <w:rPr>
        <w:rFonts w:ascii="Arial" w:hAnsi="Arial"/>
        <w:b/>
        <w:bCs/>
        <w:color w:val="800080"/>
        <w:sz w:val="20"/>
        <w:lang w:val="bg-BG"/>
      </w:rPr>
      <w:t>8</w:t>
    </w:r>
    <w:r w:rsidR="00750FB4">
      <w:rPr>
        <w:rFonts w:ascii="Arial" w:hAnsi="Arial"/>
        <w:b/>
        <w:bCs/>
        <w:color w:val="800080"/>
        <w:sz w:val="20"/>
        <w:lang w:val="en-US"/>
      </w:rPr>
      <w:t>.11</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A9F0986"/>
    <w:multiLevelType w:val="hybridMultilevel"/>
    <w:tmpl w:val="FEA6DFDE"/>
    <w:lvl w:ilvl="0" w:tplc="4DDC640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6CD02D17"/>
    <w:multiLevelType w:val="hybridMultilevel"/>
    <w:tmpl w:val="9BC442B8"/>
    <w:lvl w:ilvl="0" w:tplc="EB30342C">
      <w:start w:val="1"/>
      <w:numFmt w:val="decimal"/>
      <w:lvlText w:val="%1."/>
      <w:lvlJc w:val="left"/>
      <w:pPr>
        <w:ind w:left="720" w:hanging="360"/>
      </w:pPr>
      <w:rPr>
        <w:rFonts w:ascii="Arial" w:eastAsia="Times New Roman" w:hAnsi="Arial" w:cs="Arial"/>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46D50"/>
    <w:rsid w:val="00081DAE"/>
    <w:rsid w:val="00090E32"/>
    <w:rsid w:val="00091CD4"/>
    <w:rsid w:val="000A31F0"/>
    <w:rsid w:val="000B2026"/>
    <w:rsid w:val="0011188E"/>
    <w:rsid w:val="00131A6D"/>
    <w:rsid w:val="00134872"/>
    <w:rsid w:val="0013606E"/>
    <w:rsid w:val="0014608C"/>
    <w:rsid w:val="00151352"/>
    <w:rsid w:val="001639CC"/>
    <w:rsid w:val="00173E25"/>
    <w:rsid w:val="00180441"/>
    <w:rsid w:val="00186654"/>
    <w:rsid w:val="001D0ACD"/>
    <w:rsid w:val="001E1EAA"/>
    <w:rsid w:val="001E4C01"/>
    <w:rsid w:val="001F2EC7"/>
    <w:rsid w:val="00221CDF"/>
    <w:rsid w:val="00247CAC"/>
    <w:rsid w:val="002610A9"/>
    <w:rsid w:val="00274F4E"/>
    <w:rsid w:val="00285183"/>
    <w:rsid w:val="0029220D"/>
    <w:rsid w:val="002A5150"/>
    <w:rsid w:val="002A6A4C"/>
    <w:rsid w:val="002D25F9"/>
    <w:rsid w:val="002F1104"/>
    <w:rsid w:val="002F1C7E"/>
    <w:rsid w:val="002F450E"/>
    <w:rsid w:val="002F6211"/>
    <w:rsid w:val="00300FA3"/>
    <w:rsid w:val="00304D05"/>
    <w:rsid w:val="00313FBA"/>
    <w:rsid w:val="00320AF0"/>
    <w:rsid w:val="0033168E"/>
    <w:rsid w:val="00353ACF"/>
    <w:rsid w:val="0038742B"/>
    <w:rsid w:val="003877CA"/>
    <w:rsid w:val="003950A7"/>
    <w:rsid w:val="003952CE"/>
    <w:rsid w:val="003A56BA"/>
    <w:rsid w:val="003B7AAB"/>
    <w:rsid w:val="003C0E47"/>
    <w:rsid w:val="003C1BFF"/>
    <w:rsid w:val="003E118D"/>
    <w:rsid w:val="003E5CB2"/>
    <w:rsid w:val="003E76D7"/>
    <w:rsid w:val="00403CB9"/>
    <w:rsid w:val="004133A8"/>
    <w:rsid w:val="00422311"/>
    <w:rsid w:val="00434ABA"/>
    <w:rsid w:val="0044148C"/>
    <w:rsid w:val="00446398"/>
    <w:rsid w:val="00482D68"/>
    <w:rsid w:val="0049130E"/>
    <w:rsid w:val="004923C1"/>
    <w:rsid w:val="00502A0A"/>
    <w:rsid w:val="005247A5"/>
    <w:rsid w:val="00537A32"/>
    <w:rsid w:val="00567BDA"/>
    <w:rsid w:val="005A0184"/>
    <w:rsid w:val="005B4574"/>
    <w:rsid w:val="005C1BB7"/>
    <w:rsid w:val="006367A9"/>
    <w:rsid w:val="00682667"/>
    <w:rsid w:val="006961F0"/>
    <w:rsid w:val="006A094F"/>
    <w:rsid w:val="006A739D"/>
    <w:rsid w:val="00705B40"/>
    <w:rsid w:val="00734448"/>
    <w:rsid w:val="00750FB4"/>
    <w:rsid w:val="007846E5"/>
    <w:rsid w:val="007A388B"/>
    <w:rsid w:val="007A70E6"/>
    <w:rsid w:val="007B03F2"/>
    <w:rsid w:val="007D7438"/>
    <w:rsid w:val="007E5824"/>
    <w:rsid w:val="007F4E89"/>
    <w:rsid w:val="008030C3"/>
    <w:rsid w:val="00816686"/>
    <w:rsid w:val="0082007C"/>
    <w:rsid w:val="008206C1"/>
    <w:rsid w:val="00831470"/>
    <w:rsid w:val="0083175B"/>
    <w:rsid w:val="0083232B"/>
    <w:rsid w:val="008431BF"/>
    <w:rsid w:val="00845489"/>
    <w:rsid w:val="00852DE4"/>
    <w:rsid w:val="00861450"/>
    <w:rsid w:val="00876400"/>
    <w:rsid w:val="0087702E"/>
    <w:rsid w:val="0087763E"/>
    <w:rsid w:val="008836F2"/>
    <w:rsid w:val="00896351"/>
    <w:rsid w:val="00897C25"/>
    <w:rsid w:val="00897FD9"/>
    <w:rsid w:val="008E0F81"/>
    <w:rsid w:val="008F0ACD"/>
    <w:rsid w:val="00910462"/>
    <w:rsid w:val="00915BE1"/>
    <w:rsid w:val="00934FA6"/>
    <w:rsid w:val="009355BA"/>
    <w:rsid w:val="009704A2"/>
    <w:rsid w:val="0099695D"/>
    <w:rsid w:val="009A17BE"/>
    <w:rsid w:val="009A5D09"/>
    <w:rsid w:val="009D0924"/>
    <w:rsid w:val="009D6F1E"/>
    <w:rsid w:val="009F4E95"/>
    <w:rsid w:val="009F7022"/>
    <w:rsid w:val="00A02094"/>
    <w:rsid w:val="00A1170C"/>
    <w:rsid w:val="00A447C0"/>
    <w:rsid w:val="00A56825"/>
    <w:rsid w:val="00A673EB"/>
    <w:rsid w:val="00A71761"/>
    <w:rsid w:val="00A752F7"/>
    <w:rsid w:val="00AB1841"/>
    <w:rsid w:val="00AC73DE"/>
    <w:rsid w:val="00AE14FF"/>
    <w:rsid w:val="00AE2FF4"/>
    <w:rsid w:val="00B16835"/>
    <w:rsid w:val="00B24294"/>
    <w:rsid w:val="00B34793"/>
    <w:rsid w:val="00B57244"/>
    <w:rsid w:val="00B64F87"/>
    <w:rsid w:val="00B73DA3"/>
    <w:rsid w:val="00B774C6"/>
    <w:rsid w:val="00B8112B"/>
    <w:rsid w:val="00B853D4"/>
    <w:rsid w:val="00B90317"/>
    <w:rsid w:val="00B93F21"/>
    <w:rsid w:val="00BC70E2"/>
    <w:rsid w:val="00BE55CA"/>
    <w:rsid w:val="00BF118B"/>
    <w:rsid w:val="00BF28EC"/>
    <w:rsid w:val="00C00F88"/>
    <w:rsid w:val="00C20809"/>
    <w:rsid w:val="00C3643A"/>
    <w:rsid w:val="00C37B23"/>
    <w:rsid w:val="00C60D17"/>
    <w:rsid w:val="00C6312D"/>
    <w:rsid w:val="00C718EB"/>
    <w:rsid w:val="00C941D2"/>
    <w:rsid w:val="00CB196D"/>
    <w:rsid w:val="00CE5E69"/>
    <w:rsid w:val="00D1195A"/>
    <w:rsid w:val="00D167B1"/>
    <w:rsid w:val="00D3159B"/>
    <w:rsid w:val="00D32B06"/>
    <w:rsid w:val="00D367B0"/>
    <w:rsid w:val="00D43BBD"/>
    <w:rsid w:val="00D61B59"/>
    <w:rsid w:val="00D80D84"/>
    <w:rsid w:val="00D8519B"/>
    <w:rsid w:val="00DA4860"/>
    <w:rsid w:val="00DC5A8E"/>
    <w:rsid w:val="00DF7E91"/>
    <w:rsid w:val="00E02B6A"/>
    <w:rsid w:val="00E17E07"/>
    <w:rsid w:val="00E2125A"/>
    <w:rsid w:val="00E23670"/>
    <w:rsid w:val="00E24FA2"/>
    <w:rsid w:val="00E256E7"/>
    <w:rsid w:val="00E44DF1"/>
    <w:rsid w:val="00E6099A"/>
    <w:rsid w:val="00EA4B29"/>
    <w:rsid w:val="00EA4B99"/>
    <w:rsid w:val="00EA588F"/>
    <w:rsid w:val="00EB0F17"/>
    <w:rsid w:val="00EB783C"/>
    <w:rsid w:val="00EC0DDC"/>
    <w:rsid w:val="00EE165E"/>
    <w:rsid w:val="00EE38E7"/>
    <w:rsid w:val="00EE7B1B"/>
    <w:rsid w:val="00F0360F"/>
    <w:rsid w:val="00F03EE3"/>
    <w:rsid w:val="00F23EFD"/>
    <w:rsid w:val="00F4416D"/>
    <w:rsid w:val="00F44D33"/>
    <w:rsid w:val="00F531AD"/>
    <w:rsid w:val="00FD4196"/>
    <w:rsid w:val="00FE14C1"/>
    <w:rsid w:val="00FF3C83"/>
    <w:rsid w:val="00FF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2F1C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2F1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70849238">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en/MEMO_18_332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14</cp:revision>
  <dcterms:created xsi:type="dcterms:W3CDTF">2019-11-18T09:56:00Z</dcterms:created>
  <dcterms:modified xsi:type="dcterms:W3CDTF">2019-11-18T12:52:00Z</dcterms:modified>
</cp:coreProperties>
</file>