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403CB9" w:rsidRPr="004B3F5D" w:rsidTr="00DF42CC">
        <w:tc>
          <w:tcPr>
            <w:tcW w:w="9923" w:type="dxa"/>
            <w:shd w:val="clear" w:color="auto" w:fill="C0C0C0"/>
          </w:tcPr>
          <w:p w:rsidR="00403CB9" w:rsidRPr="004B3F5D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4B3F5D">
              <w:rPr>
                <w:rFonts w:ascii="Arial" w:hAnsi="Arial" w:cs="Arial"/>
                <w:i/>
                <w:sz w:val="20"/>
                <w:lang w:val="bg-BG"/>
              </w:rPr>
              <w:t>Директни плащания</w:t>
            </w:r>
          </w:p>
        </w:tc>
      </w:tr>
    </w:tbl>
    <w:p w:rsidR="00403CB9" w:rsidRPr="004B3F5D" w:rsidRDefault="00403CB9" w:rsidP="00403CB9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32344C" w:rsidRPr="000460E1" w:rsidRDefault="009704A2" w:rsidP="0032344C">
      <w:pPr>
        <w:tabs>
          <w:tab w:val="left" w:pos="4177"/>
        </w:tabs>
        <w:jc w:val="both"/>
        <w:rPr>
          <w:rFonts w:ascii="Arial" w:hAnsi="Arial" w:cs="Arial"/>
          <w:bCs/>
          <w:sz w:val="20"/>
          <w:lang w:val="bg-BG"/>
        </w:rPr>
      </w:pPr>
      <w:r w:rsidRPr="00B52D1A">
        <w:rPr>
          <w:rFonts w:ascii="Arial" w:hAnsi="Arial" w:cs="Arial"/>
          <w:b/>
          <w:color w:val="000000"/>
          <w:sz w:val="20"/>
          <w:lang w:val="ru-RU"/>
        </w:rPr>
        <w:t>1</w:t>
      </w:r>
      <w:r w:rsidRPr="00B52D1A">
        <w:rPr>
          <w:rFonts w:ascii="Arial" w:hAnsi="Arial" w:cs="Arial"/>
          <w:color w:val="000000"/>
          <w:sz w:val="20"/>
          <w:lang w:val="ru-RU"/>
        </w:rPr>
        <w:t>.</w:t>
      </w:r>
      <w:r w:rsidR="0032344C">
        <w:rPr>
          <w:rFonts w:ascii="Arial" w:hAnsi="Arial" w:cs="Arial"/>
          <w:color w:val="666666"/>
          <w:sz w:val="20"/>
          <w:lang w:val="bg-BG"/>
        </w:rPr>
        <w:t xml:space="preserve"> </w:t>
      </w:r>
      <w:r w:rsidR="0032344C" w:rsidRPr="000460E1">
        <w:rPr>
          <w:rFonts w:ascii="Arial" w:hAnsi="Arial" w:cs="Arial"/>
          <w:b/>
          <w:sz w:val="20"/>
          <w:lang w:val="bg-BG"/>
        </w:rPr>
        <w:t>Осемседмичният период за задържане на полето на междинните култури или зелена</w:t>
      </w:r>
      <w:r w:rsidR="0032344C">
        <w:rPr>
          <w:rFonts w:ascii="Arial" w:hAnsi="Arial" w:cs="Arial"/>
          <w:b/>
          <w:sz w:val="20"/>
          <w:lang w:val="bg-BG"/>
        </w:rPr>
        <w:t>та</w:t>
      </w:r>
      <w:r w:rsidR="0032344C" w:rsidRPr="000460E1">
        <w:rPr>
          <w:rFonts w:ascii="Arial" w:hAnsi="Arial" w:cs="Arial"/>
          <w:b/>
          <w:sz w:val="20"/>
          <w:lang w:val="bg-BG"/>
        </w:rPr>
        <w:t xml:space="preserve"> покривка използвани като ЕНП изтича на 01 декември 2019г.</w:t>
      </w:r>
      <w:r w:rsidR="0032344C" w:rsidRPr="000460E1">
        <w:rPr>
          <w:rFonts w:ascii="Arial" w:hAnsi="Arial" w:cs="Arial"/>
          <w:sz w:val="20"/>
          <w:lang w:val="bg-BG"/>
        </w:rPr>
        <w:t xml:space="preserve"> </w:t>
      </w:r>
      <w:r w:rsidR="0032344C">
        <w:rPr>
          <w:rFonts w:ascii="Arial" w:hAnsi="Arial" w:cs="Arial"/>
          <w:bCs/>
          <w:sz w:val="20"/>
          <w:lang w:val="bg-BG"/>
        </w:rPr>
        <w:t xml:space="preserve">За целите на ЕНП междинните </w:t>
      </w:r>
      <w:r w:rsidR="00DB45A8">
        <w:rPr>
          <w:rFonts w:ascii="Arial" w:hAnsi="Arial" w:cs="Arial"/>
          <w:sz w:val="20"/>
          <w:lang w:val="bg-BG"/>
        </w:rPr>
        <w:t xml:space="preserve">култури, </w:t>
      </w:r>
      <w:r w:rsidR="0032344C" w:rsidRPr="000460E1">
        <w:rPr>
          <w:rFonts w:ascii="Arial" w:hAnsi="Arial" w:cs="Arial"/>
          <w:bCs/>
          <w:sz w:val="20"/>
          <w:lang w:val="bg-BG"/>
        </w:rPr>
        <w:t>създадени като смески от не-житни култури и житни култури</w:t>
      </w:r>
      <w:r w:rsidR="0032344C" w:rsidRPr="000460E1">
        <w:rPr>
          <w:rFonts w:ascii="Arial" w:hAnsi="Arial" w:cs="Arial"/>
          <w:sz w:val="20"/>
          <w:lang w:val="bg-BG"/>
        </w:rPr>
        <w:t xml:space="preserve"> </w:t>
      </w:r>
      <w:r w:rsidR="0032344C">
        <w:rPr>
          <w:rFonts w:ascii="Arial" w:hAnsi="Arial" w:cs="Arial"/>
          <w:bCs/>
          <w:sz w:val="20"/>
          <w:lang w:val="bg-BG"/>
        </w:rPr>
        <w:t>със слята повърхност отглеждани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 между две основни култури</w:t>
      </w:r>
      <w:r w:rsidR="00DB45A8">
        <w:rPr>
          <w:rFonts w:ascii="Arial" w:hAnsi="Arial" w:cs="Arial"/>
          <w:bCs/>
          <w:sz w:val="20"/>
          <w:lang w:val="bg-BG"/>
        </w:rPr>
        <w:t xml:space="preserve"> (</w:t>
      </w:r>
      <w:r w:rsidR="0032344C" w:rsidRPr="000460E1">
        <w:rPr>
          <w:rFonts w:ascii="Arial" w:hAnsi="Arial" w:cs="Arial"/>
          <w:bCs/>
          <w:sz w:val="20"/>
          <w:lang w:val="bg-BG"/>
        </w:rPr>
        <w:t>след прибиране на предшестващата основна култура и преди сеитбата на следващата основна култура</w:t>
      </w:r>
      <w:r w:rsidR="00DB45A8">
        <w:rPr>
          <w:rFonts w:ascii="Arial" w:hAnsi="Arial" w:cs="Arial"/>
          <w:bCs/>
          <w:sz w:val="20"/>
          <w:lang w:val="bg-BG"/>
        </w:rPr>
        <w:t>)</w:t>
      </w:r>
      <w:r w:rsidR="0032344C">
        <w:rPr>
          <w:rFonts w:ascii="Arial" w:hAnsi="Arial" w:cs="Arial"/>
          <w:bCs/>
          <w:sz w:val="20"/>
          <w:lang w:val="bg-BG"/>
        </w:rPr>
        <w:t xml:space="preserve">, трябва 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 да са на</w:t>
      </w:r>
      <w:r w:rsidR="0032344C">
        <w:rPr>
          <w:rFonts w:ascii="Arial" w:hAnsi="Arial" w:cs="Arial"/>
          <w:bCs/>
          <w:sz w:val="20"/>
          <w:lang w:val="bg-BG"/>
        </w:rPr>
        <w:t>лични или засети на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 полето в периода от </w:t>
      </w:r>
      <w:r w:rsidR="00DB45A8">
        <w:rPr>
          <w:rFonts w:ascii="Arial" w:hAnsi="Arial" w:cs="Arial"/>
          <w:bCs/>
          <w:sz w:val="20"/>
          <w:lang w:val="bg-BG"/>
        </w:rPr>
        <w:t>1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 октомври до 1 декември в годината на кандидатстване</w:t>
      </w:r>
      <w:r w:rsidR="0032344C">
        <w:rPr>
          <w:rFonts w:ascii="Arial" w:hAnsi="Arial" w:cs="Arial"/>
          <w:bCs/>
          <w:sz w:val="20"/>
          <w:lang w:val="bg-BG"/>
        </w:rPr>
        <w:t>. Върху пл</w:t>
      </w:r>
      <w:r w:rsidR="00C448C3">
        <w:rPr>
          <w:rFonts w:ascii="Arial" w:hAnsi="Arial" w:cs="Arial"/>
          <w:bCs/>
          <w:sz w:val="20"/>
          <w:lang w:val="bg-BG"/>
        </w:rPr>
        <w:t>ощите заети с междинни култури (</w:t>
      </w:r>
      <w:r w:rsidR="0032344C">
        <w:rPr>
          <w:rFonts w:ascii="Arial" w:hAnsi="Arial" w:cs="Arial"/>
          <w:bCs/>
          <w:sz w:val="20"/>
          <w:lang w:val="bg-BG"/>
        </w:rPr>
        <w:t>предвид екологичната им насоченост</w:t>
      </w:r>
      <w:r w:rsidR="00C448C3">
        <w:rPr>
          <w:rFonts w:ascii="Arial" w:hAnsi="Arial" w:cs="Arial"/>
          <w:bCs/>
          <w:sz w:val="20"/>
          <w:lang w:val="bg-BG"/>
        </w:rPr>
        <w:t>)</w:t>
      </w:r>
      <w:r w:rsidR="0032344C">
        <w:rPr>
          <w:rFonts w:ascii="Arial" w:hAnsi="Arial" w:cs="Arial"/>
          <w:bCs/>
          <w:sz w:val="20"/>
          <w:lang w:val="bg-BG"/>
        </w:rPr>
        <w:t xml:space="preserve"> е забранено прилагането на препарати за растителна защита. 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Междинните култури следва да могат да бъдат проверени от Разплащателната агенция (като засети, налични или остатъци от заораването им в почвата) в рамките на парцелите, за които са заявени, в периода от </w:t>
      </w:r>
      <w:r w:rsidR="0032344C">
        <w:rPr>
          <w:rFonts w:ascii="Arial" w:hAnsi="Arial" w:cs="Arial"/>
          <w:bCs/>
          <w:sz w:val="20"/>
          <w:lang w:val="bg-BG"/>
        </w:rPr>
        <w:t xml:space="preserve">          </w:t>
      </w:r>
      <w:r w:rsidR="0032344C" w:rsidRPr="000460E1">
        <w:rPr>
          <w:rFonts w:ascii="Arial" w:hAnsi="Arial" w:cs="Arial"/>
          <w:bCs/>
          <w:sz w:val="20"/>
          <w:lang w:val="bg-BG"/>
        </w:rPr>
        <w:t>1 октомври до 1 декември на годината на кандидатстване. Междинните култури не следва да са налични на полето след 15 април 20</w:t>
      </w:r>
      <w:r w:rsidR="0032344C">
        <w:rPr>
          <w:rFonts w:ascii="Arial" w:hAnsi="Arial" w:cs="Arial"/>
          <w:bCs/>
          <w:sz w:val="20"/>
          <w:lang w:val="bg-BG"/>
        </w:rPr>
        <w:t>20</w:t>
      </w:r>
      <w:r w:rsidR="0032344C" w:rsidRPr="000460E1">
        <w:rPr>
          <w:rFonts w:ascii="Arial" w:hAnsi="Arial" w:cs="Arial"/>
          <w:bCs/>
          <w:sz w:val="20"/>
          <w:lang w:val="bg-BG"/>
        </w:rPr>
        <w:t xml:space="preserve"> г. ДФЗ-РА ще следи дали това условие е изпълнено и дали междинните култури са заорани</w:t>
      </w:r>
      <w:r w:rsidR="000E2CC4">
        <w:rPr>
          <w:rFonts w:ascii="Arial" w:hAnsi="Arial" w:cs="Arial"/>
          <w:bCs/>
          <w:sz w:val="20"/>
          <w:lang w:val="bg-BG"/>
        </w:rPr>
        <w:t xml:space="preserve"> като „</w:t>
      </w:r>
      <w:r w:rsidR="0032344C">
        <w:rPr>
          <w:rFonts w:ascii="Arial" w:hAnsi="Arial" w:cs="Arial"/>
          <w:bCs/>
          <w:sz w:val="20"/>
          <w:lang w:val="bg-BG"/>
        </w:rPr>
        <w:t>зелено торене</w:t>
      </w:r>
      <w:r w:rsidR="000E2CC4">
        <w:rPr>
          <w:rFonts w:ascii="Arial" w:hAnsi="Arial" w:cs="Arial"/>
          <w:bCs/>
          <w:sz w:val="20"/>
          <w:lang w:val="bg-BG"/>
        </w:rPr>
        <w:t>“</w:t>
      </w:r>
      <w:r w:rsidR="0032344C">
        <w:rPr>
          <w:rFonts w:ascii="Arial" w:hAnsi="Arial" w:cs="Arial"/>
          <w:bCs/>
          <w:sz w:val="20"/>
          <w:lang w:val="bg-BG"/>
        </w:rPr>
        <w:t>.</w:t>
      </w:r>
    </w:p>
    <w:p w:rsidR="006961F0" w:rsidRPr="008F13A2" w:rsidRDefault="006961F0" w:rsidP="006961F0">
      <w:pPr>
        <w:tabs>
          <w:tab w:val="left" w:pos="4177"/>
        </w:tabs>
        <w:jc w:val="both"/>
        <w:rPr>
          <w:rFonts w:ascii="Arial" w:hAnsi="Arial" w:cs="Arial"/>
          <w:sz w:val="20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8F13A2" w:rsidTr="00DF42CC">
        <w:tc>
          <w:tcPr>
            <w:tcW w:w="9923" w:type="dxa"/>
            <w:shd w:val="clear" w:color="auto" w:fill="C0C0C0"/>
            <w:hideMark/>
          </w:tcPr>
          <w:p w:rsidR="00403CB9" w:rsidRPr="008F13A2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8F13A2">
              <w:rPr>
                <w:rFonts w:ascii="Arial" w:hAnsi="Arial" w:cs="Arial"/>
                <w:i/>
                <w:sz w:val="20"/>
                <w:lang w:val="bg-BG"/>
              </w:rPr>
              <w:t>Пазарна подкрепа</w:t>
            </w:r>
          </w:p>
        </w:tc>
        <w:tc>
          <w:tcPr>
            <w:tcW w:w="236" w:type="dxa"/>
          </w:tcPr>
          <w:p w:rsidR="00403CB9" w:rsidRPr="008F13A2" w:rsidRDefault="00403CB9" w:rsidP="00DF42CC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</w:p>
        </w:tc>
      </w:tr>
    </w:tbl>
    <w:p w:rsidR="00B90317" w:rsidRPr="008F13A2" w:rsidRDefault="00B90317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p w:rsidR="00403CB9" w:rsidRPr="00B52D1A" w:rsidRDefault="0082007C" w:rsidP="00403CB9">
      <w:pPr>
        <w:jc w:val="both"/>
        <w:rPr>
          <w:rFonts w:ascii="Arial" w:eastAsia="SimSun" w:hAnsi="Arial" w:cs="Arial"/>
          <w:bCs/>
          <w:color w:val="000000"/>
          <w:sz w:val="20"/>
          <w:lang w:val="ru-RU" w:eastAsia="bg-BG"/>
        </w:rPr>
      </w:pPr>
      <w:r w:rsidRPr="008F13A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>2.</w:t>
      </w:r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На 4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ноември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Главна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дирекция „Земеделие и развитие на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селските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райони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“ (ГД АГРИ)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към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Европейската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комисия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стартира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новата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обсерватория на </w:t>
      </w:r>
      <w:proofErr w:type="spellStart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>пазара</w:t>
      </w:r>
      <w:proofErr w:type="spellEnd"/>
      <w:r w:rsidR="008F13A2" w:rsidRPr="00B52D1A"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  <w:t xml:space="preserve"> на вино в ЕС. </w:t>
      </w:r>
      <w:r w:rsidR="008F13A2" w:rsidRPr="008F13A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Целта на обсерваторията е да осигури по-голяма прозрачност чрез своевременно разпространение на пазарни данни и анализи на сектора. ЕС е най-големият производител на вино в света, обхващащ 65% от световната продукция и 70% от износа. Обсерваторията включва всички видове вино - червено, бяло и </w:t>
      </w:r>
      <w:proofErr w:type="spellStart"/>
      <w:r w:rsidR="008F13A2" w:rsidRPr="008F13A2">
        <w:rPr>
          <w:rFonts w:ascii="Arial" w:eastAsia="SimSun" w:hAnsi="Arial" w:cs="Arial"/>
          <w:bCs/>
          <w:color w:val="000000"/>
          <w:sz w:val="20"/>
          <w:lang w:val="bg-BG" w:eastAsia="bg-BG"/>
        </w:rPr>
        <w:t>розе</w:t>
      </w:r>
      <w:proofErr w:type="spellEnd"/>
      <w:r w:rsidR="008F13A2" w:rsidRPr="008F13A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, както и вина със защитено наименование за произход и защитени географски указания. Предвижда се своевременно актуализиране на широк спектър от пазарни данни, свързани с цени, производство и търговия, допълнени с пазарни анализи, краткосрочни доклади за прогнозите и средносрочни перспективи. Ще бъдат провеждани и редовни експертни заседания за анализиране на развитието на ситуацията на пазара. Директорът на ГД АГРИ по пазари и обсерватории заяви, че ефективното наблюдение на пазара осигурява прозрачност и е от съществено значение за прилагането на препоръките на Работната група за селскостопански пазари. Съществуващите обсерватории са се доказали като полезни инструменти за гарантиране на прозрачността на пазара и разпространение на пазарна информация и анализи, доколкото целта е била създаване на дискусионни платформи за по-добро разбиране на пазарната ситуация в полза на всички участници в сектора. Най-новата платформа стартира след обсерваториите за плодове и зеленчуци (18 октомври), полски култури (зърнени култури, маслодайни култури и протеини), захар, месо и мляко. Комисията проектира тези центрове, за да помогне на европейския селскостопански сектор да се справи по-ефективно с нестабилността на пазара с осигуряване на повишена  прозрачност в съответните сектори на земеделието. Обсерваторията за вино може да се разгледа на адрес: </w:t>
      </w:r>
      <w:hyperlink r:id="rId8" w:history="1"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https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://</w:t>
        </w:r>
        <w:proofErr w:type="spellStart"/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ec</w:t>
        </w:r>
        <w:proofErr w:type="spellEnd"/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.</w:t>
        </w:r>
        <w:proofErr w:type="spellStart"/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europa</w:t>
        </w:r>
        <w:proofErr w:type="spellEnd"/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.</w:t>
        </w:r>
        <w:proofErr w:type="spellStart"/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eu</w:t>
        </w:r>
        <w:proofErr w:type="spellEnd"/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info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food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-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farming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-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fisheries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farming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facts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-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and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-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figures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markets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overviews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market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-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observatories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/</w:t>
        </w:r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wine</w:t>
        </w:r>
        <w:r w:rsidR="008F13A2" w:rsidRPr="00B52D1A">
          <w:rPr>
            <w:rStyle w:val="Hyperlink"/>
            <w:rFonts w:ascii="Arial" w:eastAsia="SimSun" w:hAnsi="Arial" w:cs="Arial"/>
            <w:bCs/>
            <w:sz w:val="20"/>
            <w:lang w:val="ru-RU" w:eastAsia="bg-BG"/>
          </w:rPr>
          <w:t>_</w:t>
        </w:r>
        <w:proofErr w:type="spellStart"/>
        <w:r w:rsidR="008F13A2" w:rsidRPr="00183EE4">
          <w:rPr>
            <w:rStyle w:val="Hyperlink"/>
            <w:rFonts w:ascii="Arial" w:eastAsia="SimSun" w:hAnsi="Arial" w:cs="Arial"/>
            <w:bCs/>
            <w:sz w:val="20"/>
            <w:lang w:val="en-US" w:eastAsia="bg-BG"/>
          </w:rPr>
          <w:t>en</w:t>
        </w:r>
        <w:proofErr w:type="spellEnd"/>
      </w:hyperlink>
      <w:r w:rsidR="008F13A2" w:rsidRPr="00B52D1A">
        <w:rPr>
          <w:rFonts w:ascii="Arial" w:eastAsia="SimSun" w:hAnsi="Arial" w:cs="Arial"/>
          <w:bCs/>
          <w:color w:val="000000"/>
          <w:sz w:val="20"/>
          <w:lang w:val="ru-RU" w:eastAsia="bg-BG"/>
        </w:rPr>
        <w:t xml:space="preserve"> </w:t>
      </w:r>
    </w:p>
    <w:p w:rsidR="009D0924" w:rsidRPr="00B52D1A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ru-RU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B52D1A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B52D1A" w:rsidRDefault="00B90317" w:rsidP="00FF344D">
      <w:pPr>
        <w:jc w:val="both"/>
        <w:rPr>
          <w:rFonts w:ascii="Arial" w:hAnsi="Arial" w:cs="Arial"/>
          <w:b/>
          <w:sz w:val="20"/>
          <w:lang w:val="ru-RU"/>
        </w:rPr>
      </w:pPr>
    </w:p>
    <w:p w:rsidR="0083184F" w:rsidRPr="0032344C" w:rsidRDefault="00186654" w:rsidP="00FF344D">
      <w:pPr>
        <w:jc w:val="both"/>
        <w:rPr>
          <w:lang w:val="bg-BG"/>
        </w:rPr>
      </w:pPr>
      <w:r w:rsidRPr="0032344C">
        <w:rPr>
          <w:rStyle w:val="tlid-translation"/>
          <w:rFonts w:ascii="Arial" w:hAnsi="Arial" w:cs="Arial"/>
          <w:b/>
          <w:sz w:val="20"/>
          <w:lang w:val="bg-BG"/>
        </w:rPr>
        <w:t>3.</w:t>
      </w:r>
      <w:r w:rsidR="0083184F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На заседанието на Специалния комитет по селско стопанство, проведено на 05 ноември 2019 г. в Брюксел, Финландското председателство 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 xml:space="preserve">на Съвета на ЕС </w:t>
      </w:r>
      <w:r w:rsidR="0083184F" w:rsidRPr="0032344C">
        <w:rPr>
          <w:rFonts w:ascii="Arial" w:hAnsi="Arial" w:cs="Arial"/>
          <w:b/>
          <w:bCs/>
          <w:noProof/>
          <w:sz w:val="20"/>
          <w:lang w:val="bg-BG"/>
        </w:rPr>
        <w:t>предложи</w:t>
      </w:r>
      <w:r w:rsidR="00D067CD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за </w:t>
      </w:r>
      <w:r w:rsidR="002E265A">
        <w:rPr>
          <w:rFonts w:ascii="Arial" w:hAnsi="Arial" w:cs="Arial"/>
          <w:b/>
          <w:bCs/>
          <w:noProof/>
          <w:sz w:val="20"/>
          <w:lang w:val="bg-BG"/>
        </w:rPr>
        <w:t>своя</w:t>
      </w:r>
      <w:r w:rsidR="0032344C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</w:t>
      </w:r>
      <w:r w:rsidR="00D067CD" w:rsidRPr="0032344C">
        <w:rPr>
          <w:rFonts w:ascii="Arial" w:hAnsi="Arial" w:cs="Arial"/>
          <w:b/>
          <w:sz w:val="20"/>
          <w:lang w:val="bg-BG" w:eastAsia="bg-BG"/>
        </w:rPr>
        <w:t xml:space="preserve">редакция на законодателното предложение на Комисията за 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>Обща</w:t>
      </w:r>
      <w:r w:rsidR="00D067CD" w:rsidRPr="0032344C">
        <w:rPr>
          <w:rFonts w:ascii="Arial" w:hAnsi="Arial" w:cs="Arial"/>
          <w:b/>
          <w:sz w:val="20"/>
          <w:lang w:val="bg-BG" w:eastAsia="bg-BG"/>
        </w:rPr>
        <w:t>та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 xml:space="preserve"> селскос</w:t>
      </w:r>
      <w:r w:rsidR="00F46E54">
        <w:rPr>
          <w:rFonts w:ascii="Arial" w:hAnsi="Arial" w:cs="Arial"/>
          <w:b/>
          <w:sz w:val="20"/>
          <w:lang w:val="bg-BG" w:eastAsia="bg-BG"/>
        </w:rPr>
        <w:t>топанска политика след 2020 г.,</w:t>
      </w:r>
      <w:r w:rsidR="002E265A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>
        <w:rPr>
          <w:rFonts w:ascii="Arial" w:hAnsi="Arial" w:cs="Arial"/>
          <w:b/>
          <w:sz w:val="20"/>
          <w:lang w:val="bg-BG" w:eastAsia="bg-BG"/>
        </w:rPr>
        <w:t xml:space="preserve">относно </w:t>
      </w:r>
      <w:r w:rsidR="00F46E54">
        <w:rPr>
          <w:rFonts w:ascii="Arial" w:hAnsi="Arial" w:cs="Arial" w:hint="eastAsia"/>
          <w:b/>
          <w:sz w:val="20"/>
          <w:lang w:val="bg-BG" w:eastAsia="bg-BG"/>
        </w:rPr>
        <w:t>определ</w:t>
      </w:r>
      <w:r w:rsidR="00F46E54">
        <w:rPr>
          <w:rFonts w:ascii="Arial" w:hAnsi="Arial" w:cs="Arial"/>
          <w:b/>
          <w:sz w:val="20"/>
          <w:lang w:val="bg-BG" w:eastAsia="bg-BG"/>
        </w:rPr>
        <w:t>я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</w:t>
      </w:r>
      <w:r w:rsidR="00F46E54">
        <w:rPr>
          <w:rFonts w:ascii="Arial" w:hAnsi="Arial" w:cs="Arial"/>
          <w:b/>
          <w:sz w:val="20"/>
          <w:lang w:val="bg-BG" w:eastAsia="bg-BG"/>
        </w:rPr>
        <w:t>ето 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процент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за</w:t>
      </w:r>
      <w:r w:rsidR="00F46E54">
        <w:rPr>
          <w:rFonts w:ascii="Arial" w:hAnsi="Arial" w:cs="Arial"/>
          <w:b/>
          <w:sz w:val="20"/>
          <w:lang w:val="bg-BG" w:eastAsia="bg-BG"/>
        </w:rPr>
        <w:t xml:space="preserve"> финансиране на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целите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ОСП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в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областта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климата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>.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</w:t>
      </w:r>
      <w:r w:rsidR="00D636B3">
        <w:rPr>
          <w:rFonts w:ascii="Arial" w:hAnsi="Arial" w:cs="Arial"/>
          <w:sz w:val="20"/>
          <w:lang w:val="bg-BG" w:eastAsia="bg-BG"/>
        </w:rPr>
        <w:t>Т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ези разпоредби </w:t>
      </w:r>
      <w:r w:rsidR="0032344C">
        <w:rPr>
          <w:rFonts w:ascii="Arial" w:hAnsi="Arial" w:cs="Arial"/>
          <w:sz w:val="20"/>
          <w:lang w:val="bg-BG" w:eastAsia="bg-BG"/>
        </w:rPr>
        <w:t xml:space="preserve">може да заменят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предложението на Европейската комисия за разпределяне на 30% от средствата от втори стълб (развитие на селските райони) за </w:t>
      </w:r>
      <w:r w:rsidR="002E265A">
        <w:rPr>
          <w:rFonts w:ascii="Arial" w:hAnsi="Arial" w:cs="Arial"/>
          <w:sz w:val="20"/>
          <w:lang w:val="bg-BG" w:eastAsia="bg-BG"/>
        </w:rPr>
        <w:t>опазване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на климата. Тъй като Стратегическият план </w:t>
      </w:r>
      <w:r w:rsidR="00C8441F">
        <w:rPr>
          <w:rFonts w:ascii="Arial" w:hAnsi="Arial" w:cs="Arial"/>
          <w:sz w:val="20"/>
          <w:lang w:val="bg-BG" w:eastAsia="bg-BG"/>
        </w:rPr>
        <w:t xml:space="preserve">на ОСП представлява „съгласуван документ, обхващащ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интервенции по двата стълба“, финландското председателство предлага </w:t>
      </w:r>
      <w:r w:rsidR="002E265A">
        <w:rPr>
          <w:rFonts w:ascii="Arial" w:hAnsi="Arial" w:cs="Arial"/>
          <w:sz w:val="20"/>
          <w:lang w:val="bg-BG" w:eastAsia="bg-BG"/>
        </w:rPr>
        <w:t xml:space="preserve">да се даде възможност на държавите-членки да избират между два възможни варианта. Първият вариант е да се въведе </w:t>
      </w:r>
      <w:r w:rsidR="0083184F" w:rsidRPr="0032344C">
        <w:rPr>
          <w:rFonts w:ascii="Arial" w:hAnsi="Arial" w:cs="Arial"/>
          <w:sz w:val="20"/>
          <w:lang w:val="bg-BG" w:eastAsia="bg-BG"/>
        </w:rPr>
        <w:t>един „общ</w:t>
      </w:r>
      <w:r w:rsidR="00D636B3">
        <w:rPr>
          <w:rFonts w:ascii="Arial" w:hAnsi="Arial" w:cs="Arial"/>
          <w:sz w:val="20"/>
          <w:lang w:val="bg-BG" w:eastAsia="bg-BG"/>
        </w:rPr>
        <w:t xml:space="preserve"> (единен)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процент“, посветен на целите в областта на климата, обхващащ целия стратегически план на ОСП, еднакво приложим за всички държави-членки. </w:t>
      </w:r>
      <w:r w:rsidR="002E265A">
        <w:rPr>
          <w:rFonts w:ascii="Arial" w:hAnsi="Arial" w:cs="Arial"/>
          <w:sz w:val="20"/>
          <w:lang w:val="bg-BG" w:eastAsia="bg-BG"/>
        </w:rPr>
        <w:t>Вторият вариант на това предложение, е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да се осигури „фиксирана сума“ на финансиране за всяка държава-членка в рамките </w:t>
      </w:r>
      <w:r w:rsidR="00CA35A8" w:rsidRPr="0032344C">
        <w:rPr>
          <w:rFonts w:ascii="Arial" w:hAnsi="Arial" w:cs="Arial"/>
          <w:sz w:val="20"/>
          <w:lang w:val="bg-BG" w:eastAsia="bg-BG"/>
        </w:rPr>
        <w:t xml:space="preserve">на стратегическия план за ОСП.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С други думи, </w:t>
      </w:r>
      <w:r w:rsidR="002E265A">
        <w:rPr>
          <w:rFonts w:ascii="Arial" w:hAnsi="Arial" w:cs="Arial"/>
          <w:sz w:val="20"/>
          <w:lang w:val="bg-BG" w:eastAsia="bg-BG"/>
        </w:rPr>
        <w:t xml:space="preserve">държавите-членки </w:t>
      </w:r>
      <w:r w:rsidR="008F202E">
        <w:rPr>
          <w:rFonts w:ascii="Arial" w:hAnsi="Arial" w:cs="Arial"/>
          <w:sz w:val="20"/>
          <w:lang w:val="bg-BG" w:eastAsia="bg-BG"/>
        </w:rPr>
        <w:t xml:space="preserve">да изберат </w:t>
      </w:r>
      <w:r w:rsidR="0054116F">
        <w:rPr>
          <w:rFonts w:ascii="Arial" w:hAnsi="Arial" w:cs="Arial"/>
          <w:sz w:val="20"/>
          <w:lang w:val="bg-BG" w:eastAsia="bg-BG"/>
        </w:rPr>
        <w:t xml:space="preserve">сами дали да приложат </w:t>
      </w:r>
      <w:r w:rsidR="0083184F" w:rsidRPr="0032344C">
        <w:rPr>
          <w:rFonts w:ascii="Arial" w:hAnsi="Arial" w:cs="Arial"/>
          <w:sz w:val="20"/>
          <w:lang w:val="bg-BG" w:eastAsia="bg-BG"/>
        </w:rPr>
        <w:t>един общ процент или фиксиран разме</w:t>
      </w:r>
      <w:r w:rsidR="0054116F">
        <w:rPr>
          <w:rFonts w:ascii="Arial" w:hAnsi="Arial" w:cs="Arial"/>
          <w:sz w:val="20"/>
          <w:lang w:val="bg-BG" w:eastAsia="bg-BG"/>
        </w:rPr>
        <w:t>р на финансирането (</w:t>
      </w:r>
      <w:r w:rsidR="0083184F" w:rsidRPr="0032344C">
        <w:rPr>
          <w:rFonts w:ascii="Arial" w:hAnsi="Arial" w:cs="Arial"/>
          <w:sz w:val="20"/>
          <w:lang w:val="bg-BG" w:eastAsia="bg-BG"/>
        </w:rPr>
        <w:t>обхващащ двата стълба</w:t>
      </w:r>
      <w:r w:rsidR="0054116F">
        <w:rPr>
          <w:rFonts w:ascii="Arial" w:hAnsi="Arial" w:cs="Arial"/>
          <w:sz w:val="20"/>
          <w:lang w:val="bg-BG" w:eastAsia="bg-BG"/>
        </w:rPr>
        <w:t>)</w:t>
      </w:r>
      <w:r w:rsidR="00AD7DFB">
        <w:rPr>
          <w:rFonts w:ascii="Arial" w:hAnsi="Arial" w:cs="Arial"/>
          <w:sz w:val="20"/>
          <w:lang w:val="bg-BG" w:eastAsia="bg-BG"/>
        </w:rPr>
        <w:t xml:space="preserve">, като </w:t>
      </w:r>
      <w:r w:rsidR="0083184F" w:rsidRPr="0032344C">
        <w:rPr>
          <w:rFonts w:ascii="Arial" w:hAnsi="Arial" w:cs="Arial"/>
          <w:sz w:val="20"/>
          <w:lang w:val="bg-BG" w:eastAsia="bg-BG"/>
        </w:rPr>
        <w:t>въпросната държава-членка би могла да избере една или повече интервенции по</w:t>
      </w:r>
      <w:r w:rsidR="00D25BDB">
        <w:rPr>
          <w:rFonts w:ascii="Arial" w:hAnsi="Arial" w:cs="Arial"/>
          <w:sz w:val="20"/>
          <w:lang w:val="bg-BG" w:eastAsia="bg-BG"/>
        </w:rPr>
        <w:t xml:space="preserve"> стълб I или стълб II, </w:t>
      </w:r>
      <w:r w:rsidR="0054116F">
        <w:rPr>
          <w:rFonts w:ascii="Arial" w:hAnsi="Arial" w:cs="Arial"/>
          <w:sz w:val="20"/>
          <w:lang w:val="bg-BG" w:eastAsia="bg-BG"/>
        </w:rPr>
        <w:t>или и двата</w:t>
      </w:r>
      <w:r w:rsidR="00D25BDB">
        <w:rPr>
          <w:rFonts w:ascii="Arial" w:hAnsi="Arial" w:cs="Arial"/>
          <w:sz w:val="20"/>
          <w:lang w:val="bg-BG" w:eastAsia="bg-BG"/>
        </w:rPr>
        <w:t xml:space="preserve"> стълба</w:t>
      </w:r>
      <w:r w:rsidR="0083184F" w:rsidRPr="0032344C">
        <w:rPr>
          <w:rFonts w:ascii="Arial" w:hAnsi="Arial" w:cs="Arial"/>
          <w:sz w:val="20"/>
          <w:lang w:val="bg-BG" w:eastAsia="bg-BG"/>
        </w:rPr>
        <w:t>, които биха допринесли за постига</w:t>
      </w:r>
      <w:r w:rsidR="00CA35A8" w:rsidRPr="0032344C">
        <w:rPr>
          <w:rFonts w:ascii="Arial" w:hAnsi="Arial" w:cs="Arial"/>
          <w:sz w:val="20"/>
          <w:lang w:val="bg-BG" w:eastAsia="bg-BG"/>
        </w:rPr>
        <w:t xml:space="preserve">нето на този процент или сума.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Това би означавало, че държавите-членки биха могли да избират онези интервенции, които им подхождат най-добре в светлината на техните </w:t>
      </w:r>
      <w:r w:rsidR="002E265A">
        <w:rPr>
          <w:rFonts w:ascii="Arial" w:hAnsi="Arial" w:cs="Arial"/>
          <w:sz w:val="20"/>
          <w:lang w:val="bg-BG" w:eastAsia="bg-BG"/>
        </w:rPr>
        <w:t>национални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условия, без да се налага да избират между </w:t>
      </w:r>
      <w:r w:rsidR="002E265A">
        <w:rPr>
          <w:rFonts w:ascii="Arial" w:hAnsi="Arial" w:cs="Arial"/>
          <w:sz w:val="20"/>
          <w:lang w:val="bg-BG" w:eastAsia="bg-BG"/>
        </w:rPr>
        <w:t xml:space="preserve">интервенции в </w:t>
      </w:r>
      <w:r w:rsidR="0083184F" w:rsidRPr="0032344C">
        <w:rPr>
          <w:rFonts w:ascii="Arial" w:hAnsi="Arial" w:cs="Arial"/>
          <w:sz w:val="20"/>
          <w:lang w:val="bg-BG" w:eastAsia="bg-BG"/>
        </w:rPr>
        <w:t>първи</w:t>
      </w:r>
      <w:r w:rsidR="002E265A">
        <w:rPr>
          <w:rFonts w:ascii="Arial" w:hAnsi="Arial" w:cs="Arial"/>
          <w:sz w:val="20"/>
          <w:lang w:val="bg-BG" w:eastAsia="bg-BG"/>
        </w:rPr>
        <w:t xml:space="preserve"> или втори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стълб. Целта е да се осигури „по-голяма гъвкавост“ при изготвянето на стратегическия план за ОСП.</w:t>
      </w:r>
      <w:r w:rsidR="0083184F" w:rsidRPr="0032344C">
        <w:rPr>
          <w:rFonts w:ascii="Arial" w:hAnsi="Arial" w:cs="Arial"/>
          <w:sz w:val="20"/>
          <w:lang w:val="bg-BG"/>
        </w:rPr>
        <w:t xml:space="preserve"> </w:t>
      </w:r>
      <w:r w:rsidR="0083184F" w:rsidRPr="0032344C">
        <w:rPr>
          <w:rFonts w:ascii="Arial" w:hAnsi="Arial" w:cs="Arial"/>
          <w:bCs/>
          <w:sz w:val="20"/>
          <w:lang w:val="bg-BG"/>
        </w:rPr>
        <w:t xml:space="preserve">Мнозинството </w:t>
      </w:r>
      <w:r w:rsidR="002E265A">
        <w:rPr>
          <w:rFonts w:ascii="Arial" w:hAnsi="Arial" w:cs="Arial"/>
          <w:bCs/>
          <w:sz w:val="20"/>
          <w:lang w:val="bg-BG"/>
        </w:rPr>
        <w:t>държави-членки</w:t>
      </w:r>
      <w:r w:rsidR="0083184F" w:rsidRPr="0032344C">
        <w:rPr>
          <w:rFonts w:ascii="Arial" w:hAnsi="Arial" w:cs="Arial"/>
          <w:bCs/>
          <w:sz w:val="20"/>
          <w:lang w:val="bg-BG"/>
        </w:rPr>
        <w:t xml:space="preserve"> изразиха интерес и положителна нагласа</w:t>
      </w:r>
      <w:r w:rsidR="0083184F" w:rsidRPr="0032344C">
        <w:rPr>
          <w:rFonts w:ascii="Arial" w:hAnsi="Arial" w:cs="Arial"/>
          <w:sz w:val="20"/>
          <w:lang w:val="bg-BG"/>
        </w:rPr>
        <w:t xml:space="preserve"> към новото предложение</w:t>
      </w:r>
      <w:r w:rsidR="00CA35A8" w:rsidRPr="0032344C">
        <w:rPr>
          <w:rFonts w:ascii="Arial" w:hAnsi="Arial" w:cs="Arial"/>
          <w:sz w:val="20"/>
          <w:lang w:val="bg-BG"/>
        </w:rPr>
        <w:t>,</w:t>
      </w:r>
      <w:r w:rsidR="0083184F" w:rsidRPr="0032344C">
        <w:rPr>
          <w:rFonts w:ascii="Arial" w:hAnsi="Arial" w:cs="Arial"/>
          <w:sz w:val="20"/>
          <w:lang w:val="bg-BG"/>
        </w:rPr>
        <w:t xml:space="preserve"> като </w:t>
      </w:r>
      <w:r w:rsidR="00D25BDB">
        <w:rPr>
          <w:rFonts w:ascii="Arial" w:hAnsi="Arial" w:cs="Arial"/>
          <w:sz w:val="20"/>
          <w:lang w:val="bg-BG"/>
        </w:rPr>
        <w:t>подчертаха, че е възможно да има затруднения</w:t>
      </w:r>
      <w:r w:rsidR="0083184F" w:rsidRPr="0032344C">
        <w:rPr>
          <w:rFonts w:ascii="Arial" w:hAnsi="Arial" w:cs="Arial"/>
          <w:sz w:val="20"/>
          <w:lang w:val="bg-BG"/>
        </w:rPr>
        <w:t>, свързани с определяне на самия процент и обхвата на интервенции, които ще бъдат определени като допринасящи към този процен</w:t>
      </w:r>
      <w:r w:rsidR="00D25BDB">
        <w:rPr>
          <w:rFonts w:ascii="Arial" w:hAnsi="Arial" w:cs="Arial"/>
          <w:sz w:val="20"/>
          <w:lang w:val="bg-BG"/>
        </w:rPr>
        <w:t xml:space="preserve">т. Според държавите-членки, </w:t>
      </w:r>
      <w:r w:rsidR="0083184F" w:rsidRPr="0032344C">
        <w:rPr>
          <w:rFonts w:ascii="Arial" w:hAnsi="Arial" w:cs="Arial"/>
          <w:sz w:val="20"/>
          <w:lang w:val="bg-BG"/>
        </w:rPr>
        <w:t xml:space="preserve">решение за </w:t>
      </w:r>
      <w:r w:rsidR="00D25BDB">
        <w:rPr>
          <w:rFonts w:ascii="Arial" w:hAnsi="Arial" w:cs="Arial"/>
          <w:sz w:val="20"/>
          <w:lang w:val="bg-BG"/>
        </w:rPr>
        <w:t xml:space="preserve">определяне на </w:t>
      </w:r>
      <w:r w:rsidR="0083184F" w:rsidRPr="0032344C">
        <w:rPr>
          <w:rFonts w:ascii="Arial" w:hAnsi="Arial" w:cs="Arial"/>
          <w:sz w:val="20"/>
          <w:lang w:val="bg-BG"/>
        </w:rPr>
        <w:t>конкрет</w:t>
      </w:r>
      <w:r w:rsidR="00D25BDB">
        <w:rPr>
          <w:rFonts w:ascii="Arial" w:hAnsi="Arial" w:cs="Arial"/>
          <w:sz w:val="20"/>
          <w:lang w:val="bg-BG"/>
        </w:rPr>
        <w:t>е</w:t>
      </w:r>
      <w:r w:rsidR="0083184F" w:rsidRPr="0032344C">
        <w:rPr>
          <w:rFonts w:ascii="Arial" w:hAnsi="Arial" w:cs="Arial"/>
          <w:sz w:val="20"/>
          <w:lang w:val="bg-BG"/>
        </w:rPr>
        <w:t>н</w:t>
      </w:r>
      <w:r w:rsidR="00D25BDB">
        <w:rPr>
          <w:rFonts w:ascii="Arial" w:hAnsi="Arial" w:cs="Arial"/>
          <w:sz w:val="20"/>
          <w:lang w:val="bg-BG"/>
        </w:rPr>
        <w:t xml:space="preserve"> размер на този процент</w:t>
      </w:r>
      <w:r w:rsidR="0083184F" w:rsidRPr="0032344C">
        <w:rPr>
          <w:rFonts w:ascii="Arial" w:hAnsi="Arial" w:cs="Arial"/>
          <w:sz w:val="20"/>
          <w:lang w:val="bg-BG"/>
        </w:rPr>
        <w:t xml:space="preserve"> може да се вземе само след споразумение по МФР</w:t>
      </w:r>
      <w:r w:rsidR="002E265A">
        <w:rPr>
          <w:rFonts w:ascii="Arial" w:hAnsi="Arial" w:cs="Arial"/>
          <w:sz w:val="20"/>
          <w:lang w:val="bg-BG"/>
        </w:rPr>
        <w:t xml:space="preserve"> 2021-2027</w:t>
      </w:r>
      <w:r w:rsidR="0083184F" w:rsidRPr="0032344C">
        <w:rPr>
          <w:rFonts w:ascii="Arial" w:hAnsi="Arial" w:cs="Arial"/>
          <w:sz w:val="20"/>
          <w:lang w:val="bg-BG"/>
        </w:rPr>
        <w:t xml:space="preserve">. </w:t>
      </w:r>
      <w:r w:rsidR="002E265A">
        <w:rPr>
          <w:rFonts w:ascii="Arial" w:hAnsi="Arial" w:cs="Arial"/>
          <w:sz w:val="20"/>
          <w:lang w:val="bg-BG"/>
        </w:rPr>
        <w:t xml:space="preserve">Темата ще бъде предложена за обсъждане също </w:t>
      </w:r>
      <w:r w:rsidR="0083184F" w:rsidRPr="0032344C">
        <w:rPr>
          <w:rFonts w:ascii="Arial" w:hAnsi="Arial" w:cs="Arial"/>
          <w:sz w:val="20"/>
          <w:lang w:val="bg-BG"/>
        </w:rPr>
        <w:t>на следващото заседание на Съвета на министрите</w:t>
      </w:r>
      <w:r w:rsidR="002E265A">
        <w:rPr>
          <w:rFonts w:ascii="Arial" w:hAnsi="Arial" w:cs="Arial"/>
          <w:sz w:val="20"/>
          <w:lang w:val="bg-BG"/>
        </w:rPr>
        <w:t>, предвидено</w:t>
      </w:r>
      <w:r w:rsidR="0083184F" w:rsidRPr="0032344C">
        <w:rPr>
          <w:rFonts w:ascii="Arial" w:hAnsi="Arial" w:cs="Arial"/>
          <w:sz w:val="20"/>
          <w:lang w:val="bg-BG"/>
        </w:rPr>
        <w:t xml:space="preserve"> на 18.11.2019 г.</w:t>
      </w:r>
      <w:r w:rsidR="0083184F" w:rsidRPr="0032344C">
        <w:rPr>
          <w:rFonts w:ascii="Times New Roman" w:hAnsi="Times New Roman"/>
          <w:szCs w:val="24"/>
          <w:lang w:val="bg-BG"/>
        </w:rPr>
        <w:t xml:space="preserve"> </w:t>
      </w:r>
    </w:p>
    <w:p w:rsidR="00326AC5" w:rsidRDefault="00326AC5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bg-BG"/>
        </w:rPr>
      </w:pPr>
    </w:p>
    <w:p w:rsidR="00326AC5" w:rsidRPr="00326AC5" w:rsidRDefault="00F57BD8" w:rsidP="00326AC5">
      <w:pPr>
        <w:contextualSpacing/>
        <w:jc w:val="both"/>
        <w:rPr>
          <w:rStyle w:val="tlid-translation"/>
          <w:rFonts w:ascii="Arial" w:hAnsi="Arial" w:cs="Arial"/>
          <w:sz w:val="20"/>
          <w:lang w:val="bg-BG"/>
        </w:rPr>
      </w:pPr>
      <w:r>
        <w:rPr>
          <w:rStyle w:val="tlid-translation"/>
          <w:rFonts w:ascii="Arial" w:hAnsi="Arial" w:cs="Arial"/>
          <w:b/>
          <w:sz w:val="20"/>
          <w:lang w:val="bg-BG"/>
        </w:rPr>
        <w:t xml:space="preserve">4.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31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октомври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2019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прие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законодателно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въвеждане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разпоредби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предвижда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новите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стратегически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планове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влязат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сила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2022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>. (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една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година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първоначално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обявения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срок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).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разясненията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представени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, „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Процедурата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преговорите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беше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завършена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време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позволи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държавите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-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членки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подготвят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всички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елементи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законодателната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рамка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необходими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прилагане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стратегическите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планове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първоначалното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.“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удължаване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една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година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действието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текущото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въвеждане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пакет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избегне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прекъсване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изплащането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директни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плащания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стопани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>
        <w:rPr>
          <w:rStyle w:val="tlid-translation"/>
          <w:rFonts w:ascii="Arial" w:hAnsi="Arial" w:cs="Arial"/>
          <w:sz w:val="20"/>
          <w:lang w:val="bg-BG"/>
        </w:rPr>
        <w:t xml:space="preserve">подпомагането за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другите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бенефициенти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фонд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гарантиране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ЕФГЗ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)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фонд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ЕЗФРСР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)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170F6D">
        <w:rPr>
          <w:rStyle w:val="tlid-translation"/>
          <w:rFonts w:ascii="Arial" w:hAnsi="Arial" w:cs="Arial"/>
          <w:sz w:val="20"/>
          <w:lang w:val="bg-BG"/>
        </w:rPr>
        <w:t>Съгласно 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трябва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„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продължи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финансовото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действащо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2014-2020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.“,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включва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седем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–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1303/2013,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1305/2013,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1306/2013,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1307/2013,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1308/2013,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228/2013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229/2013.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допълнение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улесняване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текущите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схеми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към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очаква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влезе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сила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2022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.),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определя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правила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</w:t>
      </w:r>
      <w:r w:rsidR="004A41B2">
        <w:rPr>
          <w:rStyle w:val="tlid-translation"/>
          <w:rFonts w:ascii="Arial" w:hAnsi="Arial" w:cs="Arial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</w:t>
      </w:r>
      <w:r w:rsidR="004A41B2">
        <w:rPr>
          <w:rStyle w:val="tlid-translation"/>
          <w:rFonts w:ascii="Arial" w:hAnsi="Arial" w:cs="Arial"/>
          <w:sz w:val="20"/>
          <w:lang w:val="bg-BG"/>
        </w:rPr>
        <w:t>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многогодишна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база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бъде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въведено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предвид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трябва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продължи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държавите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-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членки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възникне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недостиг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средства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ще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възможност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техните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Програми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4A41B2">
        <w:rPr>
          <w:rStyle w:val="tlid-translation"/>
          <w:rFonts w:ascii="Arial" w:hAnsi="Arial" w:cs="Arial"/>
          <w:sz w:val="20"/>
          <w:lang w:val="bg-BG"/>
        </w:rPr>
        <w:t xml:space="preserve"> 2014-2020,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31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декември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финансират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програмите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съответните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разпределени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бюджети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настоява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удължените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ПРСР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запазят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същото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ниво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екологични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климатични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министри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отказват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вземат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окончателно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решение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относно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реформата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яснота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относно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бюджетите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ще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разполагат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беше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представено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обсъждане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също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4A41B2">
        <w:rPr>
          <w:rStyle w:val="tlid-translation"/>
          <w:rFonts w:ascii="Arial" w:hAnsi="Arial" w:cs="Arial"/>
          <w:sz w:val="20"/>
          <w:lang w:val="bg-BG"/>
        </w:rPr>
        <w:t>пред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към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парламент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5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ноември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Текстът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достъпно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следния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електронен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адрес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: </w:t>
      </w:r>
      <w:hyperlink r:id="rId9" w:history="1">
        <w:r w:rsidR="00326AC5" w:rsidRPr="00326AC5">
          <w:rPr>
            <w:rStyle w:val="Hyperlink"/>
            <w:rFonts w:ascii="Arial" w:hAnsi="Arial" w:cs="Arial"/>
            <w:sz w:val="20"/>
            <w:lang w:val="bg-BG"/>
          </w:rPr>
          <w:t>https://ec.europa.eu/transparency/regdoc/rep/1/2019/EN/COM-2019-581-F1-EN-MAIN-PART-1.PDF</w:t>
        </w:r>
      </w:hyperlink>
    </w:p>
    <w:p w:rsidR="006A094F" w:rsidRPr="00B52D1A" w:rsidRDefault="006A094F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ru-RU"/>
        </w:rPr>
      </w:pPr>
    </w:p>
    <w:p w:rsidR="00563064" w:rsidRPr="00B52D1A" w:rsidRDefault="00F57BD8" w:rsidP="000341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ru-RU"/>
        </w:rPr>
      </w:pPr>
      <w:r>
        <w:rPr>
          <w:rStyle w:val="tlid-translation"/>
          <w:rFonts w:ascii="Arial" w:hAnsi="Arial" w:cs="Arial"/>
          <w:b/>
          <w:sz w:val="20"/>
          <w:lang w:val="bg-BG"/>
        </w:rPr>
        <w:t>5</w:t>
      </w:r>
      <w:r w:rsidR="00563064" w:rsidRPr="007847C2">
        <w:rPr>
          <w:rStyle w:val="tlid-translation"/>
          <w:rFonts w:ascii="Arial" w:hAnsi="Arial" w:cs="Arial"/>
          <w:b/>
          <w:sz w:val="20"/>
          <w:lang w:val="bg-BG"/>
        </w:rPr>
        <w:t xml:space="preserve">. 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 xml:space="preserve">На 5 ноември, членовете на Комитета по земеделие на Европейския парламент в Брюксел </w:t>
      </w:r>
      <w:r w:rsidR="00714538">
        <w:rPr>
          <w:rFonts w:ascii="Arial" w:hAnsi="Arial" w:cs="Arial"/>
          <w:b/>
          <w:color w:val="222222"/>
          <w:sz w:val="20"/>
          <w:lang w:val="bg-BG" w:eastAsia="bg-BG"/>
        </w:rPr>
        <w:t>изказаха критични мнения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 xml:space="preserve"> към преходните мерки, предложени от Европейската комисия </w:t>
      </w:r>
      <w:r w:rsidR="00714538">
        <w:rPr>
          <w:rFonts w:ascii="Arial" w:hAnsi="Arial" w:cs="Arial"/>
          <w:b/>
          <w:color w:val="222222"/>
          <w:sz w:val="20"/>
          <w:lang w:val="bg-BG" w:eastAsia="bg-BG"/>
        </w:rPr>
        <w:t xml:space="preserve">относно 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>Общата селскостопанска политика (ОСП).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Херберт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Дорфман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Италия) разкритикува степента на намаляване на бюджетните кредити за втория стълб (развитие на селските райони), предвидено в предложението, което се основава на елементите на предложенията за следващата многогодишна финансова р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амка на ЕС (МФР</w:t>
      </w:r>
      <w:r w:rsidR="000C0A53">
        <w:rPr>
          <w:rFonts w:ascii="Arial" w:hAnsi="Arial" w:cs="Arial"/>
          <w:color w:val="222222"/>
          <w:sz w:val="20"/>
          <w:lang w:val="bg-BG" w:eastAsia="bg-BG"/>
        </w:rPr>
        <w:t xml:space="preserve"> 2021-2027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). Той изрази не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до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у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мение как страните могат да получат нови средства, ако </w:t>
      </w:r>
      <w:r w:rsidR="0028288E" w:rsidRPr="007847C2">
        <w:rPr>
          <w:rFonts w:ascii="Arial" w:hAnsi="Arial" w:cs="Arial"/>
          <w:color w:val="222222"/>
          <w:sz w:val="20"/>
          <w:lang w:val="bg-BG" w:eastAsia="bg-BG"/>
        </w:rPr>
        <w:t xml:space="preserve">изтекат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тези, свързани с текущите програми</w:t>
      </w:r>
      <w:r w:rsidR="004F597F">
        <w:rPr>
          <w:rFonts w:ascii="Arial" w:hAnsi="Arial" w:cs="Arial"/>
          <w:color w:val="222222"/>
          <w:sz w:val="20"/>
          <w:lang w:val="bg-BG" w:eastAsia="bg-BG"/>
        </w:rPr>
        <w:t xml:space="preserve"> за развитие на селските райони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Паоло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Де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Кастро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(S&amp;D, Италия) каза, че Европейският парламент чака 6 месеца за тези преходни мерки и прецени, че ще бъде необходим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година на Европейския парламент, за да разгледа и одобри текст</w:t>
      </w:r>
      <w:r w:rsidR="00691254">
        <w:rPr>
          <w:rFonts w:ascii="Arial" w:hAnsi="Arial" w:cs="Arial"/>
          <w:color w:val="222222"/>
          <w:sz w:val="20"/>
          <w:lang w:val="bg-BG" w:eastAsia="bg-BG"/>
        </w:rPr>
        <w:t>а на предложението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Алваро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Амаро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Португалия) също критикува факта, че Европейският парламент трябва да приеме суми от реформираната ОСП, докато реформата все още не е </w:t>
      </w:r>
      <w:r w:rsidR="005E760C">
        <w:rPr>
          <w:rFonts w:ascii="Arial" w:hAnsi="Arial" w:cs="Arial"/>
          <w:color w:val="222222"/>
          <w:sz w:val="20"/>
          <w:lang w:val="bg-BG" w:eastAsia="bg-BG"/>
        </w:rPr>
        <w:t>окончателно договорена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Комисията отговори на тези коментари, че к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огато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се постигне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споразумение за МФР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 xml:space="preserve"> 2021-2027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, предложението на Комисията ще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 xml:space="preserve">бъде променено в съответствие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с това.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Няколко евродепутат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>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биха предпочели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въвеждане на </w:t>
      </w:r>
      <w:r w:rsidR="005E760C">
        <w:rPr>
          <w:rFonts w:ascii="Arial" w:hAnsi="Arial" w:cs="Arial"/>
          <w:color w:val="222222"/>
          <w:sz w:val="20"/>
          <w:lang w:val="bg-BG" w:eastAsia="bg-BG"/>
        </w:rPr>
        <w:t xml:space="preserve">преходен период,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по-дълъг от една година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, тъй като държавите-членки ще имат нужда от време за подготовка на своите стратегически планове за ОСП, каза Ирен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Толерет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(Обновяване Европа, Франция). Ан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Сандър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Франция) се застъпи за двугодишен преходен период, тъй като не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счита за реалистично да бъде постигнато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пълно споразумение за ОСП в края на 2020 г. 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>Атидже Алиева</w:t>
      </w:r>
      <w:r w:rsidR="00034137">
        <w:rPr>
          <w:rFonts w:ascii="Arial" w:hAnsi="Arial" w:cs="Arial"/>
          <w:color w:val="222222"/>
          <w:sz w:val="20"/>
          <w:lang w:val="bg-BG" w:eastAsia="bg-BG"/>
        </w:rPr>
        <w:t>-Вели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 xml:space="preserve"> </w:t>
      </w:r>
      <w:r w:rsidR="00385488" w:rsidRPr="007847C2">
        <w:rPr>
          <w:rFonts w:ascii="Arial" w:hAnsi="Arial" w:cs="Arial"/>
          <w:color w:val="222222"/>
          <w:sz w:val="20"/>
          <w:lang w:val="bg-BG" w:eastAsia="bg-BG"/>
        </w:rPr>
        <w:t xml:space="preserve">(Обновяване Европа, 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>България</w:t>
      </w:r>
      <w:r w:rsidR="00385488" w:rsidRPr="007847C2">
        <w:rPr>
          <w:rFonts w:ascii="Arial" w:hAnsi="Arial" w:cs="Arial"/>
          <w:color w:val="222222"/>
          <w:sz w:val="20"/>
          <w:lang w:val="bg-BG" w:eastAsia="bg-BG"/>
        </w:rPr>
        <w:t>)</w:t>
      </w:r>
      <w:r w:rsidR="004469BA">
        <w:rPr>
          <w:rFonts w:ascii="Arial" w:hAnsi="Arial" w:cs="Arial"/>
          <w:color w:val="222222"/>
          <w:sz w:val="20"/>
          <w:lang w:val="bg-BG" w:eastAsia="bg-BG"/>
        </w:rPr>
        <w:t xml:space="preserve"> обърна сериозно внимание, че в предложението за преходни мерки липсват текстове относно 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>преходната</w:t>
      </w:r>
      <w:r w:rsidR="0010444B">
        <w:rPr>
          <w:rFonts w:ascii="Arial" w:hAnsi="Arial" w:cs="Arial"/>
          <w:color w:val="222222"/>
          <w:sz w:val="20"/>
          <w:lang w:val="bg-BG" w:eastAsia="bg-BG"/>
        </w:rPr>
        <w:t xml:space="preserve"> националн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>а помощ</w:t>
      </w:r>
      <w:r w:rsidR="0010444B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 xml:space="preserve">Част от държавите-членки прилагат схеми за преходна национална помощ, </w:t>
      </w:r>
      <w:r w:rsidR="007C27B0">
        <w:rPr>
          <w:rFonts w:ascii="Arial" w:hAnsi="Arial" w:cs="Arial"/>
          <w:color w:val="222222"/>
          <w:sz w:val="20"/>
          <w:lang w:val="bg-BG" w:eastAsia="bg-BG"/>
        </w:rPr>
        <w:t xml:space="preserve">особено в сектор „Животновъдство“, който се счита за уязвим. </w:t>
      </w:r>
      <w:r w:rsidR="00034137">
        <w:rPr>
          <w:rFonts w:ascii="Arial" w:hAnsi="Arial" w:cs="Arial"/>
          <w:color w:val="222222"/>
          <w:sz w:val="20"/>
          <w:lang w:val="bg-BG" w:eastAsia="bg-BG"/>
        </w:rPr>
        <w:t>Считат, че преходната национална помощ трябва да бъде включена в преходните разпоредби и да се продължи с нейното прилагане, така, както е описано в чл. 37 от Регламент (ЕС) 1307/2013, тъй като има изключително голям социален ефект при осигуряване на доходите на фермерите в затруднение.</w:t>
      </w:r>
    </w:p>
    <w:p w:rsidR="00DC5A8E" w:rsidRPr="00B52D1A" w:rsidRDefault="00DC5A8E" w:rsidP="00DA4860">
      <w:pPr>
        <w:contextualSpacing/>
        <w:jc w:val="both"/>
        <w:rPr>
          <w:rFonts w:ascii="Arial" w:hAnsi="Arial" w:cs="Arial"/>
          <w:color w:val="000000"/>
          <w:sz w:val="20"/>
          <w:lang w:val="ru-RU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B52D1A" w:rsidTr="00DF42CC">
        <w:tc>
          <w:tcPr>
            <w:tcW w:w="9923" w:type="dxa"/>
            <w:shd w:val="clear" w:color="auto" w:fill="C0C0C0"/>
            <w:hideMark/>
          </w:tcPr>
          <w:p w:rsidR="00403CB9" w:rsidRPr="00CE5E69" w:rsidRDefault="00403CB9" w:rsidP="00DF42CC">
            <w:pPr>
              <w:jc w:val="both"/>
              <w:rPr>
                <w:rStyle w:val="longtext"/>
                <w:rFonts w:ascii="Arial" w:hAnsi="Arial" w:cs="Arial"/>
                <w:i/>
                <w:sz w:val="20"/>
                <w:lang w:val="bg-BG"/>
              </w:rPr>
            </w:pPr>
            <w:r w:rsidRPr="00CE5E69">
              <w:rPr>
                <w:rStyle w:val="longtext"/>
                <w:rFonts w:ascii="Arial" w:hAnsi="Arial" w:cs="Arial"/>
                <w:i/>
                <w:sz w:val="20"/>
                <w:lang w:val="bg-BG"/>
              </w:rPr>
              <w:t>Още от ЕС и света</w:t>
            </w:r>
          </w:p>
        </w:tc>
        <w:tc>
          <w:tcPr>
            <w:tcW w:w="236" w:type="dxa"/>
          </w:tcPr>
          <w:p w:rsidR="00403CB9" w:rsidRPr="00CE5E69" w:rsidRDefault="00403CB9" w:rsidP="00DF42CC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5E69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C37B23" w:rsidRPr="00B52D1A" w:rsidRDefault="00F57BD8" w:rsidP="00B52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Cs/>
          <w:sz w:val="20"/>
          <w:lang w:val="bg-BG"/>
        </w:rPr>
      </w:pPr>
      <w:r w:rsidRPr="00553CD4">
        <w:rPr>
          <w:rStyle w:val="longtext"/>
          <w:rFonts w:ascii="Arial" w:hAnsi="Arial" w:cs="Arial"/>
          <w:b/>
          <w:sz w:val="20"/>
          <w:lang w:val="bg-BG"/>
        </w:rPr>
        <w:t>6</w:t>
      </w:r>
      <w:r w:rsidR="002521C1" w:rsidRPr="00553CD4">
        <w:rPr>
          <w:rStyle w:val="longtext"/>
          <w:rFonts w:ascii="Arial" w:hAnsi="Arial" w:cs="Arial"/>
          <w:b/>
          <w:sz w:val="20"/>
          <w:lang w:val="bg-BG"/>
        </w:rPr>
        <w:t>.</w:t>
      </w:r>
      <w:r w:rsidR="008F7ECC" w:rsidRPr="00553CD4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2521C1" w:rsidRPr="00553CD4">
        <w:rPr>
          <w:rFonts w:ascii="Arial" w:hAnsi="Arial" w:cs="Arial"/>
          <w:b/>
          <w:bCs/>
          <w:sz w:val="20"/>
          <w:lang w:val="bg-BG"/>
        </w:rPr>
        <w:t>На 6 ноември 2019 г. в гр. Брюксел се проведе семинар на тема: „Земеделие и околна среда: говорят на един и същ език в рамките на стратегическите планове на ОСП“, организиран от Европейска мрежа за развитие на селски райони</w:t>
      </w:r>
      <w:r w:rsidR="002521C1" w:rsidRPr="00553CD4">
        <w:rPr>
          <w:rFonts w:ascii="Arial" w:hAnsi="Arial" w:cs="Arial"/>
          <w:bCs/>
          <w:sz w:val="20"/>
          <w:lang w:val="bg-BG"/>
        </w:rPr>
        <w:t>. Цел</w:t>
      </w:r>
      <w:r w:rsidR="00553CD4">
        <w:rPr>
          <w:rFonts w:ascii="Arial" w:hAnsi="Arial" w:cs="Arial"/>
          <w:bCs/>
          <w:sz w:val="20"/>
          <w:lang w:val="bg-BG"/>
        </w:rPr>
        <w:t xml:space="preserve">ите на семинара бяха да се 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обсъдят </w:t>
      </w:r>
      <w:r w:rsidR="00553CD4">
        <w:rPr>
          <w:rFonts w:ascii="Arial" w:hAnsi="Arial" w:cs="Arial"/>
          <w:bCs/>
          <w:sz w:val="20"/>
          <w:lang w:val="bg-BG"/>
        </w:rPr>
        <w:t>научени уроци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 от текущия програмен период и </w:t>
      </w:r>
      <w:r w:rsidR="00553CD4">
        <w:rPr>
          <w:rFonts w:ascii="Arial" w:hAnsi="Arial" w:cs="Arial"/>
          <w:bCs/>
          <w:sz w:val="20"/>
          <w:lang w:val="bg-BG"/>
        </w:rPr>
        <w:t>обмен на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 идеи за разработване на ефективни интервенции за постигане на екологични цели в стратегическите планове на ОСП</w:t>
      </w:r>
      <w:r w:rsidR="00553CD4">
        <w:rPr>
          <w:rFonts w:ascii="Arial" w:hAnsi="Arial" w:cs="Arial"/>
          <w:bCs/>
          <w:sz w:val="20"/>
          <w:lang w:val="bg-BG"/>
        </w:rPr>
        <w:t xml:space="preserve"> след 2020 год</w:t>
      </w:r>
      <w:r w:rsidR="002521C1" w:rsidRPr="00553CD4">
        <w:rPr>
          <w:rFonts w:ascii="Arial" w:hAnsi="Arial" w:cs="Arial"/>
          <w:bCs/>
          <w:sz w:val="20"/>
          <w:lang w:val="bg-BG"/>
        </w:rPr>
        <w:t>. Семин</w:t>
      </w:r>
      <w:r w:rsidR="00553CD4">
        <w:rPr>
          <w:rFonts w:ascii="Arial" w:hAnsi="Arial" w:cs="Arial"/>
          <w:bCs/>
          <w:sz w:val="20"/>
          <w:lang w:val="bg-BG"/>
        </w:rPr>
        <w:t xml:space="preserve">арът бе открит от г-н Пиер </w:t>
      </w:r>
      <w:proofErr w:type="spellStart"/>
      <w:r w:rsidR="00553CD4">
        <w:rPr>
          <w:rFonts w:ascii="Arial" w:hAnsi="Arial" w:cs="Arial"/>
          <w:bCs/>
          <w:sz w:val="20"/>
          <w:lang w:val="bg-BG"/>
        </w:rPr>
        <w:t>Баск</w:t>
      </w:r>
      <w:r w:rsidR="002521C1" w:rsidRPr="00553CD4">
        <w:rPr>
          <w:rFonts w:ascii="Arial" w:hAnsi="Arial" w:cs="Arial"/>
          <w:bCs/>
          <w:sz w:val="20"/>
          <w:lang w:val="bg-BG"/>
        </w:rPr>
        <w:t>у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 xml:space="preserve">  - директор </w:t>
      </w:r>
      <w:r w:rsidR="00A443A5">
        <w:rPr>
          <w:rFonts w:ascii="Arial" w:hAnsi="Arial" w:cs="Arial"/>
          <w:bCs/>
          <w:sz w:val="20"/>
          <w:lang w:val="bg-BG"/>
        </w:rPr>
        <w:t>в ГД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 </w:t>
      </w:r>
      <w:r w:rsidR="00A443A5">
        <w:rPr>
          <w:rFonts w:ascii="Arial" w:hAnsi="Arial" w:cs="Arial"/>
          <w:bCs/>
          <w:sz w:val="20"/>
          <w:lang w:val="bg-BG"/>
        </w:rPr>
        <w:t>„З</w:t>
      </w:r>
      <w:r w:rsidR="002521C1" w:rsidRPr="00553CD4">
        <w:rPr>
          <w:rFonts w:ascii="Arial" w:hAnsi="Arial" w:cs="Arial"/>
          <w:bCs/>
          <w:sz w:val="20"/>
          <w:lang w:val="bg-BG"/>
        </w:rPr>
        <w:t>емеделие и развитие на селски райони</w:t>
      </w:r>
      <w:r w:rsidR="00A443A5">
        <w:rPr>
          <w:rFonts w:ascii="Arial" w:hAnsi="Arial" w:cs="Arial"/>
          <w:bCs/>
          <w:sz w:val="20"/>
          <w:lang w:val="bg-BG"/>
        </w:rPr>
        <w:t>“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, който изтъкна, че един от основните аспекти в </w:t>
      </w:r>
      <w:r w:rsidR="00B63208">
        <w:rPr>
          <w:rFonts w:ascii="Arial" w:hAnsi="Arial" w:cs="Arial"/>
          <w:bCs/>
          <w:sz w:val="20"/>
          <w:lang w:val="bg-BG"/>
        </w:rPr>
        <w:t>р</w:t>
      </w:r>
      <w:r w:rsidR="002521C1" w:rsidRPr="00553CD4">
        <w:rPr>
          <w:rFonts w:ascii="Arial" w:hAnsi="Arial" w:cs="Arial"/>
          <w:bCs/>
          <w:sz w:val="20"/>
          <w:lang w:val="bg-BG"/>
        </w:rPr>
        <w:t>еформата на ОСП е подобряване влиянието на селското стопанство към климата и околната среда. Три от деветте конкретни цели на бъдещата ОСП, които следв</w:t>
      </w:r>
      <w:r w:rsidR="00B63208">
        <w:rPr>
          <w:rFonts w:ascii="Arial" w:hAnsi="Arial" w:cs="Arial"/>
          <w:bCs/>
          <w:sz w:val="20"/>
          <w:lang w:val="bg-BG"/>
        </w:rPr>
        <w:t>а да реализира всяка държава-</w:t>
      </w:r>
      <w:r w:rsidR="002521C1" w:rsidRPr="00553CD4">
        <w:rPr>
          <w:rFonts w:ascii="Arial" w:hAnsi="Arial" w:cs="Arial"/>
          <w:bCs/>
          <w:sz w:val="20"/>
          <w:lang w:val="bg-BG"/>
        </w:rPr>
        <w:t>членка са свързани с климата и околната среда. В своите стратегически планове</w:t>
      </w:r>
      <w:r w:rsidR="00B63208">
        <w:rPr>
          <w:rFonts w:ascii="Arial" w:hAnsi="Arial" w:cs="Arial"/>
          <w:bCs/>
          <w:sz w:val="20"/>
          <w:lang w:val="bg-BG"/>
        </w:rPr>
        <w:t>, държавите-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членки ще трябва да посочат как възнамеряват да постигнат тези цели. По време на </w:t>
      </w:r>
      <w:r w:rsidR="00B63208">
        <w:rPr>
          <w:rFonts w:ascii="Arial" w:hAnsi="Arial" w:cs="Arial"/>
          <w:bCs/>
          <w:sz w:val="20"/>
          <w:lang w:val="bg-BG"/>
        </w:rPr>
        <w:t>събитието,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 </w:t>
      </w:r>
      <w:r w:rsidR="00B63208">
        <w:rPr>
          <w:rFonts w:ascii="Arial" w:hAnsi="Arial" w:cs="Arial"/>
          <w:bCs/>
          <w:sz w:val="20"/>
          <w:lang w:val="bg-BG"/>
        </w:rPr>
        <w:t xml:space="preserve">участниците представиха </w:t>
      </w:r>
      <w:r w:rsidR="002521C1" w:rsidRPr="00553CD4">
        <w:rPr>
          <w:rFonts w:ascii="Arial" w:hAnsi="Arial" w:cs="Arial"/>
          <w:bCs/>
          <w:sz w:val="20"/>
          <w:lang w:val="bg-BG"/>
        </w:rPr>
        <w:t>следните презентации</w:t>
      </w:r>
      <w:r w:rsidR="00B52D1A" w:rsidRPr="00B52D1A">
        <w:rPr>
          <w:rFonts w:ascii="Arial" w:hAnsi="Arial" w:cs="Arial"/>
          <w:bCs/>
          <w:sz w:val="20"/>
          <w:lang w:val="ru-RU"/>
        </w:rPr>
        <w:t xml:space="preserve"> </w:t>
      </w:r>
      <w:r w:rsidR="002521C1" w:rsidRPr="00553CD4">
        <w:rPr>
          <w:rFonts w:ascii="Arial" w:hAnsi="Arial" w:cs="Arial"/>
          <w:bCs/>
          <w:sz w:val="20"/>
          <w:lang w:val="bg-BG"/>
        </w:rPr>
        <w:t>“Настоя</w:t>
      </w:r>
      <w:r w:rsidR="00B63208">
        <w:rPr>
          <w:rFonts w:ascii="Arial" w:hAnsi="Arial" w:cs="Arial"/>
          <w:bCs/>
          <w:sz w:val="20"/>
          <w:lang w:val="bg-BG"/>
        </w:rPr>
        <w:t>щата ПРСР и научените уроци” (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Кшиштоф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 xml:space="preserve"> 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Сулима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 xml:space="preserve">, </w:t>
      </w:r>
      <w:r w:rsidR="00B63208">
        <w:rPr>
          <w:rFonts w:ascii="Arial" w:hAnsi="Arial" w:cs="Arial"/>
          <w:bCs/>
          <w:sz w:val="20"/>
          <w:lang w:val="bg-BG"/>
        </w:rPr>
        <w:t xml:space="preserve">ГД </w:t>
      </w:r>
      <w:r w:rsidR="002521C1" w:rsidRPr="00553CD4">
        <w:rPr>
          <w:rFonts w:ascii="Arial" w:hAnsi="Arial" w:cs="Arial"/>
          <w:bCs/>
          <w:sz w:val="20"/>
          <w:lang w:val="bg-BG"/>
        </w:rPr>
        <w:t>АГРИ</w:t>
      </w:r>
      <w:r w:rsidR="00B63208">
        <w:rPr>
          <w:rFonts w:ascii="Arial" w:hAnsi="Arial" w:cs="Arial"/>
          <w:bCs/>
          <w:sz w:val="20"/>
          <w:lang w:val="bg-BG"/>
        </w:rPr>
        <w:t xml:space="preserve">), </w:t>
      </w:r>
      <w:r w:rsidR="002521C1" w:rsidRPr="00553CD4">
        <w:rPr>
          <w:rFonts w:ascii="Arial" w:hAnsi="Arial" w:cs="Arial"/>
          <w:bCs/>
          <w:sz w:val="20"/>
          <w:lang w:val="bg-BG"/>
        </w:rPr>
        <w:t>„Настоящата ПРСР и извлечени поуки за</w:t>
      </w:r>
      <w:r w:rsidR="00B63208">
        <w:rPr>
          <w:rFonts w:ascii="Arial" w:hAnsi="Arial" w:cs="Arial"/>
          <w:bCs/>
          <w:sz w:val="20"/>
          <w:lang w:val="bg-BG"/>
        </w:rPr>
        <w:t xml:space="preserve"> следващия период в Австрия” (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Андреа 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Обвегер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>, Федерално министерство по устойчивост и туризъм, Австрия</w:t>
      </w:r>
      <w:r w:rsidR="00B63208">
        <w:rPr>
          <w:rFonts w:ascii="Arial" w:hAnsi="Arial" w:cs="Arial"/>
          <w:bCs/>
          <w:sz w:val="20"/>
          <w:lang w:val="bg-BG"/>
        </w:rPr>
        <w:t>), „</w:t>
      </w:r>
      <w:r w:rsidR="002521C1" w:rsidRPr="00553CD4">
        <w:rPr>
          <w:rFonts w:ascii="Arial" w:hAnsi="Arial" w:cs="Arial"/>
          <w:bCs/>
          <w:sz w:val="20"/>
          <w:lang w:val="bg-BG"/>
        </w:rPr>
        <w:t>Екологични изисквания, произтича</w:t>
      </w:r>
      <w:r w:rsidR="00B63208">
        <w:rPr>
          <w:rFonts w:ascii="Arial" w:hAnsi="Arial" w:cs="Arial"/>
          <w:bCs/>
          <w:sz w:val="20"/>
          <w:lang w:val="bg-BG"/>
        </w:rPr>
        <w:t>щи от законодателството на ЕС” (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Андреас 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Гумберт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 xml:space="preserve">, </w:t>
      </w:r>
      <w:r w:rsidR="00B63208">
        <w:rPr>
          <w:rFonts w:ascii="Arial" w:hAnsi="Arial" w:cs="Arial"/>
          <w:bCs/>
          <w:sz w:val="20"/>
          <w:lang w:val="bg-BG"/>
        </w:rPr>
        <w:t>ГД „Околна среда</w:t>
      </w:r>
      <w:r w:rsidR="00B63208" w:rsidRPr="00B52D1A">
        <w:rPr>
          <w:rFonts w:ascii="Arial" w:hAnsi="Arial" w:cs="Arial"/>
          <w:bCs/>
          <w:sz w:val="20"/>
          <w:lang w:val="ru-RU"/>
        </w:rPr>
        <w:t>”</w:t>
      </w:r>
      <w:r w:rsidR="00B63208">
        <w:rPr>
          <w:rFonts w:ascii="Arial" w:hAnsi="Arial" w:cs="Arial"/>
          <w:bCs/>
          <w:sz w:val="20"/>
          <w:lang w:val="bg-BG"/>
        </w:rPr>
        <w:t xml:space="preserve">), </w:t>
      </w:r>
      <w:r w:rsidR="002521C1" w:rsidRPr="00553CD4">
        <w:rPr>
          <w:rFonts w:ascii="Arial" w:hAnsi="Arial" w:cs="Arial"/>
          <w:bCs/>
          <w:sz w:val="20"/>
          <w:lang w:val="bg-BG"/>
        </w:rPr>
        <w:t>„Стратегически планове и „новата зел</w:t>
      </w:r>
      <w:r w:rsidR="00B63208">
        <w:rPr>
          <w:rFonts w:ascii="Arial" w:hAnsi="Arial" w:cs="Arial"/>
          <w:bCs/>
          <w:sz w:val="20"/>
          <w:lang w:val="bg-BG"/>
        </w:rPr>
        <w:t xml:space="preserve">ена архитектура“ (Майк </w:t>
      </w:r>
      <w:proofErr w:type="spellStart"/>
      <w:r w:rsidR="00B63208">
        <w:rPr>
          <w:rFonts w:ascii="Arial" w:hAnsi="Arial" w:cs="Arial"/>
          <w:bCs/>
          <w:sz w:val="20"/>
          <w:lang w:val="bg-BG"/>
        </w:rPr>
        <w:t>Макензим</w:t>
      </w:r>
      <w:proofErr w:type="spellEnd"/>
      <w:r w:rsidR="00B63208">
        <w:rPr>
          <w:rFonts w:ascii="Arial" w:hAnsi="Arial" w:cs="Arial"/>
          <w:bCs/>
          <w:sz w:val="20"/>
          <w:lang w:val="bg-BG"/>
        </w:rPr>
        <w:t xml:space="preserve"> ГД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 АГРИ</w:t>
      </w:r>
      <w:r w:rsidR="00B63208">
        <w:rPr>
          <w:rFonts w:ascii="Arial" w:hAnsi="Arial" w:cs="Arial"/>
          <w:bCs/>
          <w:sz w:val="20"/>
          <w:lang w:val="bg-BG"/>
        </w:rPr>
        <w:t xml:space="preserve">), 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„Интервенции в бъдещата ОСП </w:t>
      </w:r>
      <w:r w:rsidR="00B63208">
        <w:rPr>
          <w:rFonts w:ascii="Arial" w:hAnsi="Arial" w:cs="Arial"/>
          <w:bCs/>
          <w:sz w:val="20"/>
          <w:lang w:val="bg-BG"/>
        </w:rPr>
        <w:t>в областта на околната среда“ (</w:t>
      </w:r>
      <w:r w:rsidR="002521C1" w:rsidRPr="00553CD4">
        <w:rPr>
          <w:rFonts w:ascii="Arial" w:hAnsi="Arial" w:cs="Arial"/>
          <w:bCs/>
          <w:sz w:val="20"/>
          <w:lang w:val="bg-BG"/>
        </w:rPr>
        <w:t xml:space="preserve">Валентин 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Оферман</w:t>
      </w:r>
      <w:proofErr w:type="spellEnd"/>
      <w:r w:rsidR="002521C1" w:rsidRPr="00553CD4">
        <w:rPr>
          <w:rFonts w:ascii="Arial" w:hAnsi="Arial" w:cs="Arial"/>
          <w:bCs/>
          <w:sz w:val="20"/>
          <w:lang w:val="bg-BG"/>
        </w:rPr>
        <w:t xml:space="preserve"> и Андреас </w:t>
      </w:r>
      <w:proofErr w:type="spellStart"/>
      <w:r w:rsidR="002521C1" w:rsidRPr="00553CD4">
        <w:rPr>
          <w:rFonts w:ascii="Arial" w:hAnsi="Arial" w:cs="Arial"/>
          <w:bCs/>
          <w:sz w:val="20"/>
          <w:lang w:val="bg-BG"/>
        </w:rPr>
        <w:t>Гумберт</w:t>
      </w:r>
      <w:proofErr w:type="spellEnd"/>
      <w:r w:rsidR="00B63208">
        <w:rPr>
          <w:rFonts w:ascii="Arial" w:hAnsi="Arial" w:cs="Arial"/>
          <w:bCs/>
          <w:sz w:val="20"/>
          <w:lang w:val="bg-BG"/>
        </w:rPr>
        <w:t>, ГД</w:t>
      </w:r>
      <w:r w:rsidR="00B63208" w:rsidRPr="00553CD4">
        <w:rPr>
          <w:rFonts w:ascii="Arial" w:hAnsi="Arial" w:cs="Arial"/>
          <w:bCs/>
          <w:sz w:val="20"/>
          <w:lang w:val="bg-BG"/>
        </w:rPr>
        <w:t xml:space="preserve"> АГРИ</w:t>
      </w:r>
      <w:r w:rsidR="00B63208">
        <w:rPr>
          <w:rFonts w:ascii="Arial" w:hAnsi="Arial" w:cs="Arial"/>
          <w:bCs/>
          <w:sz w:val="20"/>
          <w:lang w:val="bg-BG"/>
        </w:rPr>
        <w:t xml:space="preserve">), </w:t>
      </w:r>
      <w:r w:rsidR="002521C1" w:rsidRPr="00553CD4">
        <w:rPr>
          <w:rFonts w:ascii="Arial" w:hAnsi="Arial" w:cs="Arial"/>
          <w:bCs/>
          <w:sz w:val="20"/>
          <w:lang w:val="bg-BG"/>
        </w:rPr>
        <w:t>„Перспекти</w:t>
      </w:r>
      <w:r w:rsidR="00B63208">
        <w:rPr>
          <w:rFonts w:ascii="Arial" w:hAnsi="Arial" w:cs="Arial"/>
          <w:bCs/>
          <w:sz w:val="20"/>
          <w:lang w:val="bg-BG"/>
        </w:rPr>
        <w:t xml:space="preserve">ви пред земеделския стопанин“ (Робърт </w:t>
      </w:r>
      <w:proofErr w:type="spellStart"/>
      <w:r w:rsidR="00B63208">
        <w:rPr>
          <w:rFonts w:ascii="Arial" w:hAnsi="Arial" w:cs="Arial"/>
          <w:bCs/>
          <w:sz w:val="20"/>
          <w:lang w:val="bg-BG"/>
        </w:rPr>
        <w:t>Хаджич</w:t>
      </w:r>
      <w:proofErr w:type="spellEnd"/>
      <w:r w:rsidR="00B63208">
        <w:rPr>
          <w:rFonts w:ascii="Arial" w:hAnsi="Arial" w:cs="Arial"/>
          <w:bCs/>
          <w:sz w:val="20"/>
          <w:lang w:val="bg-BG"/>
        </w:rPr>
        <w:t>, Хърватия).</w:t>
      </w:r>
    </w:p>
    <w:sectPr w:rsidR="00C37B23" w:rsidRPr="00B52D1A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8A" w:rsidRDefault="0064068A">
      <w:r>
        <w:separator/>
      </w:r>
    </w:p>
  </w:endnote>
  <w:endnote w:type="continuationSeparator" w:id="0">
    <w:p w:rsidR="0064068A" w:rsidRDefault="006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406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4068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B52D1A">
      <w:rPr>
        <w:rFonts w:ascii="Arial" w:hAnsi="Arial"/>
        <w:i/>
        <w:iCs/>
        <w:noProof/>
        <w:color w:val="800080"/>
        <w:sz w:val="18"/>
        <w:szCs w:val="18"/>
        <w:lang w:val="bg-BG"/>
      </w:rPr>
      <w:t>3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64068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8A" w:rsidRDefault="0064068A">
      <w:r>
        <w:separator/>
      </w:r>
    </w:p>
  </w:footnote>
  <w:footnote w:type="continuationSeparator" w:id="0">
    <w:p w:rsidR="0064068A" w:rsidRDefault="0064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072ADBB6" wp14:editId="123B8407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4068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4068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750FB4">
      <w:rPr>
        <w:rFonts w:ascii="Arial" w:hAnsi="Arial"/>
        <w:b/>
        <w:bCs/>
        <w:color w:val="800080"/>
        <w:sz w:val="20"/>
        <w:lang w:val="en-US"/>
      </w:rPr>
      <w:t>94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F0360F">
      <w:rPr>
        <w:rFonts w:ascii="Arial" w:hAnsi="Arial"/>
        <w:b/>
        <w:bCs/>
        <w:color w:val="800080"/>
        <w:sz w:val="20"/>
        <w:lang w:val="en-US"/>
      </w:rPr>
      <w:t>11</w:t>
    </w:r>
    <w:r w:rsidR="00750FB4">
      <w:rPr>
        <w:rFonts w:ascii="Arial" w:hAnsi="Arial"/>
        <w:b/>
        <w:bCs/>
        <w:color w:val="800080"/>
        <w:sz w:val="20"/>
        <w:lang w:val="en-US"/>
      </w:rPr>
      <w:t>.11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34137"/>
    <w:rsid w:val="00046D50"/>
    <w:rsid w:val="00081DAE"/>
    <w:rsid w:val="00091CD4"/>
    <w:rsid w:val="000A31F0"/>
    <w:rsid w:val="000B2026"/>
    <w:rsid w:val="000C0A53"/>
    <w:rsid w:val="000E2CC4"/>
    <w:rsid w:val="0010444B"/>
    <w:rsid w:val="00131A6D"/>
    <w:rsid w:val="00134872"/>
    <w:rsid w:val="0013606E"/>
    <w:rsid w:val="0014608C"/>
    <w:rsid w:val="001639CC"/>
    <w:rsid w:val="00170F6D"/>
    <w:rsid w:val="00173E25"/>
    <w:rsid w:val="00180441"/>
    <w:rsid w:val="00186654"/>
    <w:rsid w:val="001E1EAA"/>
    <w:rsid w:val="001E4C01"/>
    <w:rsid w:val="001F2EC7"/>
    <w:rsid w:val="002118F6"/>
    <w:rsid w:val="00221CDF"/>
    <w:rsid w:val="002521C1"/>
    <w:rsid w:val="002610A9"/>
    <w:rsid w:val="00274F4E"/>
    <w:rsid w:val="0028288E"/>
    <w:rsid w:val="00285183"/>
    <w:rsid w:val="0029220D"/>
    <w:rsid w:val="002A5150"/>
    <w:rsid w:val="002A6A4C"/>
    <w:rsid w:val="002B44DA"/>
    <w:rsid w:val="002D25F9"/>
    <w:rsid w:val="002D4287"/>
    <w:rsid w:val="002E265A"/>
    <w:rsid w:val="002F1104"/>
    <w:rsid w:val="002F1C94"/>
    <w:rsid w:val="002F6211"/>
    <w:rsid w:val="00300FA3"/>
    <w:rsid w:val="00304D05"/>
    <w:rsid w:val="00313FBA"/>
    <w:rsid w:val="00320AF0"/>
    <w:rsid w:val="0032344C"/>
    <w:rsid w:val="00326AC5"/>
    <w:rsid w:val="00353ACF"/>
    <w:rsid w:val="00385488"/>
    <w:rsid w:val="00386FEA"/>
    <w:rsid w:val="003877CA"/>
    <w:rsid w:val="003952CE"/>
    <w:rsid w:val="003A56BA"/>
    <w:rsid w:val="003B7AAB"/>
    <w:rsid w:val="003C0E47"/>
    <w:rsid w:val="003C1BFF"/>
    <w:rsid w:val="003D0C6C"/>
    <w:rsid w:val="003E118D"/>
    <w:rsid w:val="003E5CB2"/>
    <w:rsid w:val="00403CB9"/>
    <w:rsid w:val="004133A8"/>
    <w:rsid w:val="00422311"/>
    <w:rsid w:val="0044148C"/>
    <w:rsid w:val="00446398"/>
    <w:rsid w:val="004469BA"/>
    <w:rsid w:val="004923C1"/>
    <w:rsid w:val="004A41B2"/>
    <w:rsid w:val="004F597F"/>
    <w:rsid w:val="00502A0A"/>
    <w:rsid w:val="005247A5"/>
    <w:rsid w:val="00537A32"/>
    <w:rsid w:val="0054116F"/>
    <w:rsid w:val="00553CD4"/>
    <w:rsid w:val="00563064"/>
    <w:rsid w:val="005A0184"/>
    <w:rsid w:val="005B4574"/>
    <w:rsid w:val="005C1BB7"/>
    <w:rsid w:val="005E760C"/>
    <w:rsid w:val="006367A9"/>
    <w:rsid w:val="0064068A"/>
    <w:rsid w:val="00682667"/>
    <w:rsid w:val="00691254"/>
    <w:rsid w:val="006961F0"/>
    <w:rsid w:val="006A094F"/>
    <w:rsid w:val="006A739D"/>
    <w:rsid w:val="00705B40"/>
    <w:rsid w:val="00714538"/>
    <w:rsid w:val="00734448"/>
    <w:rsid w:val="00750FB4"/>
    <w:rsid w:val="007846E5"/>
    <w:rsid w:val="007847C2"/>
    <w:rsid w:val="00792A06"/>
    <w:rsid w:val="007A388B"/>
    <w:rsid w:val="007A70E6"/>
    <w:rsid w:val="007B03F2"/>
    <w:rsid w:val="007C27B0"/>
    <w:rsid w:val="007D7438"/>
    <w:rsid w:val="007F4E89"/>
    <w:rsid w:val="008030C3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36F2"/>
    <w:rsid w:val="008E0F81"/>
    <w:rsid w:val="008F13A2"/>
    <w:rsid w:val="008F202E"/>
    <w:rsid w:val="008F7ECC"/>
    <w:rsid w:val="00910462"/>
    <w:rsid w:val="00934FA6"/>
    <w:rsid w:val="009355BA"/>
    <w:rsid w:val="009704A2"/>
    <w:rsid w:val="0099695D"/>
    <w:rsid w:val="009A5D09"/>
    <w:rsid w:val="009D0924"/>
    <w:rsid w:val="009D6F1E"/>
    <w:rsid w:val="009F01BD"/>
    <w:rsid w:val="009F4E95"/>
    <w:rsid w:val="009F7022"/>
    <w:rsid w:val="00A1170C"/>
    <w:rsid w:val="00A443A5"/>
    <w:rsid w:val="00A447C0"/>
    <w:rsid w:val="00A56825"/>
    <w:rsid w:val="00A673EB"/>
    <w:rsid w:val="00A847D8"/>
    <w:rsid w:val="00AB1841"/>
    <w:rsid w:val="00AC73DE"/>
    <w:rsid w:val="00AD7DFB"/>
    <w:rsid w:val="00AE14FF"/>
    <w:rsid w:val="00AE2FF4"/>
    <w:rsid w:val="00B16835"/>
    <w:rsid w:val="00B34793"/>
    <w:rsid w:val="00B52D1A"/>
    <w:rsid w:val="00B63208"/>
    <w:rsid w:val="00B64F87"/>
    <w:rsid w:val="00B73DA3"/>
    <w:rsid w:val="00B8112B"/>
    <w:rsid w:val="00B853D4"/>
    <w:rsid w:val="00B90317"/>
    <w:rsid w:val="00B93F21"/>
    <w:rsid w:val="00BC70E2"/>
    <w:rsid w:val="00BE55CA"/>
    <w:rsid w:val="00BF118B"/>
    <w:rsid w:val="00BF28EC"/>
    <w:rsid w:val="00C00F88"/>
    <w:rsid w:val="00C1047F"/>
    <w:rsid w:val="00C20809"/>
    <w:rsid w:val="00C3643A"/>
    <w:rsid w:val="00C37B23"/>
    <w:rsid w:val="00C448C3"/>
    <w:rsid w:val="00C60D17"/>
    <w:rsid w:val="00C6312D"/>
    <w:rsid w:val="00C718EB"/>
    <w:rsid w:val="00C8441F"/>
    <w:rsid w:val="00CA35A8"/>
    <w:rsid w:val="00CB196D"/>
    <w:rsid w:val="00CE5E69"/>
    <w:rsid w:val="00D067CD"/>
    <w:rsid w:val="00D1195A"/>
    <w:rsid w:val="00D167B1"/>
    <w:rsid w:val="00D25BDB"/>
    <w:rsid w:val="00D3159B"/>
    <w:rsid w:val="00D32B06"/>
    <w:rsid w:val="00D43BBD"/>
    <w:rsid w:val="00D61B59"/>
    <w:rsid w:val="00D636B3"/>
    <w:rsid w:val="00D80D84"/>
    <w:rsid w:val="00D8519B"/>
    <w:rsid w:val="00DA4860"/>
    <w:rsid w:val="00DB45A8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99A"/>
    <w:rsid w:val="00E946D5"/>
    <w:rsid w:val="00EA4B29"/>
    <w:rsid w:val="00EA4B99"/>
    <w:rsid w:val="00EB0F17"/>
    <w:rsid w:val="00EB783C"/>
    <w:rsid w:val="00EC0DDC"/>
    <w:rsid w:val="00EE38E7"/>
    <w:rsid w:val="00EE7B1B"/>
    <w:rsid w:val="00F0360F"/>
    <w:rsid w:val="00F23EFD"/>
    <w:rsid w:val="00F4416D"/>
    <w:rsid w:val="00F46E54"/>
    <w:rsid w:val="00F531AD"/>
    <w:rsid w:val="00F57BD8"/>
    <w:rsid w:val="00F841D4"/>
    <w:rsid w:val="00FD4196"/>
    <w:rsid w:val="00FE14C1"/>
    <w:rsid w:val="00FF344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ood-farming-fisheries/farming/facts-and-figures/markets/overviews/market-observatories/wine_e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transparency/regdoc/rep/1/2019/EN/COM-2019-581-F1-EN-MAIN-PART-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Preslav E. Petkov</cp:lastModifiedBy>
  <cp:revision>37</cp:revision>
  <dcterms:created xsi:type="dcterms:W3CDTF">2019-11-11T13:06:00Z</dcterms:created>
  <dcterms:modified xsi:type="dcterms:W3CDTF">2019-11-11T15:27:00Z</dcterms:modified>
</cp:coreProperties>
</file>