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7B13AF" w:rsidTr="00DF42CC">
        <w:tc>
          <w:tcPr>
            <w:tcW w:w="9923" w:type="dxa"/>
            <w:shd w:val="clear" w:color="auto" w:fill="C0C0C0"/>
          </w:tcPr>
          <w:p w:rsidR="00403CB9" w:rsidRPr="007B13AF" w:rsidRDefault="00403CB9" w:rsidP="00DF42CC">
            <w:pPr>
              <w:jc w:val="both"/>
              <w:rPr>
                <w:rFonts w:ascii="Arial" w:hAnsi="Arial" w:cs="Arial"/>
                <w:i/>
                <w:sz w:val="20"/>
                <w:lang w:val="bg-BG"/>
              </w:rPr>
            </w:pPr>
            <w:r w:rsidRPr="007B13AF">
              <w:rPr>
                <w:rFonts w:ascii="Arial" w:hAnsi="Arial" w:cs="Arial"/>
                <w:i/>
                <w:sz w:val="20"/>
                <w:lang w:val="bg-BG"/>
              </w:rPr>
              <w:t>Директни плащания</w:t>
            </w:r>
          </w:p>
        </w:tc>
      </w:tr>
    </w:tbl>
    <w:p w:rsidR="00403CB9" w:rsidRPr="007B13AF" w:rsidRDefault="00403CB9" w:rsidP="00403CB9">
      <w:pPr>
        <w:jc w:val="both"/>
        <w:rPr>
          <w:rStyle w:val="longtext"/>
          <w:rFonts w:ascii="Arial" w:hAnsi="Arial" w:cs="Arial"/>
          <w:b/>
          <w:sz w:val="20"/>
          <w:lang w:val="bg-BG"/>
        </w:rPr>
      </w:pPr>
    </w:p>
    <w:p w:rsidR="006961F0" w:rsidRPr="007B13AF" w:rsidRDefault="009704A2" w:rsidP="006961F0">
      <w:pPr>
        <w:tabs>
          <w:tab w:val="left" w:pos="4177"/>
        </w:tabs>
        <w:jc w:val="both"/>
        <w:rPr>
          <w:rFonts w:ascii="Arial" w:hAnsi="Arial" w:cs="Arial"/>
          <w:sz w:val="20"/>
          <w:lang w:val="bg-BG"/>
        </w:rPr>
      </w:pPr>
      <w:r w:rsidRPr="007B13AF">
        <w:rPr>
          <w:rFonts w:ascii="Arial" w:hAnsi="Arial" w:cs="Arial"/>
          <w:b/>
          <w:color w:val="000000"/>
          <w:sz w:val="20"/>
          <w:lang w:val="bg-BG"/>
        </w:rPr>
        <w:t>1</w:t>
      </w:r>
      <w:r w:rsidRPr="007B13AF">
        <w:rPr>
          <w:rFonts w:ascii="Arial" w:hAnsi="Arial" w:cs="Arial"/>
          <w:color w:val="000000"/>
          <w:sz w:val="20"/>
          <w:lang w:val="bg-BG"/>
        </w:rPr>
        <w:t>.</w:t>
      </w:r>
      <w:r w:rsidR="006367A9" w:rsidRPr="007B13AF">
        <w:rPr>
          <w:rFonts w:ascii="Arial" w:hAnsi="Arial" w:cs="Arial"/>
          <w:color w:val="666666"/>
          <w:sz w:val="20"/>
          <w:lang w:val="bg-BG"/>
        </w:rPr>
        <w:t xml:space="preserve"> </w:t>
      </w:r>
      <w:r w:rsidR="006961F0" w:rsidRPr="007B13AF">
        <w:rPr>
          <w:rFonts w:ascii="Arial" w:hAnsi="Arial" w:cs="Arial"/>
          <w:b/>
          <w:sz w:val="20"/>
          <w:lang w:val="bg-BG"/>
        </w:rPr>
        <w:t xml:space="preserve">Над 19 млн. лева по първи транш получиха 4 461 животновъди, заявили Схемата за преходна национална помощ за говеда, необвързана с производството (ПНДЖ1) за Кампания 2019. </w:t>
      </w:r>
      <w:r w:rsidR="006961F0" w:rsidRPr="007B13AF">
        <w:rPr>
          <w:rFonts w:ascii="Arial" w:hAnsi="Arial" w:cs="Arial"/>
          <w:sz w:val="20"/>
          <w:lang w:val="bg-BG"/>
        </w:rPr>
        <w:t>Право на подпомагане по тази схема имат земеделски стопани, които са отглеждали 10 или повече говеда и/или 10 или повече биволи, регистрирани към 28 февруари 2009 г. и към последния ден за подаване на заявленията за подпомагане от текущата кампания отглеждат в стопанствата си поне 70% от референтния брой животни. Преходна национална помощ се отпуска само за секторите, за които са предоставяни национални доплащания през 2013 г. като максималният бюджет представлява намаляваща функция от одобрения от ЕК бюджет за схемите за национални доплащания за 2013-та.</w:t>
      </w:r>
    </w:p>
    <w:p w:rsidR="000F794B" w:rsidRPr="007B13AF" w:rsidRDefault="000F794B" w:rsidP="006961F0">
      <w:pPr>
        <w:tabs>
          <w:tab w:val="left" w:pos="4177"/>
        </w:tabs>
        <w:jc w:val="both"/>
        <w:rPr>
          <w:rFonts w:ascii="Arial" w:hAnsi="Arial" w:cs="Arial"/>
          <w:sz w:val="20"/>
          <w:lang w:val="bg-BG"/>
        </w:rPr>
      </w:pPr>
    </w:p>
    <w:p w:rsidR="000F794B" w:rsidRPr="007B13AF" w:rsidRDefault="000F794B" w:rsidP="000F794B">
      <w:pPr>
        <w:shd w:val="clear" w:color="auto" w:fill="BFBFBF" w:themeFill="background1" w:themeFillShade="BF"/>
        <w:jc w:val="both"/>
        <w:rPr>
          <w:rFonts w:ascii="Arial" w:hAnsi="Arial" w:cs="Arial"/>
          <w:i/>
          <w:sz w:val="20"/>
          <w:lang w:val="bg-BG"/>
        </w:rPr>
      </w:pPr>
      <w:r w:rsidRPr="007B13AF">
        <w:rPr>
          <w:rFonts w:ascii="Arial" w:hAnsi="Arial" w:cs="Arial"/>
          <w:i/>
          <w:sz w:val="20"/>
          <w:lang w:val="bg-BG"/>
        </w:rPr>
        <w:t>Пазарна подкрепа</w:t>
      </w:r>
    </w:p>
    <w:p w:rsidR="00403CB9" w:rsidRPr="007B13AF" w:rsidRDefault="00403CB9" w:rsidP="00403CB9">
      <w:pPr>
        <w:autoSpaceDE w:val="0"/>
        <w:autoSpaceDN w:val="0"/>
        <w:adjustRightInd w:val="0"/>
        <w:jc w:val="both"/>
        <w:rPr>
          <w:rFonts w:ascii="Arial" w:hAnsi="Arial" w:cs="Arial"/>
          <w:color w:val="666666"/>
          <w:sz w:val="20"/>
          <w:lang w:val="bg-BG" w:eastAsia="bg-BG"/>
        </w:rPr>
      </w:pPr>
    </w:p>
    <w:p w:rsidR="000F794B" w:rsidRPr="007B13AF" w:rsidRDefault="007B13AF" w:rsidP="00403CB9">
      <w:pPr>
        <w:autoSpaceDE w:val="0"/>
        <w:autoSpaceDN w:val="0"/>
        <w:adjustRightInd w:val="0"/>
        <w:jc w:val="both"/>
        <w:rPr>
          <w:rFonts w:ascii="Arial" w:hAnsi="Arial" w:cs="Arial"/>
          <w:sz w:val="20"/>
          <w:lang w:val="bg-BG"/>
        </w:rPr>
      </w:pPr>
      <w:r w:rsidRPr="007B13AF">
        <w:rPr>
          <w:rFonts w:ascii="Arial" w:hAnsi="Arial" w:cs="Arial"/>
          <w:b/>
          <w:sz w:val="20"/>
          <w:lang w:val="bg-BG"/>
        </w:rPr>
        <w:t xml:space="preserve">2. </w:t>
      </w:r>
      <w:r w:rsidR="000F794B" w:rsidRPr="007B13AF">
        <w:rPr>
          <w:rFonts w:ascii="Arial" w:hAnsi="Arial" w:cs="Arial"/>
          <w:b/>
          <w:sz w:val="20"/>
          <w:lang w:val="bg-BG"/>
        </w:rPr>
        <w:t>На 18 октомври Европейската комисия (DG AGRI) стартира новата обсерватория на пазара на плодове и зеленчуци в ЕС</w:t>
      </w:r>
      <w:r w:rsidR="000F794B" w:rsidRPr="007B13AF">
        <w:rPr>
          <w:rFonts w:ascii="Arial" w:hAnsi="Arial" w:cs="Arial"/>
          <w:sz w:val="20"/>
          <w:lang w:val="bg-BG"/>
        </w:rPr>
        <w:t xml:space="preserve">. Целта на обсерваторията е да осигури по-голяма прозрачност чрез своевременно разпространение на пазарни данни и анализ на сектора на плодовете и зеленчуците, който обхваща 24% от стойността на селскостопанската продукция на ЕС. Обсерваторията ще се съсредоточи върху ябълки и круши, цитрусови плодове, костилкови плодове (праскови и </w:t>
      </w:r>
      <w:proofErr w:type="spellStart"/>
      <w:r w:rsidR="000F794B" w:rsidRPr="007B13AF">
        <w:rPr>
          <w:rFonts w:ascii="Arial" w:hAnsi="Arial" w:cs="Arial"/>
          <w:sz w:val="20"/>
          <w:lang w:val="bg-BG"/>
        </w:rPr>
        <w:t>нектарини</w:t>
      </w:r>
      <w:proofErr w:type="spellEnd"/>
      <w:r w:rsidR="000F794B" w:rsidRPr="007B13AF">
        <w:rPr>
          <w:rFonts w:ascii="Arial" w:hAnsi="Arial" w:cs="Arial"/>
          <w:sz w:val="20"/>
          <w:lang w:val="bg-BG"/>
        </w:rPr>
        <w:t xml:space="preserve">) и домати. Представените таблици и графики ще бъдат актуализирани своевременно с данни за цени, производство и търговия, допълвани с пазарни анализи, краткосрочни прогнозни доклади, средносрочни перспективи и редовни експертни заседания за обсъждане на развиващата се ситуация на пазара. Новата платформа последва създаването на обсерватории за зърнени култури, захар, месо и мляко, а обсерваторията за пазара на вино ще бъде пусната на 4 ноември т.г. Комисията проектира тези обсерватории, за да осигури по-голяма прозрачност и да подпомогне европейския селскостопански сектор да се справя по-ефективно с нестабилността на пазара. На Съвета по земеделие в Люксембург еврокомисарят по земеделие и развитие на селските райони </w:t>
      </w:r>
      <w:proofErr w:type="spellStart"/>
      <w:r w:rsidR="000F794B" w:rsidRPr="007B13AF">
        <w:rPr>
          <w:rFonts w:ascii="Arial" w:hAnsi="Arial" w:cs="Arial"/>
          <w:sz w:val="20"/>
          <w:lang w:val="bg-BG"/>
        </w:rPr>
        <w:t>Фил</w:t>
      </w:r>
      <w:proofErr w:type="spellEnd"/>
      <w:r w:rsidR="000F794B" w:rsidRPr="007B13AF">
        <w:rPr>
          <w:rFonts w:ascii="Arial" w:hAnsi="Arial" w:cs="Arial"/>
          <w:sz w:val="20"/>
          <w:lang w:val="bg-BG"/>
        </w:rPr>
        <w:t xml:space="preserve"> </w:t>
      </w:r>
      <w:proofErr w:type="spellStart"/>
      <w:r w:rsidR="000F794B" w:rsidRPr="007B13AF">
        <w:rPr>
          <w:rFonts w:ascii="Arial" w:hAnsi="Arial" w:cs="Arial"/>
          <w:sz w:val="20"/>
          <w:lang w:val="bg-BG"/>
        </w:rPr>
        <w:t>Хоган</w:t>
      </w:r>
      <w:proofErr w:type="spellEnd"/>
      <w:r w:rsidR="000F794B" w:rsidRPr="007B13AF">
        <w:rPr>
          <w:rFonts w:ascii="Arial" w:hAnsi="Arial" w:cs="Arial"/>
          <w:sz w:val="20"/>
          <w:lang w:val="bg-BG"/>
        </w:rPr>
        <w:t xml:space="preserve"> заяви, че настоящият сезон в ЕС е започнал с по-добри перспективи след трудната пазарна ситуация за цитрусови плодове, ябълки и круши през последния сезон. Той подчерта, че слабата реколта на тези продукти е довела до значително възстановяване на цените в началото на сезона в основните държави производители. Обсерваторията за плодове и зеленчуци  може да се разгледа на адрес: </w:t>
      </w:r>
      <w:hyperlink r:id="rId8" w:history="1">
        <w:r w:rsidR="000F794B" w:rsidRPr="007B13AF">
          <w:rPr>
            <w:rFonts w:ascii="Arial" w:hAnsi="Arial" w:cs="Arial"/>
            <w:sz w:val="20"/>
            <w:lang w:val="bg-BG"/>
          </w:rPr>
          <w:t>https://ec.europa.eu/info/food-farming-fisheries/farming/facts-and-figures/markets/overviews/market-observatories_en</w:t>
        </w:r>
      </w:hyperlink>
      <w:r w:rsidR="000F794B" w:rsidRPr="007B13AF">
        <w:rPr>
          <w:rFonts w:ascii="Arial" w:hAnsi="Arial" w:cs="Arial"/>
          <w:sz w:val="20"/>
          <w:lang w:val="bg-BG"/>
        </w:rPr>
        <w:t>.</w:t>
      </w:r>
    </w:p>
    <w:p w:rsidR="000F794B" w:rsidRPr="007B13AF" w:rsidRDefault="000F794B" w:rsidP="00403CB9">
      <w:pPr>
        <w:autoSpaceDE w:val="0"/>
        <w:autoSpaceDN w:val="0"/>
        <w:adjustRightInd w:val="0"/>
        <w:jc w:val="both"/>
        <w:rPr>
          <w:rFonts w:ascii="Arial" w:hAnsi="Arial" w:cs="Arial"/>
          <w:color w:val="666666"/>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7B13AF" w:rsidTr="00DF42CC">
        <w:tc>
          <w:tcPr>
            <w:tcW w:w="9900" w:type="dxa"/>
            <w:shd w:val="clear" w:color="auto" w:fill="C0C0C0"/>
            <w:hideMark/>
          </w:tcPr>
          <w:p w:rsidR="00403CB9" w:rsidRPr="007B13AF" w:rsidRDefault="00403CB9" w:rsidP="00DF42CC">
            <w:pPr>
              <w:tabs>
                <w:tab w:val="left" w:pos="1020"/>
              </w:tabs>
              <w:autoSpaceDE w:val="0"/>
              <w:autoSpaceDN w:val="0"/>
              <w:adjustRightInd w:val="0"/>
              <w:jc w:val="both"/>
              <w:rPr>
                <w:rFonts w:ascii="Arial" w:hAnsi="Arial" w:cs="Arial"/>
                <w:i/>
                <w:iCs/>
                <w:sz w:val="20"/>
                <w:lang w:val="bg-BG"/>
              </w:rPr>
            </w:pPr>
            <w:r w:rsidRPr="007B13AF">
              <w:rPr>
                <w:rFonts w:ascii="Arial" w:hAnsi="Arial" w:cs="Arial"/>
                <w:i/>
                <w:sz w:val="20"/>
                <w:lang w:val="bg-BG"/>
              </w:rPr>
              <w:t>Визия за ОСП след 2020 г.</w:t>
            </w:r>
          </w:p>
        </w:tc>
        <w:tc>
          <w:tcPr>
            <w:tcW w:w="256" w:type="dxa"/>
          </w:tcPr>
          <w:p w:rsidR="00403CB9" w:rsidRPr="007B13AF" w:rsidRDefault="00403CB9" w:rsidP="00DF42CC">
            <w:pPr>
              <w:jc w:val="both"/>
              <w:rPr>
                <w:rFonts w:ascii="Arial" w:hAnsi="Arial" w:cs="Arial"/>
                <w:sz w:val="20"/>
                <w:lang w:val="bg-BG"/>
              </w:rPr>
            </w:pPr>
          </w:p>
        </w:tc>
      </w:tr>
    </w:tbl>
    <w:p w:rsidR="00B90317" w:rsidRPr="007B13AF" w:rsidRDefault="00B90317" w:rsidP="00C00F88">
      <w:pPr>
        <w:jc w:val="both"/>
        <w:rPr>
          <w:rFonts w:ascii="Arial" w:hAnsi="Arial" w:cs="Arial"/>
          <w:b/>
          <w:sz w:val="20"/>
          <w:lang w:val="bg-BG"/>
        </w:rPr>
      </w:pPr>
    </w:p>
    <w:p w:rsidR="00186654" w:rsidRPr="007B13AF" w:rsidRDefault="007B13AF" w:rsidP="00186654">
      <w:pPr>
        <w:jc w:val="both"/>
        <w:rPr>
          <w:rStyle w:val="tlid-translation"/>
          <w:rFonts w:ascii="Arial" w:hAnsi="Arial" w:cs="Arial"/>
          <w:sz w:val="20"/>
          <w:lang w:val="bg-BG"/>
        </w:rPr>
      </w:pPr>
      <w:r w:rsidRPr="007B13AF">
        <w:rPr>
          <w:rStyle w:val="tlid-translation"/>
          <w:rFonts w:ascii="Arial" w:hAnsi="Arial" w:cs="Arial"/>
          <w:b/>
          <w:sz w:val="20"/>
          <w:lang w:val="bg-BG"/>
        </w:rPr>
        <w:t>3</w:t>
      </w:r>
      <w:r w:rsidR="00186654" w:rsidRPr="007B13AF">
        <w:rPr>
          <w:rStyle w:val="tlid-translation"/>
          <w:rFonts w:ascii="Arial" w:hAnsi="Arial" w:cs="Arial"/>
          <w:b/>
          <w:sz w:val="20"/>
          <w:lang w:val="bg-BG"/>
        </w:rPr>
        <w:t>. Оценка</w:t>
      </w:r>
      <w:r w:rsidR="00602904" w:rsidRPr="007B13AF">
        <w:rPr>
          <w:rStyle w:val="tlid-translation"/>
          <w:rFonts w:ascii="Arial" w:hAnsi="Arial" w:cs="Arial"/>
          <w:b/>
          <w:sz w:val="20"/>
          <w:lang w:val="bg-BG"/>
        </w:rPr>
        <w:t xml:space="preserve"> на И</w:t>
      </w:r>
      <w:r w:rsidR="00186654" w:rsidRPr="007B13AF">
        <w:rPr>
          <w:rStyle w:val="tlid-translation"/>
          <w:rFonts w:ascii="Arial" w:hAnsi="Arial" w:cs="Arial"/>
          <w:b/>
          <w:sz w:val="20"/>
          <w:lang w:val="bg-BG"/>
        </w:rPr>
        <w:t>нтервенционната стратегия по ОСП – опит от прилагането през текущия период и перспективи през новия програмен период</w:t>
      </w:r>
      <w:r w:rsidR="00186654" w:rsidRPr="007B13AF">
        <w:rPr>
          <w:rStyle w:val="tlid-translation"/>
          <w:rFonts w:ascii="Arial" w:hAnsi="Arial" w:cs="Arial"/>
          <w:sz w:val="20"/>
          <w:lang w:val="bg-BG"/>
        </w:rPr>
        <w:t xml:space="preserve"> </w:t>
      </w:r>
      <w:r w:rsidR="00186654" w:rsidRPr="007B13AF">
        <w:rPr>
          <w:rStyle w:val="tlid-translation"/>
          <w:rFonts w:ascii="Arial" w:hAnsi="Arial" w:cs="Arial"/>
          <w:b/>
          <w:sz w:val="20"/>
          <w:lang w:val="bg-BG"/>
        </w:rPr>
        <w:t>беше фокусът на семинара, п</w:t>
      </w:r>
      <w:r w:rsidR="00602904" w:rsidRPr="007B13AF">
        <w:rPr>
          <w:rStyle w:val="tlid-translation"/>
          <w:rFonts w:ascii="Arial" w:hAnsi="Arial" w:cs="Arial"/>
          <w:b/>
          <w:sz w:val="20"/>
          <w:lang w:val="bg-BG"/>
        </w:rPr>
        <w:t>р</w:t>
      </w:r>
      <w:r w:rsidR="00186654" w:rsidRPr="007B13AF">
        <w:rPr>
          <w:rStyle w:val="tlid-translation"/>
          <w:rFonts w:ascii="Arial" w:hAnsi="Arial" w:cs="Arial"/>
          <w:b/>
          <w:sz w:val="20"/>
          <w:lang w:val="bg-BG"/>
        </w:rPr>
        <w:t xml:space="preserve">оведен в периода  </w:t>
      </w:r>
      <w:r w:rsidR="00186654" w:rsidRPr="007B13AF">
        <w:rPr>
          <w:rFonts w:ascii="Arial" w:hAnsi="Arial" w:cs="Arial"/>
          <w:b/>
          <w:sz w:val="20"/>
          <w:lang w:val="bg-BG"/>
        </w:rPr>
        <w:t>15-16 октомври 2019 г. в Рим, Италия,</w:t>
      </w:r>
      <w:r w:rsidR="00186654" w:rsidRPr="007B13AF">
        <w:rPr>
          <w:rFonts w:ascii="Arial" w:hAnsi="Arial" w:cs="Arial"/>
          <w:sz w:val="20"/>
          <w:lang w:val="bg-BG"/>
        </w:rPr>
        <w:t xml:space="preserve"> </w:t>
      </w:r>
      <w:r w:rsidR="00186654" w:rsidRPr="007B13AF">
        <w:rPr>
          <w:rStyle w:val="tlid-translation"/>
          <w:rFonts w:ascii="Arial" w:hAnsi="Arial" w:cs="Arial"/>
          <w:b/>
          <w:sz w:val="20"/>
          <w:lang w:val="bg-BG"/>
        </w:rPr>
        <w:t>организиран от Европейската селска мрежа</w:t>
      </w:r>
      <w:r w:rsidR="00186654" w:rsidRPr="007B13AF">
        <w:rPr>
          <w:rStyle w:val="tlid-translation"/>
          <w:rFonts w:ascii="Arial" w:hAnsi="Arial" w:cs="Arial"/>
          <w:sz w:val="20"/>
          <w:lang w:val="bg-BG"/>
        </w:rPr>
        <w:t xml:space="preserve">. Представители на 24 държави членки, включително България и Европейската комисия обмениха опит и споделиха добри практики </w:t>
      </w:r>
      <w:r w:rsidR="00186654" w:rsidRPr="007B13AF">
        <w:rPr>
          <w:rFonts w:ascii="Arial" w:hAnsi="Arial" w:cs="Arial"/>
          <w:sz w:val="20"/>
          <w:lang w:val="bg-BG"/>
        </w:rPr>
        <w:t xml:space="preserve">от оценката на логиката на прилаганите интервенции и </w:t>
      </w:r>
      <w:proofErr w:type="spellStart"/>
      <w:r w:rsidR="00186654" w:rsidRPr="007B13AF">
        <w:rPr>
          <w:rFonts w:ascii="Arial" w:hAnsi="Arial" w:cs="Arial"/>
          <w:sz w:val="20"/>
          <w:lang w:val="bg-BG"/>
        </w:rPr>
        <w:t>целеполагането</w:t>
      </w:r>
      <w:proofErr w:type="spellEnd"/>
      <w:r w:rsidR="00186654" w:rsidRPr="007B13AF">
        <w:rPr>
          <w:rFonts w:ascii="Arial" w:hAnsi="Arial" w:cs="Arial"/>
          <w:sz w:val="20"/>
          <w:lang w:val="bg-BG"/>
        </w:rPr>
        <w:t xml:space="preserve"> в текущия програмен период</w:t>
      </w:r>
      <w:r w:rsidR="00602904" w:rsidRPr="007B13AF">
        <w:rPr>
          <w:rFonts w:ascii="Arial" w:hAnsi="Arial" w:cs="Arial"/>
          <w:sz w:val="20"/>
          <w:lang w:val="bg-BG"/>
        </w:rPr>
        <w:t>. О</w:t>
      </w:r>
      <w:r w:rsidR="00186654" w:rsidRPr="007B13AF">
        <w:rPr>
          <w:rFonts w:ascii="Arial" w:hAnsi="Arial" w:cs="Arial"/>
          <w:sz w:val="20"/>
          <w:lang w:val="bg-BG"/>
        </w:rPr>
        <w:t xml:space="preserve">бсъдиха възможностите за създаване на политики, основани на резултати за новия програмен период. Най-съществените нови елементи при оценката в бъдещия програмен период са включването на двата стълба в общ Стратегически план и постигането на </w:t>
      </w:r>
      <w:proofErr w:type="spellStart"/>
      <w:r w:rsidR="00186654" w:rsidRPr="007B13AF">
        <w:rPr>
          <w:rFonts w:ascii="Arial" w:hAnsi="Arial" w:cs="Arial"/>
          <w:sz w:val="20"/>
          <w:lang w:val="bg-BG"/>
        </w:rPr>
        <w:t>синергията</w:t>
      </w:r>
      <w:proofErr w:type="spellEnd"/>
      <w:r w:rsidR="00186654" w:rsidRPr="007B13AF">
        <w:rPr>
          <w:rFonts w:ascii="Arial" w:hAnsi="Arial" w:cs="Arial"/>
          <w:sz w:val="20"/>
          <w:lang w:val="bg-BG"/>
        </w:rPr>
        <w:t xml:space="preserve"> между тях, както и добавянето на условността. Наличието на новите елементи не предполага опростяване на процеса на оценка, преди всичко поради включването на Стълб 1, поради което е препоръчително експертите от Стълб 1 да бъдат привлечени в процеса на оценката и в цялостната подготовка  на Стратегическия план. Комисията посочи, че основен аспект в оценката е интервенционната логика да демонстрира </w:t>
      </w:r>
      <w:proofErr w:type="spellStart"/>
      <w:r w:rsidR="00186654" w:rsidRPr="007B13AF">
        <w:rPr>
          <w:rFonts w:ascii="Arial" w:hAnsi="Arial" w:cs="Arial"/>
          <w:sz w:val="20"/>
          <w:lang w:val="bg-BG"/>
        </w:rPr>
        <w:t>синергията</w:t>
      </w:r>
      <w:proofErr w:type="spellEnd"/>
      <w:r w:rsidR="00186654" w:rsidRPr="007B13AF">
        <w:rPr>
          <w:rFonts w:ascii="Arial" w:hAnsi="Arial" w:cs="Arial"/>
          <w:sz w:val="20"/>
          <w:lang w:val="bg-BG"/>
        </w:rPr>
        <w:t xml:space="preserve"> между двата стълба. </w:t>
      </w:r>
      <w:r w:rsidR="00186654" w:rsidRPr="007B13AF">
        <w:rPr>
          <w:rStyle w:val="tlid-translation"/>
          <w:rFonts w:ascii="Arial" w:hAnsi="Arial" w:cs="Arial"/>
          <w:sz w:val="20"/>
          <w:lang w:val="bg-BG"/>
        </w:rPr>
        <w:t xml:space="preserve">В момента държавите членки са в процес на подготовка на Стратегически планове за ОСП, разработването на които изисква за всяка конкретна цел на ОСП да се определят интервенции, подкрепени от предварителната оценка, SWOT анализа и оценката на потребностите. Интервенциите трябва да бъдат адресирани към всички аспекти на установените потребности, включително като се вземе предвид условността. Оценката трябва да посочи също дали правилно са определени  целевите групи и междинните цели. </w:t>
      </w:r>
      <w:r w:rsidR="00186654" w:rsidRPr="007B13AF">
        <w:rPr>
          <w:rFonts w:ascii="Arial" w:hAnsi="Arial" w:cs="Arial"/>
          <w:sz w:val="20"/>
          <w:lang w:val="bg-BG"/>
        </w:rPr>
        <w:t xml:space="preserve">В рамките на форума Испания и Франция споделиха натрупания опит и </w:t>
      </w:r>
      <w:r w:rsidR="00186654" w:rsidRPr="007B13AF">
        <w:rPr>
          <w:rStyle w:val="tlid-translation"/>
          <w:rFonts w:ascii="Arial" w:hAnsi="Arial" w:cs="Arial"/>
          <w:sz w:val="20"/>
          <w:lang w:val="bg-BG"/>
        </w:rPr>
        <w:t xml:space="preserve">извлечените поуки от оценката на логиката на Интервенционната стратегия и задаването на целите в текущия програмен период 2014–2020 г. Основните принципи и практически примери за оценка на </w:t>
      </w:r>
      <w:r w:rsidR="00186654" w:rsidRPr="007B13AF">
        <w:rPr>
          <w:rFonts w:ascii="Arial" w:hAnsi="Arial" w:cs="Arial"/>
          <w:sz w:val="20"/>
          <w:lang w:val="bg-BG"/>
        </w:rPr>
        <w:t>Интервенционните стратегии</w:t>
      </w:r>
      <w:r w:rsidR="00186654" w:rsidRPr="007B13AF">
        <w:rPr>
          <w:rStyle w:val="tlid-translation"/>
          <w:rFonts w:ascii="Arial" w:hAnsi="Arial" w:cs="Arial"/>
          <w:sz w:val="20"/>
          <w:lang w:val="bg-BG"/>
        </w:rPr>
        <w:t>, които в момента се подготвят във Чехия и Австрия за целите на Стратегическите планове на ОСП 2021-2027 бяха във фокуса на дискусията с участниците. В заключение</w:t>
      </w:r>
      <w:r w:rsidR="0052083F" w:rsidRPr="007B13AF">
        <w:rPr>
          <w:rStyle w:val="tlid-translation"/>
          <w:rFonts w:ascii="Arial" w:hAnsi="Arial" w:cs="Arial"/>
          <w:sz w:val="20"/>
          <w:lang w:val="bg-BG"/>
        </w:rPr>
        <w:t>,</w:t>
      </w:r>
      <w:r w:rsidR="00186654" w:rsidRPr="007B13AF">
        <w:rPr>
          <w:rStyle w:val="tlid-translation"/>
          <w:rFonts w:ascii="Arial" w:hAnsi="Arial" w:cs="Arial"/>
          <w:sz w:val="20"/>
          <w:lang w:val="bg-BG"/>
        </w:rPr>
        <w:t xml:space="preserve"> на база на натрупания опит и посрещане на новите предизвикателства пред държавите членки</w:t>
      </w:r>
      <w:r w:rsidR="0052083F" w:rsidRPr="007B13AF">
        <w:rPr>
          <w:rStyle w:val="tlid-translation"/>
          <w:rFonts w:ascii="Arial" w:hAnsi="Arial" w:cs="Arial"/>
          <w:sz w:val="20"/>
          <w:lang w:val="bg-BG"/>
        </w:rPr>
        <w:t>,</w:t>
      </w:r>
      <w:r w:rsidR="00186654" w:rsidRPr="007B13AF">
        <w:rPr>
          <w:rStyle w:val="tlid-translation"/>
          <w:rFonts w:ascii="Arial" w:hAnsi="Arial" w:cs="Arial"/>
          <w:sz w:val="20"/>
          <w:lang w:val="bg-BG"/>
        </w:rPr>
        <w:t xml:space="preserve"> през новия програмен период, участниците във форума се обединиха около необходимостта от </w:t>
      </w:r>
      <w:r w:rsidR="00186654" w:rsidRPr="007B13AF">
        <w:rPr>
          <w:rStyle w:val="tlid-translation"/>
          <w:rFonts w:ascii="Arial" w:hAnsi="Arial" w:cs="Arial"/>
          <w:sz w:val="20"/>
          <w:lang w:val="bg-BG"/>
        </w:rPr>
        <w:lastRenderedPageBreak/>
        <w:t>осигуряването на добър екип от оценители, който да работи заедно с Управляващия орган, привличането на заинтересованите страни в процеса на възможно най-ранен етап, както и ранното програмиране и оценката, които трябва да се изготвят успоредно. За постигане на дългосрочните цели</w:t>
      </w:r>
      <w:r w:rsidR="0052083F" w:rsidRPr="007B13AF">
        <w:rPr>
          <w:rStyle w:val="tlid-translation"/>
          <w:rFonts w:ascii="Arial" w:hAnsi="Arial" w:cs="Arial"/>
          <w:sz w:val="20"/>
          <w:lang w:val="bg-BG"/>
        </w:rPr>
        <w:t>,</w:t>
      </w:r>
      <w:r w:rsidR="00186654" w:rsidRPr="007B13AF">
        <w:rPr>
          <w:rStyle w:val="tlid-translation"/>
          <w:rFonts w:ascii="Arial" w:hAnsi="Arial" w:cs="Arial"/>
          <w:sz w:val="20"/>
          <w:lang w:val="bg-BG"/>
        </w:rPr>
        <w:t xml:space="preserve"> като полезен инструмент може да бъде използвана теорията на промените, която на основата на оценката на малките, ранните и междинни</w:t>
      </w:r>
      <w:r w:rsidR="0052083F" w:rsidRPr="007B13AF">
        <w:rPr>
          <w:rStyle w:val="tlid-translation"/>
          <w:rFonts w:ascii="Arial" w:hAnsi="Arial" w:cs="Arial"/>
          <w:sz w:val="20"/>
          <w:lang w:val="bg-BG"/>
        </w:rPr>
        <w:t>те</w:t>
      </w:r>
      <w:r w:rsidR="00186654" w:rsidRPr="007B13AF">
        <w:rPr>
          <w:rStyle w:val="tlid-translation"/>
          <w:rFonts w:ascii="Arial" w:hAnsi="Arial" w:cs="Arial"/>
          <w:sz w:val="20"/>
          <w:lang w:val="bg-BG"/>
        </w:rPr>
        <w:t xml:space="preserve"> резултати</w:t>
      </w:r>
      <w:r w:rsidR="0052083F" w:rsidRPr="007B13AF">
        <w:rPr>
          <w:rStyle w:val="tlid-translation"/>
          <w:rFonts w:ascii="Arial" w:hAnsi="Arial" w:cs="Arial"/>
          <w:sz w:val="20"/>
          <w:lang w:val="bg-BG"/>
        </w:rPr>
        <w:t xml:space="preserve"> и</w:t>
      </w:r>
      <w:r w:rsidR="00186654" w:rsidRPr="007B13AF">
        <w:rPr>
          <w:rFonts w:ascii="Arial" w:hAnsi="Arial" w:cs="Arial"/>
          <w:sz w:val="20"/>
          <w:lang w:val="bg-BG"/>
        </w:rPr>
        <w:t xml:space="preserve"> </w:t>
      </w:r>
      <w:r w:rsidR="00186654" w:rsidRPr="007B13AF">
        <w:rPr>
          <w:rStyle w:val="tlid-translation"/>
          <w:rFonts w:ascii="Arial" w:hAnsi="Arial" w:cs="Arial"/>
          <w:sz w:val="20"/>
          <w:lang w:val="bg-BG"/>
        </w:rPr>
        <w:t>може да оцени</w:t>
      </w:r>
      <w:r w:rsidR="00186654" w:rsidRPr="007B13AF">
        <w:rPr>
          <w:rFonts w:ascii="Arial" w:hAnsi="Arial" w:cs="Arial"/>
          <w:sz w:val="20"/>
          <w:lang w:val="bg-BG"/>
        </w:rPr>
        <w:t xml:space="preserve"> </w:t>
      </w:r>
      <w:r w:rsidR="00186654" w:rsidRPr="007B13AF">
        <w:rPr>
          <w:rStyle w:val="tlid-translation"/>
          <w:rFonts w:ascii="Arial" w:hAnsi="Arial" w:cs="Arial"/>
          <w:sz w:val="20"/>
          <w:lang w:val="bg-BG"/>
        </w:rPr>
        <w:t xml:space="preserve">възможностите за постигане на планираните крайни резултати.  </w:t>
      </w:r>
    </w:p>
    <w:p w:rsidR="00186654" w:rsidRPr="007B13AF" w:rsidRDefault="00186654" w:rsidP="00186654">
      <w:pPr>
        <w:jc w:val="both"/>
        <w:rPr>
          <w:rStyle w:val="tlid-translation"/>
          <w:rFonts w:ascii="Arial" w:hAnsi="Arial" w:cs="Arial"/>
          <w:sz w:val="20"/>
          <w:lang w:val="bg-BG"/>
        </w:rPr>
      </w:pPr>
    </w:p>
    <w:p w:rsidR="00FD2818" w:rsidRPr="007B13AF" w:rsidRDefault="007B13AF" w:rsidP="00F23698">
      <w:pPr>
        <w:jc w:val="both"/>
        <w:rPr>
          <w:rFonts w:ascii="Arial" w:hAnsi="Arial" w:cs="Arial"/>
          <w:sz w:val="20"/>
          <w:lang w:val="bg-BG"/>
        </w:rPr>
      </w:pPr>
      <w:r w:rsidRPr="007B13AF">
        <w:rPr>
          <w:rFonts w:ascii="Arial" w:hAnsi="Arial" w:cs="Arial"/>
          <w:b/>
          <w:sz w:val="20"/>
          <w:lang w:val="bg-BG"/>
        </w:rPr>
        <w:t>4</w:t>
      </w:r>
      <w:r w:rsidR="0082007C" w:rsidRPr="007B13AF">
        <w:rPr>
          <w:rFonts w:ascii="Arial" w:hAnsi="Arial" w:cs="Arial"/>
          <w:b/>
          <w:sz w:val="20"/>
          <w:lang w:val="bg-BG"/>
        </w:rPr>
        <w:t>.</w:t>
      </w:r>
      <w:r w:rsidR="00081DAE" w:rsidRPr="007B13AF">
        <w:rPr>
          <w:b/>
          <w:sz w:val="20"/>
          <w:lang w:val="bg-BG"/>
        </w:rPr>
        <w:t xml:space="preserve"> </w:t>
      </w:r>
      <w:r w:rsidR="00845489" w:rsidRPr="007B13AF">
        <w:rPr>
          <w:rFonts w:ascii="Arial" w:hAnsi="Arial" w:cs="Arial"/>
          <w:b/>
          <w:sz w:val="20"/>
          <w:lang w:val="bg-BG"/>
        </w:rPr>
        <w:t>Бюджетът на ОСП трябва да бъде запазен на текущите нива за ЕС</w:t>
      </w:r>
      <w:r w:rsidR="00374FB4" w:rsidRPr="007B13AF">
        <w:rPr>
          <w:rFonts w:ascii="Arial" w:hAnsi="Arial" w:cs="Arial"/>
          <w:b/>
          <w:sz w:val="20"/>
          <w:lang w:val="bg-BG"/>
        </w:rPr>
        <w:t>-27</w:t>
      </w:r>
      <w:r w:rsidR="00845489" w:rsidRPr="007B13AF">
        <w:rPr>
          <w:rFonts w:ascii="Arial" w:hAnsi="Arial" w:cs="Arial"/>
          <w:b/>
          <w:sz w:val="20"/>
          <w:lang w:val="bg-BG"/>
        </w:rPr>
        <w:t xml:space="preserve"> (в текущи цени), съгласно съвместно изявление на делегациите на 20 държави членки,</w:t>
      </w:r>
      <w:r w:rsidR="000A194A" w:rsidRPr="007B13AF">
        <w:rPr>
          <w:rFonts w:ascii="Arial" w:hAnsi="Arial" w:cs="Arial"/>
          <w:b/>
          <w:sz w:val="20"/>
          <w:lang w:val="bg-BG"/>
        </w:rPr>
        <w:t xml:space="preserve"> включително България,</w:t>
      </w:r>
      <w:r w:rsidR="00845489" w:rsidRPr="007B13AF">
        <w:rPr>
          <w:rFonts w:ascii="Arial" w:hAnsi="Arial" w:cs="Arial"/>
          <w:b/>
          <w:sz w:val="20"/>
          <w:lang w:val="bg-BG"/>
        </w:rPr>
        <w:t xml:space="preserve"> представено на </w:t>
      </w:r>
      <w:r w:rsidR="006F5EEC" w:rsidRPr="007B13AF">
        <w:rPr>
          <w:rFonts w:ascii="Arial" w:hAnsi="Arial" w:cs="Arial"/>
          <w:b/>
          <w:sz w:val="20"/>
          <w:lang w:val="bg-BG"/>
        </w:rPr>
        <w:t xml:space="preserve">Съвета по земеделие и рибарство на </w:t>
      </w:r>
      <w:r w:rsidR="00845489" w:rsidRPr="007B13AF">
        <w:rPr>
          <w:rFonts w:ascii="Arial" w:hAnsi="Arial" w:cs="Arial"/>
          <w:b/>
          <w:sz w:val="20"/>
          <w:lang w:val="bg-BG"/>
        </w:rPr>
        <w:t>14</w:t>
      </w:r>
      <w:r w:rsidR="006F5EEC" w:rsidRPr="007B13AF">
        <w:rPr>
          <w:rFonts w:ascii="Arial" w:hAnsi="Arial" w:cs="Arial"/>
          <w:b/>
          <w:sz w:val="20"/>
          <w:lang w:val="bg-BG"/>
        </w:rPr>
        <w:t xml:space="preserve"> октомври </w:t>
      </w:r>
      <w:r w:rsidR="00845489" w:rsidRPr="007B13AF">
        <w:rPr>
          <w:rFonts w:ascii="Arial" w:hAnsi="Arial" w:cs="Arial"/>
          <w:b/>
          <w:sz w:val="20"/>
          <w:lang w:val="bg-BG"/>
        </w:rPr>
        <w:t>2019.</w:t>
      </w:r>
      <w:r w:rsidR="00845489" w:rsidRPr="007B13AF">
        <w:rPr>
          <w:rFonts w:ascii="Arial" w:hAnsi="Arial" w:cs="Arial"/>
          <w:sz w:val="20"/>
          <w:lang w:val="bg-BG"/>
        </w:rPr>
        <w:t xml:space="preserve"> По инициатива на Франция, подкрепена от Австрия, България, Кипър, Чехия, Естония, Унгария, Гърция, Ирландия, Латвия, Литва, Люксембург, Полша, Португалия, Румъния, Словакия, Испания, Словения, Хърватска и Белгия, </w:t>
      </w:r>
      <w:r w:rsidR="00374FB4" w:rsidRPr="007B13AF">
        <w:rPr>
          <w:rFonts w:ascii="Arial" w:hAnsi="Arial" w:cs="Arial"/>
          <w:sz w:val="20"/>
          <w:lang w:val="bg-BG"/>
        </w:rPr>
        <w:t xml:space="preserve">групата от държави-членки </w:t>
      </w:r>
      <w:r w:rsidR="00845489" w:rsidRPr="007B13AF">
        <w:rPr>
          <w:rFonts w:ascii="Arial" w:hAnsi="Arial" w:cs="Arial"/>
          <w:sz w:val="20"/>
          <w:lang w:val="bg-BG"/>
        </w:rPr>
        <w:t xml:space="preserve">настоява за стабилен бюджет за ОСП, който „да посрещне новите предизвикателства </w:t>
      </w:r>
      <w:r w:rsidR="00374FB4" w:rsidRPr="007B13AF">
        <w:rPr>
          <w:rFonts w:ascii="Arial" w:hAnsi="Arial" w:cs="Arial"/>
          <w:sz w:val="20"/>
          <w:lang w:val="bg-BG"/>
        </w:rPr>
        <w:t>пред</w:t>
      </w:r>
      <w:r w:rsidR="00845489" w:rsidRPr="007B13AF">
        <w:rPr>
          <w:rFonts w:ascii="Arial" w:hAnsi="Arial" w:cs="Arial"/>
          <w:sz w:val="20"/>
          <w:lang w:val="bg-BG"/>
        </w:rPr>
        <w:t xml:space="preserve"> европейското селско и горско стопанство “, както и „очакванията на европейските граждани“. Държавите членки също </w:t>
      </w:r>
      <w:r w:rsidR="00374FB4" w:rsidRPr="007B13AF">
        <w:rPr>
          <w:rFonts w:ascii="Arial" w:hAnsi="Arial" w:cs="Arial"/>
          <w:sz w:val="20"/>
          <w:lang w:val="bg-BG"/>
        </w:rPr>
        <w:t xml:space="preserve">така </w:t>
      </w:r>
      <w:r w:rsidR="00845489" w:rsidRPr="007B13AF">
        <w:rPr>
          <w:rFonts w:ascii="Arial" w:hAnsi="Arial" w:cs="Arial"/>
          <w:sz w:val="20"/>
          <w:lang w:val="bg-BG"/>
        </w:rPr>
        <w:t xml:space="preserve">обръщат внимание на „спешната нужда да се предприемат действия по отношение на климатичните промени“. По време на своето изказване, френският министър на земеделието </w:t>
      </w:r>
      <w:proofErr w:type="spellStart"/>
      <w:r w:rsidR="00845489" w:rsidRPr="007B13AF">
        <w:rPr>
          <w:rFonts w:ascii="Arial" w:hAnsi="Arial" w:cs="Arial"/>
          <w:sz w:val="20"/>
          <w:lang w:val="bg-BG"/>
        </w:rPr>
        <w:t>Дидие</w:t>
      </w:r>
      <w:proofErr w:type="spellEnd"/>
      <w:r w:rsidR="00845489" w:rsidRPr="007B13AF">
        <w:rPr>
          <w:rFonts w:ascii="Arial" w:hAnsi="Arial" w:cs="Arial"/>
          <w:sz w:val="20"/>
          <w:lang w:val="bg-BG"/>
        </w:rPr>
        <w:t xml:space="preserve"> </w:t>
      </w:r>
      <w:proofErr w:type="spellStart"/>
      <w:r w:rsidR="00845489" w:rsidRPr="007B13AF">
        <w:rPr>
          <w:rFonts w:ascii="Arial" w:hAnsi="Arial" w:cs="Arial"/>
          <w:sz w:val="20"/>
          <w:lang w:val="bg-BG"/>
        </w:rPr>
        <w:t>Гийом</w:t>
      </w:r>
      <w:proofErr w:type="spellEnd"/>
      <w:r w:rsidR="00845489" w:rsidRPr="007B13AF">
        <w:rPr>
          <w:rFonts w:ascii="Arial" w:hAnsi="Arial" w:cs="Arial"/>
          <w:sz w:val="20"/>
          <w:lang w:val="bg-BG"/>
        </w:rPr>
        <w:t>, настоя, че „не може да се постигне компромисно споразумени</w:t>
      </w:r>
      <w:r w:rsidR="0017563B" w:rsidRPr="007B13AF">
        <w:rPr>
          <w:rFonts w:ascii="Arial" w:hAnsi="Arial" w:cs="Arial"/>
          <w:sz w:val="20"/>
          <w:lang w:val="bg-BG"/>
        </w:rPr>
        <w:t>е</w:t>
      </w:r>
      <w:r w:rsidR="00845489" w:rsidRPr="007B13AF">
        <w:rPr>
          <w:rFonts w:ascii="Arial" w:hAnsi="Arial" w:cs="Arial"/>
          <w:sz w:val="20"/>
          <w:lang w:val="bg-BG"/>
        </w:rPr>
        <w:t xml:space="preserve">, без да има яснота относно бюджета“, като изрично подчерта ролята на селскостопанските разходи за „посрещане на бъдещите предизвикателства“. Като се има предвид несигурността относно дългосрочната финансова перспектива, френският министър заяви, че „нито един от трите </w:t>
      </w:r>
      <w:proofErr w:type="spellStart"/>
      <w:r w:rsidR="00845489" w:rsidRPr="007B13AF">
        <w:rPr>
          <w:rFonts w:ascii="Arial" w:hAnsi="Arial" w:cs="Arial"/>
          <w:sz w:val="20"/>
          <w:lang w:val="bg-BG"/>
        </w:rPr>
        <w:t>проекторегламента</w:t>
      </w:r>
      <w:proofErr w:type="spellEnd"/>
      <w:r w:rsidR="00845489" w:rsidRPr="007B13AF">
        <w:rPr>
          <w:rFonts w:ascii="Arial" w:hAnsi="Arial" w:cs="Arial"/>
          <w:sz w:val="20"/>
          <w:lang w:val="bg-BG"/>
        </w:rPr>
        <w:t xml:space="preserve"> не може да се счита за </w:t>
      </w:r>
      <w:r w:rsidR="00EE7EBA" w:rsidRPr="007B13AF">
        <w:rPr>
          <w:rFonts w:ascii="Arial" w:hAnsi="Arial" w:cs="Arial"/>
          <w:sz w:val="20"/>
          <w:lang w:val="bg-BG"/>
        </w:rPr>
        <w:t>договорен</w:t>
      </w:r>
      <w:r w:rsidR="00845489" w:rsidRPr="007B13AF">
        <w:rPr>
          <w:rFonts w:ascii="Arial" w:hAnsi="Arial" w:cs="Arial"/>
          <w:sz w:val="20"/>
          <w:lang w:val="bg-BG"/>
        </w:rPr>
        <w:t>“. Стабилен бюджет за ОСП е от ключово значение за селско стопанство, което е „иновативно, устойчиво и проправя път за опазване на околната среда“. Призивът за запазване на бюджета на ОСП се представ</w:t>
      </w:r>
      <w:r w:rsidR="000A194A" w:rsidRPr="007B13AF">
        <w:rPr>
          <w:rFonts w:ascii="Arial" w:hAnsi="Arial" w:cs="Arial"/>
          <w:sz w:val="20"/>
          <w:lang w:val="bg-BG"/>
        </w:rPr>
        <w:t>и</w:t>
      </w:r>
      <w:r w:rsidR="00845489" w:rsidRPr="007B13AF">
        <w:rPr>
          <w:rFonts w:ascii="Arial" w:hAnsi="Arial" w:cs="Arial"/>
          <w:sz w:val="20"/>
          <w:lang w:val="bg-BG"/>
        </w:rPr>
        <w:t xml:space="preserve"> точно преди срещата на европейските лидери на 17-18 октомври, по време на която се очаква</w:t>
      </w:r>
      <w:r w:rsidR="000A194A" w:rsidRPr="007B13AF">
        <w:rPr>
          <w:rFonts w:ascii="Arial" w:hAnsi="Arial" w:cs="Arial"/>
          <w:sz w:val="20"/>
          <w:lang w:val="bg-BG"/>
        </w:rPr>
        <w:t>ше</w:t>
      </w:r>
      <w:r w:rsidR="00845489" w:rsidRPr="007B13AF">
        <w:rPr>
          <w:rFonts w:ascii="Arial" w:hAnsi="Arial" w:cs="Arial"/>
          <w:sz w:val="20"/>
          <w:lang w:val="bg-BG"/>
        </w:rPr>
        <w:t xml:space="preserve"> да се постигне напредък в разговорите по отношение на Многогодишната финансова рамка на ЕС за 2021-2027 год. Комисар </w:t>
      </w:r>
      <w:proofErr w:type="spellStart"/>
      <w:r w:rsidR="00845489" w:rsidRPr="007B13AF">
        <w:rPr>
          <w:rFonts w:ascii="Arial" w:hAnsi="Arial" w:cs="Arial"/>
          <w:sz w:val="20"/>
          <w:lang w:val="bg-BG"/>
        </w:rPr>
        <w:t>Фил</w:t>
      </w:r>
      <w:proofErr w:type="spellEnd"/>
      <w:r w:rsidR="00845489" w:rsidRPr="007B13AF">
        <w:rPr>
          <w:rFonts w:ascii="Arial" w:hAnsi="Arial" w:cs="Arial"/>
          <w:sz w:val="20"/>
          <w:lang w:val="bg-BG"/>
        </w:rPr>
        <w:t xml:space="preserve"> </w:t>
      </w:r>
      <w:proofErr w:type="spellStart"/>
      <w:r w:rsidR="00845489" w:rsidRPr="007B13AF">
        <w:rPr>
          <w:rFonts w:ascii="Arial" w:hAnsi="Arial" w:cs="Arial"/>
          <w:sz w:val="20"/>
          <w:lang w:val="bg-BG"/>
        </w:rPr>
        <w:t>Хоган</w:t>
      </w:r>
      <w:proofErr w:type="spellEnd"/>
      <w:r w:rsidR="00845489" w:rsidRPr="007B13AF">
        <w:rPr>
          <w:rFonts w:ascii="Arial" w:hAnsi="Arial" w:cs="Arial"/>
          <w:sz w:val="20"/>
          <w:lang w:val="bg-BG"/>
        </w:rPr>
        <w:t xml:space="preserve"> заяви пред репортери, че държавите членки искат „да видят, че имат на разположение финансовите средства, преди да постигнат споразумение за политическите мерки“, което е напълно разбираемо, по негово мнение. Други важни теми, обсъдени по време на Съвета, включваха обвързаната подкрепа, външната конвергенция, </w:t>
      </w:r>
      <w:proofErr w:type="spellStart"/>
      <w:r w:rsidR="00845489" w:rsidRPr="007B13AF">
        <w:rPr>
          <w:rFonts w:ascii="Arial" w:hAnsi="Arial" w:cs="Arial"/>
          <w:sz w:val="20"/>
          <w:lang w:val="bg-BG"/>
        </w:rPr>
        <w:t>еко-схемите</w:t>
      </w:r>
      <w:proofErr w:type="spellEnd"/>
      <w:r w:rsidR="00845489" w:rsidRPr="007B13AF">
        <w:rPr>
          <w:rFonts w:ascii="Arial" w:hAnsi="Arial" w:cs="Arial"/>
          <w:sz w:val="20"/>
          <w:lang w:val="bg-BG"/>
        </w:rPr>
        <w:t xml:space="preserve"> и таваните. По отношение на бъдещите правила за обвързана подкрепа, няколко държави членки (България, Белгия, Унгария) изрично настояха за продължаване на този вид подпомагане, докато други държави членки (като Германия, Дания, Холандия и Швеция) и</w:t>
      </w:r>
      <w:r w:rsidR="00600589" w:rsidRPr="007B13AF">
        <w:rPr>
          <w:rFonts w:ascii="Arial" w:hAnsi="Arial" w:cs="Arial"/>
          <w:sz w:val="20"/>
          <w:lang w:val="bg-BG"/>
        </w:rPr>
        <w:t>зказаха</w:t>
      </w:r>
      <w:r w:rsidR="00845489" w:rsidRPr="007B13AF">
        <w:rPr>
          <w:rFonts w:ascii="Arial" w:hAnsi="Arial" w:cs="Arial"/>
          <w:sz w:val="20"/>
          <w:lang w:val="bg-BG"/>
        </w:rPr>
        <w:t xml:space="preserve"> противоположна позиция</w:t>
      </w:r>
      <w:r w:rsidR="00600589" w:rsidRPr="007B13AF">
        <w:rPr>
          <w:rFonts w:ascii="Arial" w:hAnsi="Arial" w:cs="Arial"/>
          <w:sz w:val="20"/>
          <w:lang w:val="bg-BG"/>
        </w:rPr>
        <w:t>. Те</w:t>
      </w:r>
      <w:r w:rsidR="00845489" w:rsidRPr="007B13AF">
        <w:rPr>
          <w:rFonts w:ascii="Arial" w:hAnsi="Arial" w:cs="Arial"/>
          <w:sz w:val="20"/>
          <w:lang w:val="bg-BG"/>
        </w:rPr>
        <w:t xml:space="preserve"> настояват за ограничаване на обвързаната подкрепа, тъй като този вид подпомагане води до нарушаване на конкуренцията на пазара. Във връзка с външната конвергенция, няколко държави членки (като Италия, Дания, Холандия и Белгия) са категорично против предложението на Комисията за изравняване на плащанията, но от друга страна, Латвия и Словакия настоя</w:t>
      </w:r>
      <w:r w:rsidR="00600589" w:rsidRPr="007B13AF">
        <w:rPr>
          <w:rFonts w:ascii="Arial" w:hAnsi="Arial" w:cs="Arial"/>
          <w:sz w:val="20"/>
          <w:lang w:val="bg-BG"/>
        </w:rPr>
        <w:t>ха</w:t>
      </w:r>
      <w:r w:rsidR="00845489" w:rsidRPr="007B13AF">
        <w:rPr>
          <w:rFonts w:ascii="Arial" w:hAnsi="Arial" w:cs="Arial"/>
          <w:sz w:val="20"/>
          <w:lang w:val="bg-BG"/>
        </w:rPr>
        <w:t xml:space="preserve"> за по-амбициозен подход. Еко-схемите също бяха обект на засилена дискусия, като комисар </w:t>
      </w:r>
      <w:proofErr w:type="spellStart"/>
      <w:r w:rsidR="00845489" w:rsidRPr="007B13AF">
        <w:rPr>
          <w:rFonts w:ascii="Arial" w:hAnsi="Arial" w:cs="Arial"/>
          <w:sz w:val="20"/>
          <w:lang w:val="bg-BG"/>
        </w:rPr>
        <w:t>Фил</w:t>
      </w:r>
      <w:proofErr w:type="spellEnd"/>
      <w:r w:rsidR="00845489" w:rsidRPr="007B13AF">
        <w:rPr>
          <w:rFonts w:ascii="Arial" w:hAnsi="Arial" w:cs="Arial"/>
          <w:sz w:val="20"/>
          <w:lang w:val="bg-BG"/>
        </w:rPr>
        <w:t xml:space="preserve"> </w:t>
      </w:r>
      <w:proofErr w:type="spellStart"/>
      <w:r w:rsidR="00845489" w:rsidRPr="007B13AF">
        <w:rPr>
          <w:rFonts w:ascii="Arial" w:hAnsi="Arial" w:cs="Arial"/>
          <w:sz w:val="20"/>
          <w:lang w:val="bg-BG"/>
        </w:rPr>
        <w:t>Хоган</w:t>
      </w:r>
      <w:proofErr w:type="spellEnd"/>
      <w:r w:rsidR="00845489" w:rsidRPr="007B13AF">
        <w:rPr>
          <w:rFonts w:ascii="Arial" w:hAnsi="Arial" w:cs="Arial"/>
          <w:sz w:val="20"/>
          <w:lang w:val="bg-BG"/>
        </w:rPr>
        <w:t xml:space="preserve"> призова да не се „</w:t>
      </w:r>
      <w:r w:rsidR="00600589" w:rsidRPr="007B13AF">
        <w:rPr>
          <w:rFonts w:ascii="Arial" w:hAnsi="Arial" w:cs="Arial"/>
          <w:sz w:val="20"/>
          <w:lang w:val="bg-BG"/>
        </w:rPr>
        <w:t>намалява</w:t>
      </w:r>
      <w:r w:rsidR="00845489" w:rsidRPr="007B13AF">
        <w:rPr>
          <w:rFonts w:ascii="Arial" w:hAnsi="Arial" w:cs="Arial"/>
          <w:sz w:val="20"/>
          <w:lang w:val="bg-BG"/>
        </w:rPr>
        <w:t xml:space="preserve"> екологичната амбиция на бъдещата ОСП“. Франция, Германия</w:t>
      </w:r>
      <w:r w:rsidR="00845489" w:rsidRPr="007B13AF">
        <w:rPr>
          <w:rFonts w:ascii="Arial" w:hAnsi="Arial" w:cs="Arial"/>
          <w:sz w:val="20"/>
          <w:u w:val="single"/>
          <w:lang w:val="bg-BG"/>
        </w:rPr>
        <w:t>,</w:t>
      </w:r>
      <w:r w:rsidR="00600589" w:rsidRPr="007B13AF">
        <w:rPr>
          <w:rFonts w:ascii="Arial" w:hAnsi="Arial" w:cs="Arial"/>
          <w:sz w:val="20"/>
          <w:lang w:val="bg-BG"/>
        </w:rPr>
        <w:t xml:space="preserve"> Испания и Португалия настояваха</w:t>
      </w:r>
      <w:r w:rsidR="00845489" w:rsidRPr="007B13AF">
        <w:rPr>
          <w:rFonts w:ascii="Arial" w:hAnsi="Arial" w:cs="Arial"/>
          <w:sz w:val="20"/>
          <w:lang w:val="bg-BG"/>
        </w:rPr>
        <w:t xml:space="preserve"> новите </w:t>
      </w:r>
      <w:proofErr w:type="spellStart"/>
      <w:r w:rsidR="00845489" w:rsidRPr="007B13AF">
        <w:rPr>
          <w:rFonts w:ascii="Arial" w:hAnsi="Arial" w:cs="Arial"/>
          <w:sz w:val="20"/>
          <w:lang w:val="bg-BG"/>
        </w:rPr>
        <w:t>еко-схеми</w:t>
      </w:r>
      <w:proofErr w:type="spellEnd"/>
      <w:r w:rsidR="00845489" w:rsidRPr="007B13AF">
        <w:rPr>
          <w:rFonts w:ascii="Arial" w:hAnsi="Arial" w:cs="Arial"/>
          <w:sz w:val="20"/>
          <w:lang w:val="bg-BG"/>
        </w:rPr>
        <w:t xml:space="preserve"> да бъда задължителни за прилагане от държавите членки, Италия </w:t>
      </w:r>
      <w:r w:rsidR="00600589" w:rsidRPr="007B13AF">
        <w:rPr>
          <w:rFonts w:ascii="Arial" w:hAnsi="Arial" w:cs="Arial"/>
          <w:sz w:val="20"/>
          <w:lang w:val="bg-BG"/>
        </w:rPr>
        <w:t>беше</w:t>
      </w:r>
      <w:r w:rsidR="00845489" w:rsidRPr="007B13AF">
        <w:rPr>
          <w:rFonts w:ascii="Arial" w:hAnsi="Arial" w:cs="Arial"/>
          <w:sz w:val="20"/>
          <w:lang w:val="bg-BG"/>
        </w:rPr>
        <w:t xml:space="preserve"> критична </w:t>
      </w:r>
      <w:r w:rsidR="00600589" w:rsidRPr="007B13AF">
        <w:rPr>
          <w:rFonts w:ascii="Arial" w:hAnsi="Arial" w:cs="Arial"/>
          <w:sz w:val="20"/>
          <w:lang w:val="bg-BG"/>
        </w:rPr>
        <w:t xml:space="preserve">към </w:t>
      </w:r>
      <w:proofErr w:type="spellStart"/>
      <w:r w:rsidR="00845489" w:rsidRPr="007B13AF">
        <w:rPr>
          <w:rFonts w:ascii="Arial" w:hAnsi="Arial" w:cs="Arial"/>
          <w:sz w:val="20"/>
          <w:lang w:val="bg-BG"/>
        </w:rPr>
        <w:t>еко-схеми</w:t>
      </w:r>
      <w:r w:rsidR="003E362B" w:rsidRPr="007B13AF">
        <w:rPr>
          <w:rFonts w:ascii="Arial" w:hAnsi="Arial" w:cs="Arial"/>
          <w:sz w:val="20"/>
          <w:lang w:val="bg-BG"/>
        </w:rPr>
        <w:t>те</w:t>
      </w:r>
      <w:proofErr w:type="spellEnd"/>
      <w:r w:rsidR="003E362B" w:rsidRPr="007B13AF">
        <w:rPr>
          <w:rFonts w:ascii="Arial" w:hAnsi="Arial" w:cs="Arial"/>
          <w:sz w:val="20"/>
          <w:lang w:val="bg-BG"/>
        </w:rPr>
        <w:t xml:space="preserve"> и изрази опасения, че ще</w:t>
      </w:r>
      <w:r w:rsidR="00845489" w:rsidRPr="007B13AF">
        <w:rPr>
          <w:rFonts w:ascii="Arial" w:hAnsi="Arial" w:cs="Arial"/>
          <w:sz w:val="20"/>
          <w:lang w:val="bg-BG"/>
        </w:rPr>
        <w:t xml:space="preserve"> има дублиране на </w:t>
      </w:r>
      <w:proofErr w:type="spellStart"/>
      <w:r w:rsidR="003E362B" w:rsidRPr="007B13AF">
        <w:rPr>
          <w:rFonts w:ascii="Arial" w:hAnsi="Arial" w:cs="Arial"/>
          <w:sz w:val="20"/>
          <w:lang w:val="bg-BG"/>
        </w:rPr>
        <w:t>еко-схемите</w:t>
      </w:r>
      <w:proofErr w:type="spellEnd"/>
      <w:r w:rsidR="00845489" w:rsidRPr="007B13AF">
        <w:rPr>
          <w:rFonts w:ascii="Arial" w:hAnsi="Arial" w:cs="Arial"/>
          <w:sz w:val="20"/>
          <w:lang w:val="bg-BG"/>
        </w:rPr>
        <w:t xml:space="preserve"> </w:t>
      </w:r>
      <w:r w:rsidR="00600589" w:rsidRPr="007B13AF">
        <w:rPr>
          <w:rFonts w:ascii="Arial" w:hAnsi="Arial" w:cs="Arial"/>
          <w:sz w:val="20"/>
          <w:lang w:val="bg-BG"/>
        </w:rPr>
        <w:t>по</w:t>
      </w:r>
      <w:r w:rsidR="003E362B" w:rsidRPr="007B13AF">
        <w:rPr>
          <w:rFonts w:ascii="Arial" w:hAnsi="Arial" w:cs="Arial"/>
          <w:sz w:val="20"/>
          <w:lang w:val="bg-BG"/>
        </w:rPr>
        <w:t xml:space="preserve"> Стълб 1 </w:t>
      </w:r>
      <w:r w:rsidR="00845489" w:rsidRPr="007B13AF">
        <w:rPr>
          <w:rFonts w:ascii="Arial" w:hAnsi="Arial" w:cs="Arial"/>
          <w:sz w:val="20"/>
          <w:lang w:val="bg-BG"/>
        </w:rPr>
        <w:t xml:space="preserve">и </w:t>
      </w:r>
      <w:r w:rsidR="003E362B" w:rsidRPr="007B13AF">
        <w:rPr>
          <w:rFonts w:ascii="Arial" w:hAnsi="Arial" w:cs="Arial"/>
          <w:sz w:val="20"/>
          <w:lang w:val="bg-BG"/>
        </w:rPr>
        <w:t xml:space="preserve">мерките по </w:t>
      </w:r>
      <w:r w:rsidR="00845489" w:rsidRPr="007B13AF">
        <w:rPr>
          <w:rFonts w:ascii="Arial" w:hAnsi="Arial" w:cs="Arial"/>
          <w:sz w:val="20"/>
          <w:lang w:val="bg-BG"/>
        </w:rPr>
        <w:t>Стълб 2 (</w:t>
      </w:r>
      <w:proofErr w:type="spellStart"/>
      <w:r w:rsidR="00845489" w:rsidRPr="007B13AF">
        <w:rPr>
          <w:rFonts w:ascii="Arial" w:hAnsi="Arial" w:cs="Arial"/>
          <w:sz w:val="20"/>
          <w:lang w:val="bg-BG"/>
        </w:rPr>
        <w:t>агро-екологични</w:t>
      </w:r>
      <w:proofErr w:type="spellEnd"/>
      <w:r w:rsidR="00845489" w:rsidRPr="007B13AF">
        <w:rPr>
          <w:rFonts w:ascii="Arial" w:hAnsi="Arial" w:cs="Arial"/>
          <w:sz w:val="20"/>
          <w:lang w:val="bg-BG"/>
        </w:rPr>
        <w:t xml:space="preserve"> мерки). Люксембург настоя за доброволно прилагане на </w:t>
      </w:r>
      <w:proofErr w:type="spellStart"/>
      <w:r w:rsidR="00845489" w:rsidRPr="007B13AF">
        <w:rPr>
          <w:rFonts w:ascii="Arial" w:hAnsi="Arial" w:cs="Arial"/>
          <w:sz w:val="20"/>
          <w:lang w:val="bg-BG"/>
        </w:rPr>
        <w:t>еко-схемите</w:t>
      </w:r>
      <w:proofErr w:type="spellEnd"/>
      <w:r w:rsidR="00845489" w:rsidRPr="007B13AF">
        <w:rPr>
          <w:rFonts w:ascii="Arial" w:hAnsi="Arial" w:cs="Arial"/>
          <w:sz w:val="20"/>
          <w:lang w:val="bg-BG"/>
        </w:rPr>
        <w:t>. Относно таваните, Дания, Чехия и Румъния поискаха д</w:t>
      </w:r>
      <w:r w:rsidR="003E362B" w:rsidRPr="007B13AF">
        <w:rPr>
          <w:rFonts w:ascii="Arial" w:hAnsi="Arial" w:cs="Arial"/>
          <w:sz w:val="20"/>
          <w:lang w:val="bg-BG"/>
        </w:rPr>
        <w:t>оброволно прилагане на</w:t>
      </w:r>
      <w:r w:rsidR="00845489" w:rsidRPr="007B13AF">
        <w:rPr>
          <w:rFonts w:ascii="Arial" w:hAnsi="Arial" w:cs="Arial"/>
          <w:sz w:val="20"/>
          <w:lang w:val="bg-BG"/>
        </w:rPr>
        <w:t xml:space="preserve"> тавани</w:t>
      </w:r>
      <w:r w:rsidR="003E362B" w:rsidRPr="007B13AF">
        <w:rPr>
          <w:rFonts w:ascii="Arial" w:hAnsi="Arial" w:cs="Arial"/>
          <w:sz w:val="20"/>
          <w:lang w:val="bg-BG"/>
        </w:rPr>
        <w:t>те</w:t>
      </w:r>
      <w:r w:rsidR="00845489" w:rsidRPr="007B13AF">
        <w:rPr>
          <w:rFonts w:ascii="Arial" w:hAnsi="Arial" w:cs="Arial"/>
          <w:sz w:val="20"/>
          <w:lang w:val="bg-BG"/>
        </w:rPr>
        <w:t xml:space="preserve"> на подпомагане за големите </w:t>
      </w:r>
      <w:r w:rsidR="003E362B" w:rsidRPr="007B13AF">
        <w:rPr>
          <w:rFonts w:ascii="Arial" w:hAnsi="Arial" w:cs="Arial"/>
          <w:sz w:val="20"/>
          <w:lang w:val="bg-BG"/>
        </w:rPr>
        <w:t>ферми</w:t>
      </w:r>
      <w:r w:rsidR="00845489" w:rsidRPr="007B13AF">
        <w:rPr>
          <w:rFonts w:ascii="Arial" w:hAnsi="Arial" w:cs="Arial"/>
          <w:sz w:val="20"/>
          <w:lang w:val="bg-BG"/>
        </w:rPr>
        <w:t xml:space="preserve">. </w:t>
      </w:r>
      <w:r w:rsidR="003E362B" w:rsidRPr="007B13AF">
        <w:rPr>
          <w:rFonts w:ascii="Arial" w:hAnsi="Arial" w:cs="Arial"/>
          <w:sz w:val="20"/>
          <w:lang w:val="bg-BG"/>
        </w:rPr>
        <w:t>Н</w:t>
      </w:r>
      <w:r w:rsidR="00845489" w:rsidRPr="007B13AF">
        <w:rPr>
          <w:rFonts w:ascii="Arial" w:hAnsi="Arial" w:cs="Arial"/>
          <w:sz w:val="20"/>
          <w:lang w:val="bg-BG"/>
        </w:rPr>
        <w:t>яколко държави членки приканиха Комисията</w:t>
      </w:r>
      <w:r w:rsidR="003E362B" w:rsidRPr="007B13AF">
        <w:rPr>
          <w:rFonts w:ascii="Arial" w:hAnsi="Arial" w:cs="Arial"/>
          <w:sz w:val="20"/>
          <w:lang w:val="bg-BG"/>
        </w:rPr>
        <w:t xml:space="preserve"> бързо</w:t>
      </w:r>
      <w:r w:rsidR="00845489" w:rsidRPr="007B13AF">
        <w:rPr>
          <w:rFonts w:ascii="Arial" w:hAnsi="Arial" w:cs="Arial"/>
          <w:sz w:val="20"/>
          <w:lang w:val="bg-BG"/>
        </w:rPr>
        <w:t xml:space="preserve"> да представи предложение за преходни правила за ОСП през 2021 год., предвид</w:t>
      </w:r>
      <w:r w:rsidR="0065021A" w:rsidRPr="007B13AF">
        <w:rPr>
          <w:rFonts w:ascii="Arial" w:hAnsi="Arial" w:cs="Arial"/>
          <w:sz w:val="20"/>
          <w:lang w:val="bg-BG"/>
        </w:rPr>
        <w:t xml:space="preserve"> това</w:t>
      </w:r>
      <w:r w:rsidR="00845489" w:rsidRPr="007B13AF">
        <w:rPr>
          <w:rFonts w:ascii="Arial" w:hAnsi="Arial" w:cs="Arial"/>
          <w:sz w:val="20"/>
          <w:lang w:val="bg-BG"/>
        </w:rPr>
        <w:t xml:space="preserve">, че новата ОСП трябва да </w:t>
      </w:r>
      <w:r w:rsidR="003E362B" w:rsidRPr="007B13AF">
        <w:rPr>
          <w:rFonts w:ascii="Arial" w:hAnsi="Arial" w:cs="Arial"/>
          <w:sz w:val="20"/>
          <w:lang w:val="bg-BG"/>
        </w:rPr>
        <w:t>влезе</w:t>
      </w:r>
      <w:r w:rsidR="00845489" w:rsidRPr="007B13AF">
        <w:rPr>
          <w:rFonts w:ascii="Arial" w:hAnsi="Arial" w:cs="Arial"/>
          <w:sz w:val="20"/>
          <w:lang w:val="bg-BG"/>
        </w:rPr>
        <w:t xml:space="preserve"> в сила от началото на 2022 год. Намерението на финландското председателство е да използва следващите срещи на министрите през ноември и декември 2019 год. за обсъждане на екологичната амбиция </w:t>
      </w:r>
      <w:r w:rsidR="003E362B" w:rsidRPr="007B13AF">
        <w:rPr>
          <w:rFonts w:ascii="Arial" w:hAnsi="Arial" w:cs="Arial"/>
          <w:sz w:val="20"/>
          <w:lang w:val="bg-BG"/>
        </w:rPr>
        <w:t>и новия модел на прилагане</w:t>
      </w:r>
      <w:r w:rsidR="0065021A" w:rsidRPr="007B13AF">
        <w:rPr>
          <w:rFonts w:ascii="Arial" w:hAnsi="Arial" w:cs="Arial"/>
          <w:sz w:val="20"/>
          <w:lang w:val="bg-BG"/>
        </w:rPr>
        <w:t xml:space="preserve">, както и </w:t>
      </w:r>
      <w:r w:rsidR="003E362B" w:rsidRPr="007B13AF">
        <w:rPr>
          <w:rFonts w:ascii="Arial" w:hAnsi="Arial" w:cs="Arial"/>
          <w:sz w:val="20"/>
          <w:lang w:val="bg-BG"/>
        </w:rPr>
        <w:t xml:space="preserve">да </w:t>
      </w:r>
      <w:r w:rsidR="00845489" w:rsidRPr="007B13AF">
        <w:rPr>
          <w:rFonts w:ascii="Arial" w:hAnsi="Arial" w:cs="Arial"/>
          <w:sz w:val="20"/>
          <w:lang w:val="bg-BG"/>
        </w:rPr>
        <w:t xml:space="preserve">представи нови ревизирани версии на трите </w:t>
      </w:r>
      <w:proofErr w:type="spellStart"/>
      <w:r w:rsidR="00845489" w:rsidRPr="007B13AF">
        <w:rPr>
          <w:rFonts w:ascii="Arial" w:hAnsi="Arial" w:cs="Arial"/>
          <w:sz w:val="20"/>
          <w:lang w:val="bg-BG"/>
        </w:rPr>
        <w:t>проекторегламента</w:t>
      </w:r>
      <w:proofErr w:type="spellEnd"/>
      <w:r w:rsidR="00845489" w:rsidRPr="007B13AF">
        <w:rPr>
          <w:rFonts w:ascii="Arial" w:hAnsi="Arial" w:cs="Arial"/>
          <w:sz w:val="20"/>
          <w:lang w:val="bg-BG"/>
        </w:rPr>
        <w:t xml:space="preserve"> до началото на декември.</w:t>
      </w:r>
      <w:r w:rsidR="00F23698" w:rsidRPr="007B13AF">
        <w:rPr>
          <w:rFonts w:ascii="Arial" w:hAnsi="Arial" w:cs="Arial"/>
          <w:sz w:val="20"/>
          <w:lang w:val="bg-BG"/>
        </w:rPr>
        <w:t xml:space="preserve"> Д</w:t>
      </w:r>
      <w:r w:rsidR="00FD2818" w:rsidRPr="007B13AF">
        <w:rPr>
          <w:rFonts w:ascii="Arial" w:hAnsi="Arial" w:cs="Arial"/>
          <w:sz w:val="20"/>
          <w:lang w:val="bg-BG"/>
        </w:rPr>
        <w:t xml:space="preserve">елегациите изразиха съгласие, че докладът на Председателството за напредъка на реформата на ОСП е добра основа за обсъждане, но </w:t>
      </w:r>
      <w:r w:rsidR="00F23698" w:rsidRPr="007B13AF">
        <w:rPr>
          <w:rFonts w:ascii="Arial" w:hAnsi="Arial" w:cs="Arial"/>
          <w:sz w:val="20"/>
          <w:lang w:val="bg-BG"/>
        </w:rPr>
        <w:t xml:space="preserve">трябва да се работи още </w:t>
      </w:r>
      <w:r w:rsidR="00FD2818" w:rsidRPr="007B13AF">
        <w:rPr>
          <w:rFonts w:ascii="Arial" w:hAnsi="Arial" w:cs="Arial"/>
          <w:sz w:val="20"/>
          <w:lang w:val="bg-BG"/>
        </w:rPr>
        <w:t>по отношение на зелената архитектура</w:t>
      </w:r>
      <w:r w:rsidR="00F23698" w:rsidRPr="007B13AF">
        <w:rPr>
          <w:rFonts w:ascii="Arial" w:hAnsi="Arial" w:cs="Arial"/>
          <w:sz w:val="20"/>
          <w:lang w:val="bg-BG"/>
        </w:rPr>
        <w:t xml:space="preserve">, </w:t>
      </w:r>
      <w:r w:rsidR="00FD2818" w:rsidRPr="007B13AF">
        <w:rPr>
          <w:rFonts w:ascii="Arial" w:hAnsi="Arial" w:cs="Arial"/>
          <w:sz w:val="20"/>
          <w:lang w:val="bg-BG"/>
        </w:rPr>
        <w:t xml:space="preserve">гъвкавост на плащанията, новия модел на изпълнение (показатели, оценка и отчитане), дефиницията на „истински земеделски </w:t>
      </w:r>
      <w:r w:rsidR="00F23698" w:rsidRPr="007B13AF">
        <w:rPr>
          <w:rFonts w:ascii="Arial" w:hAnsi="Arial" w:cs="Arial"/>
          <w:sz w:val="20"/>
          <w:lang w:val="bg-BG"/>
        </w:rPr>
        <w:t xml:space="preserve">стопанин“ </w:t>
      </w:r>
      <w:r w:rsidR="00FD2818" w:rsidRPr="007B13AF">
        <w:rPr>
          <w:rFonts w:ascii="Arial" w:hAnsi="Arial" w:cs="Arial"/>
          <w:sz w:val="20"/>
          <w:lang w:val="bg-BG"/>
        </w:rPr>
        <w:t xml:space="preserve">и секторните интервенции. </w:t>
      </w:r>
      <w:r w:rsidR="000C5898" w:rsidRPr="007B13AF">
        <w:rPr>
          <w:rFonts w:ascii="Arial" w:hAnsi="Arial" w:cs="Arial"/>
          <w:color w:val="000000"/>
          <w:sz w:val="20"/>
          <w:lang w:val="bg-BG"/>
        </w:rPr>
        <w:t xml:space="preserve">В реч пред репортери министърът на земеделието на Финландия </w:t>
      </w:r>
      <w:proofErr w:type="spellStart"/>
      <w:r w:rsidR="000C5898" w:rsidRPr="007B13AF">
        <w:rPr>
          <w:rFonts w:ascii="Arial" w:hAnsi="Arial" w:cs="Arial"/>
          <w:color w:val="000000"/>
          <w:sz w:val="20"/>
          <w:lang w:val="bg-BG"/>
        </w:rPr>
        <w:t>Яри</w:t>
      </w:r>
      <w:proofErr w:type="spellEnd"/>
      <w:r w:rsidR="000C5898" w:rsidRPr="007B13AF">
        <w:rPr>
          <w:rFonts w:ascii="Arial" w:hAnsi="Arial" w:cs="Arial"/>
          <w:color w:val="000000"/>
          <w:sz w:val="20"/>
          <w:lang w:val="bg-BG"/>
        </w:rPr>
        <w:t xml:space="preserve"> </w:t>
      </w:r>
      <w:proofErr w:type="spellStart"/>
      <w:r w:rsidR="000C5898" w:rsidRPr="007B13AF">
        <w:rPr>
          <w:rFonts w:ascii="Arial" w:hAnsi="Arial" w:cs="Arial"/>
          <w:color w:val="000000"/>
          <w:sz w:val="20"/>
          <w:lang w:val="bg-BG"/>
        </w:rPr>
        <w:t>Леппа</w:t>
      </w:r>
      <w:proofErr w:type="spellEnd"/>
      <w:r w:rsidR="000C5898" w:rsidRPr="007B13AF">
        <w:rPr>
          <w:rFonts w:ascii="Arial" w:hAnsi="Arial" w:cs="Arial"/>
          <w:color w:val="000000"/>
          <w:sz w:val="20"/>
          <w:lang w:val="bg-BG"/>
        </w:rPr>
        <w:t xml:space="preserve"> заяви, че председателството има за цел „да стигне толкова далече доколкото е възможно в Съвета“ когато се повдигна въпроса за актуализираните текстове по трите регламента.</w:t>
      </w:r>
    </w:p>
    <w:p w:rsidR="006C2A67" w:rsidRPr="007B13AF" w:rsidRDefault="006C2A67" w:rsidP="00DA4860">
      <w:pPr>
        <w:contextualSpacing/>
        <w:jc w:val="both"/>
        <w:rPr>
          <w:rFonts w:ascii="Arial" w:hAnsi="Arial" w:cs="Arial"/>
          <w:color w:val="000000"/>
          <w:sz w:val="20"/>
          <w:lang w:val="bg-BG"/>
        </w:rPr>
      </w:pPr>
    </w:p>
    <w:tbl>
      <w:tblPr>
        <w:tblW w:w="10159" w:type="dxa"/>
        <w:tblInd w:w="108" w:type="dxa"/>
        <w:tblLook w:val="01E0" w:firstRow="1" w:lastRow="1" w:firstColumn="1" w:lastColumn="1" w:noHBand="0" w:noVBand="0"/>
      </w:tblPr>
      <w:tblGrid>
        <w:gridCol w:w="9923"/>
        <w:gridCol w:w="236"/>
      </w:tblGrid>
      <w:tr w:rsidR="00403CB9" w:rsidRPr="007B13AF" w:rsidTr="00DF42CC">
        <w:tc>
          <w:tcPr>
            <w:tcW w:w="9923" w:type="dxa"/>
            <w:shd w:val="clear" w:color="auto" w:fill="C0C0C0"/>
            <w:hideMark/>
          </w:tcPr>
          <w:p w:rsidR="00403CB9" w:rsidRPr="007B13AF" w:rsidRDefault="00403CB9" w:rsidP="00DF42CC">
            <w:pPr>
              <w:jc w:val="both"/>
              <w:rPr>
                <w:rStyle w:val="longtext"/>
                <w:rFonts w:ascii="Arial" w:hAnsi="Arial" w:cs="Arial"/>
                <w:b/>
                <w:i/>
                <w:sz w:val="20"/>
                <w:lang w:val="bg-BG"/>
              </w:rPr>
            </w:pPr>
            <w:r w:rsidRPr="007B13AF">
              <w:rPr>
                <w:rStyle w:val="longtext"/>
                <w:rFonts w:ascii="Arial" w:hAnsi="Arial" w:cs="Arial"/>
                <w:b/>
                <w:i/>
                <w:sz w:val="20"/>
                <w:lang w:val="bg-BG"/>
              </w:rPr>
              <w:t>Още от ЕС и света</w:t>
            </w:r>
          </w:p>
        </w:tc>
        <w:tc>
          <w:tcPr>
            <w:tcW w:w="236" w:type="dxa"/>
          </w:tcPr>
          <w:p w:rsidR="00403CB9" w:rsidRPr="007B13AF" w:rsidRDefault="00403CB9" w:rsidP="00DF42CC">
            <w:pPr>
              <w:jc w:val="both"/>
              <w:rPr>
                <w:rStyle w:val="longtext"/>
                <w:rFonts w:ascii="Arial" w:hAnsi="Arial" w:cs="Arial"/>
                <w:b/>
                <w:sz w:val="20"/>
                <w:lang w:val="bg-BG"/>
              </w:rPr>
            </w:pPr>
          </w:p>
        </w:tc>
      </w:tr>
    </w:tbl>
    <w:p w:rsidR="00403CB9" w:rsidRPr="007B13AF"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B70CFA" w:rsidRPr="007B13AF" w:rsidRDefault="007B13AF" w:rsidP="00B70CFA">
      <w:pPr>
        <w:jc w:val="both"/>
        <w:rPr>
          <w:rFonts w:ascii="Arial" w:eastAsia="Calibri" w:hAnsi="Arial" w:cs="Arial"/>
          <w:color w:val="000000" w:themeColor="text1"/>
          <w:sz w:val="20"/>
          <w:lang w:val="bg-BG"/>
        </w:rPr>
      </w:pPr>
      <w:r w:rsidRPr="007B13AF">
        <w:rPr>
          <w:rFonts w:ascii="Arial" w:eastAsia="Calibri" w:hAnsi="Arial" w:cs="Arial"/>
          <w:b/>
          <w:iCs/>
          <w:color w:val="000000"/>
          <w:sz w:val="20"/>
          <w:lang w:val="bg-BG"/>
        </w:rPr>
        <w:t>5</w:t>
      </w:r>
      <w:r w:rsidR="00B70CFA" w:rsidRPr="007B13AF">
        <w:rPr>
          <w:rFonts w:ascii="Arial" w:eastAsia="Calibri" w:hAnsi="Arial" w:cs="Arial"/>
          <w:b/>
          <w:iCs/>
          <w:color w:val="000000"/>
          <w:sz w:val="20"/>
          <w:lang w:val="bg-BG"/>
        </w:rPr>
        <w:t xml:space="preserve">. На срещата на Съвета по общите въпроси (СОВ) на 14 и 15 октомври 2019 г. в Люксембург министрите обсъдиха „работен документ“ на финландското председателство на Съвета на ЕС </w:t>
      </w:r>
      <w:r w:rsidR="00B70CFA" w:rsidRPr="007B13AF">
        <w:rPr>
          <w:rFonts w:ascii="Arial" w:eastAsia="Calibri" w:hAnsi="Arial" w:cs="Arial"/>
          <w:b/>
          <w:iCs/>
          <w:color w:val="000000"/>
          <w:sz w:val="20"/>
          <w:lang w:val="bg-BG"/>
        </w:rPr>
        <w:lastRenderedPageBreak/>
        <w:t>съдържащ възможни компромисни предложения относно многогодишната финансова рамка на ЕС (МФР) за 2021-2027 г.</w:t>
      </w:r>
      <w:r w:rsidR="00B70CFA" w:rsidRPr="007B13AF">
        <w:rPr>
          <w:rFonts w:ascii="Arial" w:eastAsia="Calibri" w:hAnsi="Arial" w:cs="Arial"/>
          <w:iCs/>
          <w:color w:val="000000"/>
          <w:sz w:val="20"/>
          <w:lang w:val="bg-BG"/>
        </w:rPr>
        <w:t xml:space="preserve"> СОВ </w:t>
      </w:r>
      <w:r w:rsidR="00B70CFA" w:rsidRPr="007B13AF">
        <w:rPr>
          <w:rFonts w:ascii="Arial" w:eastAsia="Calibri" w:hAnsi="Arial" w:cs="Arial"/>
          <w:color w:val="000000"/>
          <w:sz w:val="20"/>
          <w:lang w:val="bg-BG"/>
        </w:rPr>
        <w:t>подготви дискусиите за Европейския съвет на 17 и 18 октомври по чувствителната тема за следващата МФР. Министрите обсъдиха общия обем на МФР, сумите за основните политики на ЕС и условността в бюджета. В съответствие с дебата  председателството ще подготви преработена преговорна кутия, включваща конкретни цифри, за да улесни преговорите за споразумение между държавните и правителствените ръководители на ЕС, което трябва да бъде постигнат</w:t>
      </w:r>
      <w:r w:rsidR="000A194A" w:rsidRPr="007B13AF">
        <w:rPr>
          <w:rFonts w:ascii="Arial" w:eastAsia="Calibri" w:hAnsi="Arial" w:cs="Arial"/>
          <w:color w:val="000000"/>
          <w:sz w:val="20"/>
          <w:lang w:val="bg-BG"/>
        </w:rPr>
        <w:t xml:space="preserve">о до края на 2019 г. </w:t>
      </w:r>
      <w:r w:rsidR="00B70CFA" w:rsidRPr="007B13AF">
        <w:rPr>
          <w:rFonts w:ascii="Arial" w:eastAsia="Calibri" w:hAnsi="Arial" w:cs="Arial"/>
          <w:color w:val="000000"/>
          <w:sz w:val="20"/>
          <w:lang w:val="bg-BG"/>
        </w:rPr>
        <w:t>Някои делегации от държави, известни като „нетни донори“ в бюджета на ЕС (Германия, Австрия, Холандия, Дания и Швеция), не желаят сума от над 1% от брутния национален доход (БНД) на ЕС-27. От друга страна, някои от така наречените „</w:t>
      </w:r>
      <w:proofErr w:type="spellStart"/>
      <w:r w:rsidR="00B70CFA" w:rsidRPr="007B13AF">
        <w:rPr>
          <w:rFonts w:ascii="Arial" w:eastAsia="Calibri" w:hAnsi="Arial" w:cs="Arial"/>
          <w:color w:val="000000"/>
          <w:sz w:val="20"/>
          <w:lang w:val="bg-BG"/>
        </w:rPr>
        <w:t>кохезионни</w:t>
      </w:r>
      <w:proofErr w:type="spellEnd"/>
      <w:r w:rsidR="00B70CFA" w:rsidRPr="007B13AF">
        <w:rPr>
          <w:rFonts w:ascii="Arial" w:eastAsia="Calibri" w:hAnsi="Arial" w:cs="Arial"/>
          <w:color w:val="000000"/>
          <w:sz w:val="20"/>
          <w:lang w:val="bg-BG"/>
        </w:rPr>
        <w:t>“ страни считат, че компромисната цифра, предложена от финландското председателство, е недостатъчна. В работния документ председателството предлага да се постигне баланс между новите предизвикателства (климат, миграция, изследвания, отбрана) и традиционните политики (селско стопанство и сближаване</w:t>
      </w:r>
      <w:r w:rsidR="00185839" w:rsidRPr="007B13AF">
        <w:rPr>
          <w:rFonts w:ascii="Arial" w:eastAsia="Calibri" w:hAnsi="Arial" w:cs="Arial"/>
          <w:color w:val="000000"/>
          <w:sz w:val="20"/>
          <w:lang w:val="bg-BG"/>
        </w:rPr>
        <w:t>)</w:t>
      </w:r>
      <w:r w:rsidR="00B70CFA" w:rsidRPr="007B13AF">
        <w:rPr>
          <w:rFonts w:ascii="Arial" w:eastAsia="Calibri" w:hAnsi="Arial" w:cs="Arial"/>
          <w:color w:val="000000"/>
          <w:sz w:val="20"/>
          <w:lang w:val="bg-BG"/>
        </w:rPr>
        <w:t>.</w:t>
      </w:r>
      <w:r w:rsidR="00185839" w:rsidRPr="007B13AF">
        <w:rPr>
          <w:rFonts w:ascii="Arial" w:eastAsia="Calibri" w:hAnsi="Arial" w:cs="Arial"/>
          <w:color w:val="000000"/>
          <w:sz w:val="20"/>
          <w:lang w:val="bg-BG"/>
        </w:rPr>
        <w:t xml:space="preserve"> </w:t>
      </w:r>
      <w:r w:rsidR="00B70CFA" w:rsidRPr="007B13AF">
        <w:rPr>
          <w:rFonts w:ascii="Arial" w:eastAsia="Calibri" w:hAnsi="Arial" w:cs="Arial"/>
          <w:color w:val="000000" w:themeColor="text1"/>
          <w:sz w:val="20"/>
          <w:lang w:val="bg-BG"/>
        </w:rPr>
        <w:t>Председателството предлага създаването на механизъм, който да свързва фондовете на ЕС с зачитане на върховенството на закона, с ясни задействащи критерии под формата на затворена листа.</w:t>
      </w:r>
      <w:r w:rsidR="00185839" w:rsidRPr="007B13AF">
        <w:rPr>
          <w:rFonts w:ascii="Arial" w:eastAsia="Calibri" w:hAnsi="Arial" w:cs="Arial"/>
          <w:color w:val="000000" w:themeColor="text1"/>
          <w:sz w:val="20"/>
          <w:lang w:val="bg-BG"/>
        </w:rPr>
        <w:t xml:space="preserve"> </w:t>
      </w:r>
      <w:r w:rsidR="00B70CFA" w:rsidRPr="007B13AF">
        <w:rPr>
          <w:rFonts w:ascii="Arial" w:eastAsia="Calibri" w:hAnsi="Arial" w:cs="Arial"/>
          <w:color w:val="000000" w:themeColor="text1"/>
          <w:sz w:val="20"/>
          <w:lang w:val="bg-BG"/>
        </w:rPr>
        <w:t>Предложените от Комисията суми за миграцията са потвърдени, както и отделянето на 25% от следващите разходи от МФР за действия, свързани с климата и околната среда, дори ако държави като Франция и Германия искат по-амбициозна цифра. </w:t>
      </w:r>
    </w:p>
    <w:p w:rsidR="007B13AF" w:rsidRPr="007B13AF" w:rsidRDefault="007B13AF" w:rsidP="00B70CFA">
      <w:pPr>
        <w:jc w:val="both"/>
        <w:rPr>
          <w:rFonts w:ascii="Arial" w:eastAsia="Calibri" w:hAnsi="Arial" w:cs="Arial"/>
          <w:color w:val="000000" w:themeColor="text1"/>
          <w:sz w:val="20"/>
          <w:lang w:val="bg-BG"/>
        </w:rPr>
      </w:pPr>
    </w:p>
    <w:p w:rsidR="007B13AF" w:rsidRPr="007B13AF" w:rsidRDefault="007B13AF" w:rsidP="007B13AF">
      <w:pPr>
        <w:jc w:val="both"/>
        <w:rPr>
          <w:rFonts w:ascii="Arial" w:eastAsia="Calibri" w:hAnsi="Arial" w:cs="Arial"/>
          <w:sz w:val="20"/>
          <w:lang w:val="bg-BG"/>
        </w:rPr>
      </w:pPr>
      <w:r w:rsidRPr="007B13AF">
        <w:rPr>
          <w:rFonts w:ascii="Arial" w:eastAsia="Calibri" w:hAnsi="Arial" w:cs="Arial"/>
          <w:b/>
          <w:color w:val="000000" w:themeColor="text1"/>
          <w:sz w:val="20"/>
          <w:lang w:val="bg-BG"/>
        </w:rPr>
        <w:t>6</w:t>
      </w:r>
      <w:r w:rsidRPr="007B13AF">
        <w:rPr>
          <w:rFonts w:ascii="Arial" w:eastAsia="Calibri" w:hAnsi="Arial" w:cs="Arial"/>
          <w:b/>
          <w:color w:val="000000" w:themeColor="text1"/>
          <w:sz w:val="20"/>
          <w:lang w:val="bg-BG"/>
        </w:rPr>
        <w:t xml:space="preserve">. </w:t>
      </w:r>
      <w:bookmarkStart w:id="0" w:name="_MailOriginal"/>
      <w:r w:rsidRPr="007B13AF">
        <w:rPr>
          <w:rFonts w:ascii="Arial" w:eastAsia="Calibri" w:hAnsi="Arial" w:cs="Arial"/>
          <w:b/>
          <w:sz w:val="20"/>
          <w:lang w:val="bg-BG"/>
        </w:rPr>
        <w:t xml:space="preserve">На </w:t>
      </w:r>
      <w:r>
        <w:rPr>
          <w:rFonts w:ascii="Arial" w:eastAsia="Calibri" w:hAnsi="Arial" w:cs="Arial"/>
          <w:b/>
          <w:sz w:val="20"/>
          <w:lang w:val="bg-BG"/>
        </w:rPr>
        <w:t>заседанието</w:t>
      </w:r>
      <w:r w:rsidRPr="007B13AF">
        <w:rPr>
          <w:rFonts w:ascii="Arial" w:eastAsia="Calibri" w:hAnsi="Arial" w:cs="Arial"/>
          <w:b/>
          <w:sz w:val="20"/>
          <w:lang w:val="bg-BG"/>
        </w:rPr>
        <w:t xml:space="preserve"> на Европейският съвет на 17 и 18 октомври 2019 г. в Брюксел бяха обсъдени редица въпроси, включително </w:t>
      </w:r>
      <w:r w:rsidRPr="007B13AF">
        <w:rPr>
          <w:rFonts w:ascii="Arial" w:eastAsia="Calibri" w:hAnsi="Arial" w:cs="Arial"/>
          <w:b/>
          <w:bCs/>
          <w:sz w:val="20"/>
          <w:lang w:val="bg-BG"/>
        </w:rPr>
        <w:t xml:space="preserve"> дългосрочния бюджет на ЕС, </w:t>
      </w:r>
      <w:proofErr w:type="spellStart"/>
      <w:r w:rsidRPr="007B13AF">
        <w:rPr>
          <w:rFonts w:ascii="Arial" w:eastAsia="Calibri" w:hAnsi="Arial" w:cs="Arial"/>
          <w:b/>
          <w:bCs/>
          <w:sz w:val="20"/>
          <w:lang w:val="bg-BG"/>
        </w:rPr>
        <w:t>Брексит</w:t>
      </w:r>
      <w:proofErr w:type="spellEnd"/>
      <w:r w:rsidRPr="007B13AF">
        <w:rPr>
          <w:rFonts w:ascii="Arial" w:eastAsia="Calibri" w:hAnsi="Arial" w:cs="Arial"/>
          <w:b/>
          <w:bCs/>
          <w:sz w:val="20"/>
          <w:lang w:val="bg-BG"/>
        </w:rPr>
        <w:t>, разширяването на ЕС, Турция, изменението на климата</w:t>
      </w:r>
      <w:r w:rsidRPr="007B13AF">
        <w:rPr>
          <w:rFonts w:ascii="Arial" w:eastAsia="Calibri" w:hAnsi="Arial" w:cs="Arial"/>
          <w:b/>
          <w:sz w:val="20"/>
          <w:lang w:val="bg-BG"/>
        </w:rPr>
        <w:t> и </w:t>
      </w:r>
      <w:r w:rsidRPr="007B13AF">
        <w:rPr>
          <w:rFonts w:ascii="Arial" w:eastAsia="Calibri" w:hAnsi="Arial" w:cs="Arial"/>
          <w:b/>
          <w:bCs/>
          <w:sz w:val="20"/>
          <w:lang w:val="bg-BG"/>
        </w:rPr>
        <w:t>приоритетите за следващите пет години</w:t>
      </w:r>
      <w:r w:rsidRPr="007B13AF">
        <w:rPr>
          <w:rFonts w:ascii="Arial" w:eastAsia="Calibri" w:hAnsi="Arial" w:cs="Arial"/>
          <w:b/>
          <w:sz w:val="20"/>
          <w:lang w:val="bg-BG"/>
        </w:rPr>
        <w:t xml:space="preserve">. </w:t>
      </w:r>
      <w:r w:rsidRPr="007B13AF">
        <w:rPr>
          <w:rFonts w:ascii="Arial" w:eastAsia="Calibri" w:hAnsi="Arial" w:cs="Arial"/>
          <w:sz w:val="20"/>
          <w:lang w:val="bg-BG"/>
        </w:rPr>
        <w:t>Проведената обмяна на мнения, свързани със следващата многогодишна финансова рамка (МФР) обхвана ключови въпроси, като общото равнище, обемите, определени за основните области на политиката, финансирането, в т.ч. приходите и корекциите, както и условността и стимулите. В контекста на това обсъждане Европейският съвет призовава финландското председателство да представи преговорна кутия с включени конкретни цифри преди заседанието на Европейския с</w:t>
      </w:r>
      <w:r>
        <w:rPr>
          <w:rFonts w:ascii="Arial" w:eastAsia="Calibri" w:hAnsi="Arial" w:cs="Arial"/>
          <w:sz w:val="20"/>
          <w:lang w:val="bg-BG"/>
        </w:rPr>
        <w:t xml:space="preserve">ъвет на 12-13 декември 2019 г. </w:t>
      </w:r>
      <w:r w:rsidRPr="007B13AF">
        <w:rPr>
          <w:rFonts w:ascii="Arial" w:eastAsia="Calibri" w:hAnsi="Arial" w:cs="Arial"/>
          <w:sz w:val="20"/>
          <w:lang w:val="bg-BG"/>
        </w:rPr>
        <w:t>В документ</w:t>
      </w:r>
      <w:r>
        <w:rPr>
          <w:rFonts w:ascii="Arial" w:eastAsia="Calibri" w:hAnsi="Arial" w:cs="Arial"/>
          <w:sz w:val="20"/>
          <w:lang w:val="bg-BG"/>
        </w:rPr>
        <w:t>а на П</w:t>
      </w:r>
      <w:r w:rsidRPr="007B13AF">
        <w:rPr>
          <w:rFonts w:ascii="Arial" w:eastAsia="Calibri" w:hAnsi="Arial" w:cs="Arial"/>
          <w:sz w:val="20"/>
          <w:lang w:val="bg-BG"/>
        </w:rPr>
        <w:t>редседателството</w:t>
      </w:r>
      <w:r>
        <w:rPr>
          <w:rFonts w:ascii="Arial" w:eastAsia="Calibri" w:hAnsi="Arial" w:cs="Arial"/>
          <w:sz w:val="20"/>
          <w:lang w:val="bg-BG"/>
        </w:rPr>
        <w:t>, подготвен</w:t>
      </w:r>
      <w:r w:rsidRPr="007B13AF">
        <w:rPr>
          <w:rFonts w:ascii="Arial" w:eastAsia="Calibri" w:hAnsi="Arial" w:cs="Arial"/>
          <w:sz w:val="20"/>
          <w:lang w:val="bg-BG"/>
        </w:rPr>
        <w:t xml:space="preserve"> преди тази среща се посочва, че „подходящият общ диапазон на нивата би бил 1,03% -1,08% от брутния национален доход (БНД) на ЕС-27, което води до обхват на финансиране в рамките на € 1,050-1,10 трилиона за следващия програмен период (2019</w:t>
      </w:r>
      <w:r>
        <w:rPr>
          <w:rFonts w:ascii="Arial" w:eastAsia="Calibri" w:hAnsi="Arial" w:cs="Arial"/>
          <w:sz w:val="20"/>
          <w:lang w:val="bg-BG"/>
        </w:rPr>
        <w:t xml:space="preserve"> </w:t>
      </w:r>
      <w:r w:rsidRPr="007B13AF">
        <w:rPr>
          <w:rFonts w:ascii="Arial" w:eastAsia="Calibri" w:hAnsi="Arial" w:cs="Arial"/>
          <w:sz w:val="20"/>
          <w:lang w:val="bg-BG"/>
        </w:rPr>
        <w:t>-</w:t>
      </w:r>
      <w:r>
        <w:rPr>
          <w:rFonts w:ascii="Arial" w:eastAsia="Calibri" w:hAnsi="Arial" w:cs="Arial"/>
          <w:sz w:val="20"/>
          <w:lang w:val="bg-BG"/>
        </w:rPr>
        <w:t xml:space="preserve"> </w:t>
      </w:r>
      <w:bookmarkStart w:id="1" w:name="_GoBack"/>
      <w:bookmarkEnd w:id="1"/>
      <w:r w:rsidRPr="007B13AF">
        <w:rPr>
          <w:rFonts w:ascii="Arial" w:eastAsia="Calibri" w:hAnsi="Arial" w:cs="Arial"/>
          <w:sz w:val="20"/>
          <w:lang w:val="bg-BG"/>
        </w:rPr>
        <w:t>2024 г.) в сравнение с предложените от Комисията 1,135 трилиона евро (общо поети задължения, без специални инструменти). Председателството предлага запазването на разпределението между основните области на политиката (приблизително 1/3 за сближаване, 1/3 за ОСП и 1/3 за „други програми“), балансирайки  обемите на сближаване и ОСП и увеличавайки на финансирането за „други програми“  в сравнение с настоящата МФР, но по-малко от предложеното от Комисията.</w:t>
      </w:r>
      <w:r>
        <w:rPr>
          <w:rFonts w:ascii="Arial" w:eastAsia="Calibri" w:hAnsi="Arial" w:cs="Arial"/>
          <w:sz w:val="20"/>
          <w:lang w:val="bg-BG"/>
        </w:rPr>
        <w:t xml:space="preserve"> </w:t>
      </w:r>
      <w:r w:rsidRPr="007B13AF">
        <w:rPr>
          <w:rFonts w:ascii="Arial" w:eastAsia="Calibri" w:hAnsi="Arial" w:cs="Arial"/>
          <w:sz w:val="20"/>
          <w:lang w:val="bg-BG"/>
        </w:rPr>
        <w:t>Подходът „би довел до пренасочване на финансиране от стълб I към стълб II“ с корекция водеща до „номинално замразяване в стълб I в сравнение със сегашната МФР“. Някои допълнителни пренасочвания от други позиции ще бъдат направени към стълб II, което би довело до ниво, леко под номиналното замразяване във втория стълб.</w:t>
      </w:r>
    </w:p>
    <w:p w:rsidR="007B13AF" w:rsidRPr="007B13AF" w:rsidRDefault="007B13AF" w:rsidP="007B13AF">
      <w:pPr>
        <w:jc w:val="both"/>
        <w:rPr>
          <w:rFonts w:ascii="Arial" w:eastAsia="Calibri" w:hAnsi="Arial" w:cs="Arial"/>
          <w:sz w:val="20"/>
          <w:lang w:val="bg-BG"/>
        </w:rPr>
      </w:pPr>
      <w:r w:rsidRPr="007B13AF">
        <w:rPr>
          <w:rFonts w:ascii="Arial" w:eastAsia="Calibri" w:hAnsi="Arial" w:cs="Arial"/>
          <w:sz w:val="20"/>
          <w:lang w:val="bg-BG"/>
        </w:rPr>
        <w:t>Въз основа на консултациите на председателството, постепенното изравняване на нивата на директното подпомагане между ДЧ „трябва да продължи“, докато не бъде разработено подробно решение по този въпрос.</w:t>
      </w:r>
      <w:r>
        <w:rPr>
          <w:rFonts w:ascii="Arial" w:eastAsia="Calibri" w:hAnsi="Arial" w:cs="Arial"/>
          <w:sz w:val="20"/>
          <w:lang w:val="bg-BG"/>
        </w:rPr>
        <w:t xml:space="preserve"> </w:t>
      </w:r>
      <w:r w:rsidRPr="007B13AF">
        <w:rPr>
          <w:rFonts w:ascii="Arial" w:eastAsia="Calibri" w:hAnsi="Arial" w:cs="Arial"/>
          <w:sz w:val="20"/>
          <w:lang w:val="bg-BG"/>
        </w:rPr>
        <w:t xml:space="preserve">Разходите трябва да бъдат "в съответствие с политиките и ценностите на ЕС", където са необходими както условност, така и положителни стимули по механизма за върховенство на закона, политиките за климата и миграцията. В заключенията, приети от Европейския съвет на посоченото по-горе заседание, държавните и правителствени ръководители подчертават, че Европейският съвет е решен Европейският съюз да продължи да играе водеща роля в осъществяването на социално справедлив и </w:t>
      </w:r>
      <w:proofErr w:type="spellStart"/>
      <w:r w:rsidRPr="007B13AF">
        <w:rPr>
          <w:rFonts w:ascii="Arial" w:eastAsia="Calibri" w:hAnsi="Arial" w:cs="Arial"/>
          <w:sz w:val="20"/>
          <w:lang w:val="bg-BG"/>
        </w:rPr>
        <w:t>равнопоставен</w:t>
      </w:r>
      <w:proofErr w:type="spellEnd"/>
      <w:r w:rsidRPr="007B13AF">
        <w:rPr>
          <w:rFonts w:ascii="Arial" w:eastAsia="Calibri" w:hAnsi="Arial" w:cs="Arial"/>
          <w:sz w:val="20"/>
          <w:lang w:val="bg-BG"/>
        </w:rPr>
        <w:t xml:space="preserve"> екологичен преход в изпълнение на Парижкото споразумение. Европейският съвет ще </w:t>
      </w:r>
      <w:proofErr w:type="spellStart"/>
      <w:r w:rsidRPr="007B13AF">
        <w:rPr>
          <w:rFonts w:ascii="Arial" w:eastAsia="Calibri" w:hAnsi="Arial" w:cs="Arial"/>
          <w:sz w:val="20"/>
          <w:lang w:val="bg-BG"/>
        </w:rPr>
        <w:t>финализира</w:t>
      </w:r>
      <w:proofErr w:type="spellEnd"/>
      <w:r w:rsidRPr="007B13AF">
        <w:rPr>
          <w:rFonts w:ascii="Arial" w:eastAsia="Calibri" w:hAnsi="Arial" w:cs="Arial"/>
          <w:sz w:val="20"/>
          <w:lang w:val="bg-BG"/>
        </w:rPr>
        <w:t xml:space="preserve"> своите насоки относно дългосрочната стратегия на ЕС за  климата на срещата в края на годината. </w:t>
      </w:r>
      <w:bookmarkEnd w:id="0"/>
    </w:p>
    <w:p w:rsidR="007B13AF" w:rsidRPr="007B13AF" w:rsidRDefault="007B13AF" w:rsidP="00B70CFA">
      <w:pPr>
        <w:jc w:val="both"/>
        <w:rPr>
          <w:rFonts w:ascii="Arial" w:eastAsia="Calibri" w:hAnsi="Arial" w:cs="Arial"/>
          <w:color w:val="000000" w:themeColor="text1"/>
          <w:sz w:val="20"/>
          <w:lang w:val="bg-BG"/>
        </w:rPr>
      </w:pPr>
    </w:p>
    <w:p w:rsidR="006C2A67" w:rsidRPr="007B13AF" w:rsidRDefault="00B70CFA" w:rsidP="00185839">
      <w:pPr>
        <w:shd w:val="clear" w:color="auto" w:fill="FFFFFF"/>
        <w:jc w:val="both"/>
        <w:outlineLvl w:val="0"/>
        <w:rPr>
          <w:sz w:val="20"/>
          <w:lang w:val="bg-BG"/>
        </w:rPr>
      </w:pPr>
      <w:r w:rsidRPr="007B13AF">
        <w:rPr>
          <w:rFonts w:ascii="Arial" w:hAnsi="Arial" w:cs="Arial"/>
          <w:b/>
          <w:bCs/>
          <w:color w:val="000000" w:themeColor="text1"/>
          <w:kern w:val="36"/>
          <w:sz w:val="20"/>
          <w:lang w:val="bg-BG"/>
        </w:rPr>
        <w:t xml:space="preserve"> </w:t>
      </w: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sectPr w:rsidR="006C2A67" w:rsidRPr="007B13AF"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1E" w:rsidRDefault="0097191E">
      <w:r>
        <w:separator/>
      </w:r>
    </w:p>
  </w:endnote>
  <w:endnote w:type="continuationSeparator" w:id="0">
    <w:p w:rsidR="0097191E" w:rsidRDefault="0097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9719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97191E"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7B13AF">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97191E">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1E" w:rsidRDefault="0097191E">
      <w:r>
        <w:separator/>
      </w:r>
    </w:p>
  </w:footnote>
  <w:footnote w:type="continuationSeparator" w:id="0">
    <w:p w:rsidR="0097191E" w:rsidRDefault="0097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927049">
          <w:pPr>
            <w:rPr>
              <w:lang w:val="bg-BG"/>
            </w:rPr>
          </w:pPr>
          <w:r>
            <w:rPr>
              <w:rFonts w:ascii="Arial" w:hAnsi="Arial" w:cs="Arial"/>
              <w:b/>
              <w:i/>
              <w:color w:val="0000FF"/>
              <w:sz w:val="44"/>
              <w:szCs w:val="44"/>
              <w:lang w:val="en-US"/>
            </w:rPr>
            <w:t xml:space="preserve"> </w:t>
          </w:r>
          <w:r w:rsidR="00403CB9">
            <w:rPr>
              <w:rFonts w:ascii="Palatino Linotype" w:hAnsi="Palatino Linotype" w:cs="Palatino Linotype"/>
              <w:i/>
              <w:iCs/>
              <w:noProof/>
              <w:sz w:val="52"/>
              <w:szCs w:val="52"/>
              <w:lang w:val="bg-BG" w:eastAsia="bg-BG"/>
            </w:rPr>
            <w:drawing>
              <wp:inline distT="0" distB="0" distL="0" distR="0" wp14:anchorId="58CD61E0" wp14:editId="5A30C4D6">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sidR="00403CB9">
            <w:rPr>
              <w:rFonts w:ascii="Arial" w:hAnsi="Arial" w:cs="Arial"/>
              <w:b/>
              <w:i/>
              <w:color w:val="0000FF"/>
              <w:sz w:val="44"/>
              <w:szCs w:val="44"/>
              <w:lang w:val="bg-BG"/>
            </w:rPr>
            <w:t>INFO SHEET</w:t>
          </w:r>
          <w:r w:rsidR="00403CB9">
            <w:rPr>
              <w:rFonts w:ascii="Arial" w:hAnsi="Arial" w:cs="Arial"/>
              <w:b/>
              <w:i/>
              <w:color w:val="0000FF"/>
              <w:sz w:val="44"/>
              <w:szCs w:val="44"/>
              <w:lang w:val="en-US"/>
            </w:rPr>
            <w:t xml:space="preserve"> </w:t>
          </w:r>
          <w:r w:rsidR="00403CB9">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97191E"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97191E">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2A5150">
      <w:rPr>
        <w:rFonts w:ascii="Arial" w:hAnsi="Arial"/>
        <w:b/>
        <w:bCs/>
        <w:color w:val="800080"/>
        <w:sz w:val="20"/>
        <w:lang w:val="en-US"/>
      </w:rPr>
      <w:t>92</w:t>
    </w:r>
    <w:r>
      <w:rPr>
        <w:rFonts w:ascii="Arial" w:hAnsi="Arial"/>
        <w:b/>
        <w:bCs/>
        <w:color w:val="800080"/>
        <w:sz w:val="20"/>
        <w:lang w:val="bg-BG"/>
      </w:rPr>
      <w:t>/</w:t>
    </w:r>
    <w:r w:rsidR="00927049">
      <w:rPr>
        <w:rFonts w:ascii="Arial" w:hAnsi="Arial"/>
        <w:b/>
        <w:bCs/>
        <w:color w:val="800080"/>
        <w:sz w:val="20"/>
        <w:lang w:val="en-US"/>
      </w:rPr>
      <w:t xml:space="preserve"> </w:t>
    </w:r>
    <w:r w:rsidR="002A5150">
      <w:rPr>
        <w:rFonts w:ascii="Arial" w:hAnsi="Arial"/>
        <w:b/>
        <w:bCs/>
        <w:color w:val="800080"/>
        <w:sz w:val="20"/>
        <w:lang w:val="en-US"/>
      </w:rPr>
      <w:t>21</w:t>
    </w:r>
    <w:r w:rsidR="00910462">
      <w:rPr>
        <w:rFonts w:ascii="Arial" w:hAnsi="Arial"/>
        <w:b/>
        <w:bCs/>
        <w:color w:val="800080"/>
        <w:sz w:val="20"/>
        <w:lang w:val="en-US"/>
      </w:rPr>
      <w:t>.10</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81DAE"/>
    <w:rsid w:val="000A194A"/>
    <w:rsid w:val="000A31F0"/>
    <w:rsid w:val="000C5898"/>
    <w:rsid w:val="000F794B"/>
    <w:rsid w:val="00105817"/>
    <w:rsid w:val="00131A6D"/>
    <w:rsid w:val="00134872"/>
    <w:rsid w:val="0013606E"/>
    <w:rsid w:val="0014608C"/>
    <w:rsid w:val="001639CC"/>
    <w:rsid w:val="0017340A"/>
    <w:rsid w:val="00173E25"/>
    <w:rsid w:val="0017563B"/>
    <w:rsid w:val="00180441"/>
    <w:rsid w:val="00185839"/>
    <w:rsid w:val="00186654"/>
    <w:rsid w:val="001C06A0"/>
    <w:rsid w:val="001E1EAA"/>
    <w:rsid w:val="001E4C01"/>
    <w:rsid w:val="001F2EC7"/>
    <w:rsid w:val="001F39F7"/>
    <w:rsid w:val="00205FB7"/>
    <w:rsid w:val="002610A9"/>
    <w:rsid w:val="00274F4E"/>
    <w:rsid w:val="00285183"/>
    <w:rsid w:val="002A5150"/>
    <w:rsid w:val="002A6A4C"/>
    <w:rsid w:val="002D25F9"/>
    <w:rsid w:val="002F1104"/>
    <w:rsid w:val="002F6211"/>
    <w:rsid w:val="00300FA3"/>
    <w:rsid w:val="00304D05"/>
    <w:rsid w:val="00305784"/>
    <w:rsid w:val="00313FBA"/>
    <w:rsid w:val="00320AF0"/>
    <w:rsid w:val="00353ACF"/>
    <w:rsid w:val="00374FB4"/>
    <w:rsid w:val="003877CA"/>
    <w:rsid w:val="003952CE"/>
    <w:rsid w:val="003A56BA"/>
    <w:rsid w:val="003B7AAB"/>
    <w:rsid w:val="003C1BFF"/>
    <w:rsid w:val="003E118D"/>
    <w:rsid w:val="003E362B"/>
    <w:rsid w:val="003E5CB2"/>
    <w:rsid w:val="00403CB9"/>
    <w:rsid w:val="004133A8"/>
    <w:rsid w:val="00422311"/>
    <w:rsid w:val="0044148C"/>
    <w:rsid w:val="00446398"/>
    <w:rsid w:val="0048522D"/>
    <w:rsid w:val="004923C1"/>
    <w:rsid w:val="00502A0A"/>
    <w:rsid w:val="0052083F"/>
    <w:rsid w:val="005247A5"/>
    <w:rsid w:val="00537A32"/>
    <w:rsid w:val="0058780E"/>
    <w:rsid w:val="005A0184"/>
    <w:rsid w:val="005B4574"/>
    <w:rsid w:val="005C1BB7"/>
    <w:rsid w:val="00600589"/>
    <w:rsid w:val="00602904"/>
    <w:rsid w:val="006367A9"/>
    <w:rsid w:val="0065021A"/>
    <w:rsid w:val="006822E9"/>
    <w:rsid w:val="00682667"/>
    <w:rsid w:val="006961F0"/>
    <w:rsid w:val="006A739D"/>
    <w:rsid w:val="006C2A67"/>
    <w:rsid w:val="006F5EEC"/>
    <w:rsid w:val="00705B40"/>
    <w:rsid w:val="00734448"/>
    <w:rsid w:val="007846E5"/>
    <w:rsid w:val="007A388B"/>
    <w:rsid w:val="007A689F"/>
    <w:rsid w:val="007A70E6"/>
    <w:rsid w:val="007B03F2"/>
    <w:rsid w:val="007B13AF"/>
    <w:rsid w:val="007D7438"/>
    <w:rsid w:val="007F4E89"/>
    <w:rsid w:val="00800CBB"/>
    <w:rsid w:val="008030C3"/>
    <w:rsid w:val="00816686"/>
    <w:rsid w:val="0082007C"/>
    <w:rsid w:val="008206C1"/>
    <w:rsid w:val="0083232B"/>
    <w:rsid w:val="00845489"/>
    <w:rsid w:val="00852DE4"/>
    <w:rsid w:val="00861450"/>
    <w:rsid w:val="0087702E"/>
    <w:rsid w:val="0087763E"/>
    <w:rsid w:val="008836F2"/>
    <w:rsid w:val="008D70F6"/>
    <w:rsid w:val="008E0F81"/>
    <w:rsid w:val="00910462"/>
    <w:rsid w:val="00927049"/>
    <w:rsid w:val="00934FA6"/>
    <w:rsid w:val="009355BA"/>
    <w:rsid w:val="009704A2"/>
    <w:rsid w:val="0097191E"/>
    <w:rsid w:val="00972353"/>
    <w:rsid w:val="0099695D"/>
    <w:rsid w:val="009A5D09"/>
    <w:rsid w:val="009D0924"/>
    <w:rsid w:val="009D6F1E"/>
    <w:rsid w:val="009F4E95"/>
    <w:rsid w:val="009F7022"/>
    <w:rsid w:val="00A1170C"/>
    <w:rsid w:val="00A447C0"/>
    <w:rsid w:val="00A56825"/>
    <w:rsid w:val="00A673EB"/>
    <w:rsid w:val="00AB1841"/>
    <w:rsid w:val="00AC73DE"/>
    <w:rsid w:val="00AE14FF"/>
    <w:rsid w:val="00AE2FF4"/>
    <w:rsid w:val="00B16835"/>
    <w:rsid w:val="00B34793"/>
    <w:rsid w:val="00B628D1"/>
    <w:rsid w:val="00B64F87"/>
    <w:rsid w:val="00B70CFA"/>
    <w:rsid w:val="00B73DA3"/>
    <w:rsid w:val="00B8112B"/>
    <w:rsid w:val="00B853D4"/>
    <w:rsid w:val="00B90317"/>
    <w:rsid w:val="00B93F21"/>
    <w:rsid w:val="00BA3353"/>
    <w:rsid w:val="00BC70E2"/>
    <w:rsid w:val="00BE55CA"/>
    <w:rsid w:val="00BF118B"/>
    <w:rsid w:val="00BF28EC"/>
    <w:rsid w:val="00C00F88"/>
    <w:rsid w:val="00C20809"/>
    <w:rsid w:val="00C3643A"/>
    <w:rsid w:val="00C37B23"/>
    <w:rsid w:val="00C60D17"/>
    <w:rsid w:val="00C6312D"/>
    <w:rsid w:val="00C718EB"/>
    <w:rsid w:val="00CB196D"/>
    <w:rsid w:val="00CE5E69"/>
    <w:rsid w:val="00D1195A"/>
    <w:rsid w:val="00D167B1"/>
    <w:rsid w:val="00D3159B"/>
    <w:rsid w:val="00D32B06"/>
    <w:rsid w:val="00D43BBD"/>
    <w:rsid w:val="00D61B59"/>
    <w:rsid w:val="00D80D84"/>
    <w:rsid w:val="00D8519B"/>
    <w:rsid w:val="00DA4860"/>
    <w:rsid w:val="00DC5A8E"/>
    <w:rsid w:val="00DF7E91"/>
    <w:rsid w:val="00E02B6A"/>
    <w:rsid w:val="00E17E07"/>
    <w:rsid w:val="00E2125A"/>
    <w:rsid w:val="00E23670"/>
    <w:rsid w:val="00E24FA2"/>
    <w:rsid w:val="00E256E7"/>
    <w:rsid w:val="00E44DF1"/>
    <w:rsid w:val="00E6099A"/>
    <w:rsid w:val="00EA4B29"/>
    <w:rsid w:val="00EA4B99"/>
    <w:rsid w:val="00EB0F17"/>
    <w:rsid w:val="00EB783C"/>
    <w:rsid w:val="00EC0DDC"/>
    <w:rsid w:val="00EE7B1B"/>
    <w:rsid w:val="00EE7EBA"/>
    <w:rsid w:val="00F23698"/>
    <w:rsid w:val="00F23EFD"/>
    <w:rsid w:val="00F4416D"/>
    <w:rsid w:val="00F531AD"/>
    <w:rsid w:val="00FD2818"/>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B70C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customStyle="1" w:styleId="Heading1Char">
    <w:name w:val="Heading 1 Char"/>
    <w:basedOn w:val="DefaultParagraphFont"/>
    <w:link w:val="Heading1"/>
    <w:uiPriority w:val="9"/>
    <w:rsid w:val="00B70CFA"/>
    <w:rPr>
      <w:rFonts w:asciiTheme="majorHAnsi" w:eastAsiaTheme="majorEastAsia" w:hAnsiTheme="majorHAnsi" w:cstheme="majorBidi"/>
      <w:b/>
      <w:bCs/>
      <w:color w:val="2E74B5" w:themeColor="accent1" w:themeShade="BF"/>
      <w:sz w:val="28"/>
      <w:szCs w:val="28"/>
      <w:lang w:val="en-GB"/>
    </w:rPr>
  </w:style>
  <w:style w:type="paragraph" w:styleId="ListParagraph">
    <w:name w:val="List Paragraph"/>
    <w:basedOn w:val="Normal"/>
    <w:uiPriority w:val="34"/>
    <w:qFormat/>
    <w:rsid w:val="000F7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B70C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customStyle="1" w:styleId="Heading1Char">
    <w:name w:val="Heading 1 Char"/>
    <w:basedOn w:val="DefaultParagraphFont"/>
    <w:link w:val="Heading1"/>
    <w:uiPriority w:val="9"/>
    <w:rsid w:val="00B70CFA"/>
    <w:rPr>
      <w:rFonts w:asciiTheme="majorHAnsi" w:eastAsiaTheme="majorEastAsia" w:hAnsiTheme="majorHAnsi" w:cstheme="majorBidi"/>
      <w:b/>
      <w:bCs/>
      <w:color w:val="2E74B5" w:themeColor="accent1" w:themeShade="BF"/>
      <w:sz w:val="28"/>
      <w:szCs w:val="28"/>
      <w:lang w:val="en-GB"/>
    </w:rPr>
  </w:style>
  <w:style w:type="paragraph" w:styleId="ListParagraph">
    <w:name w:val="List Paragraph"/>
    <w:basedOn w:val="Normal"/>
    <w:uiPriority w:val="34"/>
    <w:qFormat/>
    <w:rsid w:val="000F7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20611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farming/facts-and-figures/markets/overviews/market-observatories_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Snezhana Blagoeva</cp:lastModifiedBy>
  <cp:revision>4</cp:revision>
  <dcterms:created xsi:type="dcterms:W3CDTF">2019-10-21T08:36:00Z</dcterms:created>
  <dcterms:modified xsi:type="dcterms:W3CDTF">2019-10-21T11:31:00Z</dcterms:modified>
</cp:coreProperties>
</file>