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28205066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ПРАВИЛНИК ЗА ПРИЛАГАНЕ НА ЗАКОНА ЗА ТЮТЮНА, ТЮТЮНЕВИТЕ И СВЪРЗАНИТЕ С ТЯХ ИЗДЕЛИЯ (ЗАГЛ. ИЗМ. И ДОП. - ДВ, БР. 77 ОТ 2016 Г., В СИЛА ОТ 04.10.2016 Г.)</w:t>
      </w:r>
    </w:p>
    <w:p w:rsidR="00000000" w:rsidRDefault="00FD29C4">
      <w:pPr>
        <w:spacing w:after="0" w:line="240" w:lineRule="auto"/>
        <w:ind w:firstLine="1155"/>
        <w:textAlignment w:val="center"/>
        <w:divId w:val="6208463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Приет с ПМС № 39 от 21.02.1994 г.</w:t>
      </w:r>
    </w:p>
    <w:p w:rsidR="00000000" w:rsidRDefault="00FD29C4">
      <w:pPr>
        <w:spacing w:before="100" w:beforeAutospacing="1" w:after="100" w:afterAutospacing="1" w:line="240" w:lineRule="auto"/>
        <w:ind w:firstLine="1155"/>
        <w:jc w:val="both"/>
        <w:textAlignment w:val="center"/>
        <w:divId w:val="61664403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бр.18 от 1 март 1994г.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бр.99 от 2 декември 1994г.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бр.86 от 11 октомври 1996г.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бр.18 от 28 февруари 1997г.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бр.100 от 31 октомври 1997г.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бр.60 от 2 юли 1999г.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бр.114 от 30 декември 1999г.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бр.62 от 13 юли 2001г.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бр.78 от 11 септември 2001г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бр.96 от 9 ноември 2001г.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бр.3 от 10 януари 2003г.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бр.69 от 6 август 2004г.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бр.71 от 13 август 2004г.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бр.78 от 30 септември 2005г.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бр.100 от 13 декември 2005г.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бр.83 от 13 октомври 200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бр.62 от 31 юли 2007г.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бр.26 от 7 март 2008г.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бр.71 от 12 август 2008г.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бр.39 от 26 май 2009г.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бр.93 от 24 ноември 2009г.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бр.47 от 22 юни 2012г.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бр.40 от 2 юни 2015г.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бр.77 от 4 октомври 2016г.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доп. ДВ. бр.19 от 28 февруари 2017г.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доп. ДВ. бр.75 от 24 септември 2019г.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бр.62 от 27 юли 2021г.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бр.53 от 8 юли 2022г.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изм. ДВ. бр.9 от 30 януари 2024г.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2767180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86047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1. (Изм.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 62 от 2001 г.) (1) Държавната политика в областта на тютюна и тютюневите изделия се осъществява чрез национална стратегия за развитие на тютюнопроизводството.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63047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Националната стратегия за развитие на тютюнопроизводството се изготвя въз основа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36298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национални цели и интереси, свързани с производството, изкупуването и реализацията на тютюна и тютюневите изделия;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38867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регионални стратегии за развитие на тютюнопроизводството, разработени от областните управители.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27340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62 от 2021 г.,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- ДВ, бр. 9 от 2024 г., в сила от 01.02.2024 г.) Националната стратегия се обсъжда от Консултативния съвет по тютюна към министъра на земеделието и храните.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12673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62 от 2007 г., в сила от 19.07.2007 г., изм. - ДВ, бр. 71 от 2008 г., изм.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ДВ, бр. 62 от 2021 г., изм. - ДВ, бр. 9 от 2024 г., в сила от 01.02.2024 г.) Министърът на земеделието и храните внася предложение в Министерския съвет за утвърждаване на националната стратегия за развитие на тютюнопроизводството.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23723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62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2021 г.) Националната стратегия за развитие на тютюнопроизводството се разработва за период от 7 години.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059590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62619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2. (Изм. - ДВ, бр. 62 от 2001 г., изм. - ДВ, бр. 62 от 2021 г.) Тютюнопроизводители са физически и юридически лица, вписани в регистъра по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ал. 2 от Закона за тютюна, тютюневите и свързаните с тях изделия (ЗТТСТИ).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875238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7224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506287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0511065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ПРОИЗВОДСТВО НА ТЮТЮН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46985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(Изм. - ДВ, бр. 62 от 2021 г.) (1) (Изм. - ДВ, бр. 9 от 2024 г., в сила от 01.02.2024 г.)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изводството на тютюн се извършва по технологични инструкции за производство на разсад, разсаждане, отглеждане, бране, сушене и производителска манипулация, утвърдени със заповед на министъра на земеделието и храните.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41564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Тютюнопроизводителите произвеждат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или купуват от други регистрирани производители разсада, като за целта могат да се използват само семена от този тип и сорт тютюн.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139691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Всеки тютюнопроизводител е длъжен да унищожи неупотребения разсад през производствената година.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2680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4а. (Нов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62 от 2021 г.) (1) Производството, контролът върху качеството, чистотата и произходът на тютюневите семена и търговията с тях се извършват при условията и по реда на чл. 5, ал. 3 - 5 от ЗТТСТИ.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600721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сортовата структура на тютюнопроизводството участват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 сортове, които са включени в Официалната сортова листа на Република България.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74332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(Изм. - ДВ, бр. 62 от 2001 г.) Забранява се засаждането на тютюн в смес с други земеделски култури.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87486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Беритбата на вторични листа (филизи) се забранява.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10309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62 от 2021 г.) Брането на вторични листа (филизи) се допуска само в случай на градушка по преценка и с предварително разрешение на фирмата, с която тютюнопроизводителите имат договор за изкупуване на произведения тютюн.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79885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(Доп. - ДВ, бр. 62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2021 г.) Всеки тютюнопроизводител е длъжен да изкорени/заоре тютюневите стъбла в 30-дневен срок от приключване брането на тютюна с изключение на тютюневите стъбла върху силно наклонени терени.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861016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187400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6. (Изм. - ДВ, бр. 62 от 2001 г., отм. - ДВ, бр. 62 от 2021 г.) 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058702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7. (Изм. - ДВ, бр. 62 от 2001 г., отм. - ДВ, бр. 62 от 2021 г.) 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63914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8. (Изм. - ДВ, бр. 62 от 2001 г., отм. - ДВ, бр. 62 от 2021 г.) 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516970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9. (Изм. - ДВ, бр. 62 от 2001 г., отм.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бр. 62 от 2021 г.) 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09114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10. (Изм. - ДВ, бр. 62 от 2001 г., отм. - ДВ, бр. 62 от 2021 г.) 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6393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(Изм. - ДВ, бр. 62 от 2001 г., отм. - ДВ, бр. 62 от 2021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3571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12. (Изм. - ДВ, бр. 62 от 2001 г., 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644777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3148432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ОКАЧЕСТВЯВАНЕ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ТЮТЮНА ПРИ ИЗКУПУВАНЕ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38064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(Изм. - ДВ, бр. 62 от 2001 г.) (1) (Изм. - ДВ, бр. 77 от 2016 г., в сила от 04.10.2016 г.) Минималните качествени изисквания, определени в приложение № 2, са задължителни за тютюнопроизводителите при производителската заг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на суровия тютюн и за лицата по чл. 21, ал. 1 ЗТТСТИ при окачествяване и изкупуване на тютюна от тютюнопроизводителите.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05314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Качествената класификация на суровия тютюн се определя в три класи в съответствие с раздел II "Качествена класификация" 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 № 2.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06193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Влагосъдържанието на тютюна, определено при окачествяването и надвишаващо определеното в приложение № 3, не се заплаща.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63734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Полепналите по тютюневите листа почвени частици (пръст и пясък) не се заплащат и се приспадат по реалната им маса.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84571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Определянето на влагосъдържанието се извършва съгласно приложение № 4, а на пясък - съгласно приложение № 5.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62549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Не се окачествява и не се заплаща тютюн по раздел I "Качествени ограничения" на приложение № 2.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83666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Не подлежат на окачествяване производи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телски опаковки: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54249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опаковани с материали от изкуствена материя;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51538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съдържащи: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5228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листа по раздел I на приложение № 2, когато надвишават 5 на сто от общото количество;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64998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чужди нетютюневи примеси.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981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(отм. - ДВ, бр. 3 от 2003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40893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(отм. - ДВ, бр. 3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3507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Производителските опаковки по ал. 7 се окачествяват след преработването им от производителите.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996107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4017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(Изм. - ДВ, бр. 62 от 2001 г.) Изсушеният тютюн се окачествява на производителска опаковка.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270355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89276204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ИЗКУПУВАНЕ НА ТЮТЮНА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20087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899238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13482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(Изм. и доп. - ДВ, бр. 62 от 2001 г.) Изкупува се тютюн по типове и произходи, който е изсушен, манипулиран и опакован от производителите съгласно минималните качествени изисквания по приложение № 2.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42960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(Отм. - ДВ, бр. 62 от 2001 г., нова - ДВ, бр. 62 от 2021 г.) Допуска се изкупуване на неизсушени едролистни тютюни съгласно минимални качествени изисквания, съгласувани с качествена спецификация с минимум от три класа, съгласно приложение № 2.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78869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845363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Изм. - ДВ, бр. 62 от 2001 г., 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312760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40364516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ИЗКУПНИ ЦЕНИ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177619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18. (Отм. - ДВ, бр. 62 от 2021 г.) 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01515678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ПРЕМИРАНЕ НА ТЮТЮНОПРОИЗВОДИТЕЛИТЕ (ЗАГЛ. ИЗМ. - ДВ, БР. 62 ОТ 2001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30728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(Изм. - ДВ, бр. 62 от 2001 г., отм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257326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06304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(Изм. - ДВ, бр. 62 от 2001 г., 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91793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1589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792505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58792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016541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13000263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 "а".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УНИЩОЖАВАНЕ НА ТЮТЮН, ОТНЕТ В ПОЛЗА НА ДЪРЖАВАТА (НОВА 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ДВ, БР. 62 ОТ 2021 Г.)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9939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22а. (Нов - ДВ, бр. 62 от 2021 г.) (1) В случаите по чл. 44, 44а и 44б от ЗТТСТИ отнетият в полза на държавата тютюн се унищожава след влизането в сила на наказателното постановление.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265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Разходите по унищожаването, включително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съхранението на тютюна за периода след влизането в сила на наказателното постановление и за транспортирането му до мястото на унищожаването, са за сметка на нарушителя.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7811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Разходите за съхранение на отнетия в полза на държавата тютюн до влизането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на наказателното постановление, освен когато отнетият тютюн е предаден за пазене на нарушителя, са за сметка на административнонаказващия орган.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45821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22б. (Нов - ДВ, бр. 62 от 2021 г.) (1) Отнетият в полза на държавата тютюн се унищожава само в обекти,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които е издадено разрешение, комплексно разрешително или регистрационен документ съгласно чл. 35 от Закона за управление на отпадъците за дейности с отпадъци с кодове, както следва: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2288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използване на отпадъците предимно като гориво или друг начин за получ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 на енергия (R1);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21014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наземно изгаряне (D10);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41672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компостиране и други процеси на биологична трансформация (R3), доколкото това е приложимо.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347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Унищожаването на тютюна се извършва в присъствието на служители, определени със заповед на директора на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стната дирекция "Земеделие" или упълномощено от него длъжностно лице. За извършеното унищожаване се съставя протокол, който се подписва от представител/представители на лицето, в чийто обект се извършва унищожаването. Протоколът се прилага към администрати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внонаказателната преписка и се изпраща за сведение до административнонаказващия орган.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71077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Тютюнът за унищожаване се транспортира до мястото на унищожаване, придружен със съответните документи, удостоверяващи съответствие на обемите на конфискувания в полз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държавата тютюн и временното му съхранение.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59795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Тютюнът по ал. 1 се унищожава по начин, непозволяващ употребата му като тютюневи изделия или суровина за производство на тютюневи изделия, независимо от неговото качеството или използваемост.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782919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Когато тютюнът не може да се унищожи в рамките на 24 часа от започване на действията по унищожаването, директорът на Областната дирекция "Земеделие" по местонахождение на обекта по ал. 1 организира последващото осъществяване на контрола, включително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извършване на допълнителни или периодични проверки. За съответните действия се съставя протокол.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43794868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седма.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ИЗДАВАНЕ НА РАЗРЕШЕНИЯ (ЗАГЛ. ИЗМ. - ДВ, БР. 62, 2001 Г.)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9458901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Издаване на разрешения за промишлена обработка на тютюн и за производство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тютюневи изделия (Загл. изм. - ДВ, бр. 62 от 2001 г., отм. - ДВ, бр. 71 от 2004 г., в сила от 01.09.2004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19916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(Изм. - ДВ, бр. 62 от 2001 г., отм. - ДВ, 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015840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09608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24. (Изм. - ДВ, бр. 62 от 2001 г., отм.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35864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29665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(Изм. - ДВ, бр. 62 от 2001 г., отм. - ДВ, 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99150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24515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(Изм. - ДВ, бр. 62 от 2001 г., отм. - ДВ, 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113815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66685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27. (Изм.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62 от 2001 г., отм. - ДВ, 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46775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2834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(Изм. - ДВ, бр. 62 от 2001 г., отм. - ДВ, бр. 71 от 2004 г., в сила от 01.09.2004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44168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380250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97820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0668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11536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4400045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Комисия по чл. 21, ал. 3 ЗТТИ (Отм. - ДВ, бр. 62 от 2001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5345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31.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93739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985712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Издаване на разрешения за търговия с тютюневи изделия (Изм. - ДВ, бр. 62 от 2001 г., отм. - ДВ, бр. 77 от 2016 г., в сила от 04.10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357659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(Изм. - ДВ, бр. 62 от 2001 г., отм. - ДВ, бр. 77 от 2016 г., в сила от 04.10.2016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550844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32а. (Нов - ДВ, бр. 62 от 2001 г., отм. - ДВ, бр. 77 от 2016 г., в сила от 04.10.2016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223248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33. (Изм. - ДВ, бр. 62 от 2001 г., отм. - ДВ, бр. 77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2016 г., в сила от 04.10.2016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61266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(Отм. - ДВ, бр. 77 от 2016 г., в сила от 04.10.2016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28033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34а. (Нов - ДВ, бр. 62 от 2001 г., отм. - ДВ, бр. 77 от 2016 г., в сила от 04.10.2016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95159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25931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34б. (Нов - ДВ, бр. 62 от 2001 г., отм. - ДВ, бр. 77 от 2016 г., в сила от 04.10.2016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32926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(Отм. - ДВ, бр. 77 от 2016 г., в сила от 04.10.2016 г.)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6236545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Обжалване (Отм. - ДВ, бр. 62 от 2001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40650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36. (Отм. - ДВ, бр. 62 от 2001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190068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34020545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осма.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БАНДЕРОЛ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03292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24411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71287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715545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89703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23764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16683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(Отм. - ДВ, бр. 26 от 2008 г.,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3797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965622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54668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682245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41а. (Нов - ДВ, бр. 71 от 2004 г., в сила от 01.01.2005 г., 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30980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9406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(Отм. - ДВ, бр. 26 от 2008 г.,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59252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67090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43.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932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366640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81268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73572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(Изм. - ДВ, бр. 26 от 2008 г., в сила от 07.03.2008 г.) (1) Производителите, вносителите 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цата, които въвеждат от друга държава - членка на Европейския съюз, или от държава - страна по Споразумението за Европейското икономическо пространство, тютюневи изделия, са длъжни да ги продават на вътрешния пазар: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093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облепени с бандерол;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01446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лица, получили разрешение за търговия с тютюневи изделия.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87944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77 от 2016 г., в сила от 04.10.2016 г.) Във фактурата за продажба на тютюневи изделия освен задължителните реквизити се вписват ЕИК на търговеца и номерът и датата на разре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шението за търговия с тютюневи изделия.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612742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37926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65509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29272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47. (Отм. - ДВ, бр. 26 от 2008 г., в сила от 07.03.2008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89096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4484328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Глава осма "а".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ПРЕДСТАВЯНЕ НА ДАННИ И ИНФОРМАЦИЯ ЗА ТЮТЮНЕВИ ИЗДЕЛИЯ (НОВА - ДВ,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БР. 77 ОТ 2016 Г., В СИЛА ОТ 04.10.2016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7706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47а. (Нов - ДВ, бр. 77 от 2016 г., в сила от 04.10.2016 г.) (1) (Oтм. - ДВ, бр. 62 от 2021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36435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Производителите, вносителите и лицата, които въвеждат на територията на страната от друга държава - членка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Европейския съюз, тютюневи изделия, представят ежегодно до 30 юни информацията по чл. 35д, ал. 1, т. 3 ЗТТСТИ за предходната календарна година.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7267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Националната агенция за приходите и/или Агенция "Митници" представят ежегодно до 30 юни информацията по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35д, ал. 3 ЗТТСТИ за предходната календарна година.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94346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47б. (Нов - ДВ, бр. 77 от 2016 г., в сила от 04.10.2016 г., изм. - ДВ, бр. 62 от 2021 г.) Производителите и вносителите на цигари и тютюн за ръчно свиване на цигари, представят на Института по тютюн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тютюневите изделия и информация за добавките, определени с Решение за изпълнение (ЕС) 2016/787 на Комисията от 18 май 2016 г. за съставяне на приоритетен списък на добавките, съдържащи се в цигарите и тютюна за ръчно свиване на цигари, които подлежат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задължения за разширено уведомяване (ОВ, L 131/88 от 20 май 2016 г.).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98463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47в. (Нов - ДВ, бр. 77 от 2016 г., в сила от 04.10.2016 г.) (1) Производителите, вносителите и лицата, които въвеждат на територията на страната от друга държава - членка на Европе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йския съюз, нови тютюневи изделия, посочват в информацията по чл. 26а, ал. 4, т. 1 ЗТТСТИ дали изделието попада в категорията на "тютюневи изделия за пушене", или в категорията на "бездимни тютюневи изделия".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75790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ново тютюнево изделие попада в катег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орията на "бездимни тютюневи изделия", информацията по чл. 26а, ал. 4 ЗТТСТИ трябва да включва данни и резултати от изследвания, извършени чрез признати научни методи, които доказват, че при употребата на изделието в съответствие с указанието за употреба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чл. 26а, ал. 4, т. 2 ЗТТСТИ няма процес на горене на тютюна.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30346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производителите, вносителите и лицата, които въвеждат на територията на страната от друга държава - членка на Европейския съюз, ново тютюнево изделие, искат да предоставят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потребителите относно нивото на риска от употребата на това изделие в сравнение с цигари или други тютюневи изделия за пушене, към уведомлението по чл. 26а, ал. 1 ЗТТСТИ освен данните и информацията по чл. 26а, ал. 4 ЗТТСТИ се прилага и: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41985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която искат да предоставят на потребителите относно нивото на риска, свързан с употребата на това изделие;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00700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подробно описание на извършените научни изследвания, включващо: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3244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оценка на нивата на емисиите на токсичните вещества в сравнение с цигари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 тютюневи изделия за пушене, извършена чрез признати научни методи;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3698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резултати от предклинични изследвания, извършени съгласно международно признати анализи и в съответствие с "Добрите лабораторни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практики" на Организацията за икономическо сътрудни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и развитие, които показват нивото на токсичност в сравнение с цигари или други тютюневи изделия за пушене;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00024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резултати от клинични изследвания, извършени съгласно "Добрата клинична практика", относно излагането на вредни съставки и/или емисии и 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 заболеваемостта при употребата на новото тютюнево изделие в сравнение с цигари или други тютюневи изделия за пушене.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82150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53 от 2022 г., в сила от 08.07.2022 г.) Производителите, вносителите и лицата, които въвеждат на територията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траната от друга държава - членка на Европейския съюз, ново тютюнево изделие, представят на Министерството на икономиката и индустрията наличната информация за въздействието на това изделие върху възприемането, поведението, здравето и потреблението на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ебителите при обичайни условия на употреба, включително данни за неблагоприятни последици.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2267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Производителите, вносителите и лицата, които въвеждат на територията на страната от друга държава - членка на Европейския съюз, ново тютюнево изделие, представят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до 30 юни информацията по ал. 4 за предходната календарна година.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87553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(Изм. - ДВ, бр. 53 от 2022 г., в сила от 08.07.2022 г.) След получаването на становищата по чл. 26а, ал. 7 ЗТТСТИ Министерството на икономиката и индустрията вписва в регистъра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26б ЗТТСТИ информацията по чл. 26а, ал. 1 - 4 ЗТТСТИ, с изключение на информацията, която представлява търговска тайна.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60715264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осма "б".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УВЕДОМЛЕНИЕ ЗА ЕЛЕКТРОННИ ЦИГАРИ И КОНТЕЙНЕРИ ЗА МНОГОКРАТНО ПЪЛНЕНЕ (НОВА - ДВ, БР. 77 ОТ 2016 Г., В СИЛА ОТ 04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89945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47г. (Нов - ДВ, бр. 77 от 2016 г., в сила от 04.10.2016 г.) (1) (Отм.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515340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Производителите, вносителите и лицата, които въвеждат на територията на страната от друга държава -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ленка на Европейския съюз, електронни цигари и контейнери за многократно пълнене, предоставят ежегодно до 30 юни информацията по чл. 43б, ал. 1, т. 1 ЗТТСТИ за предходната календарна година.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65452627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осма "в".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УВЕДОМЛЕНИЕ ЗА СЪСТАВКИТЕ НА ИЗДЕЛИЯ ЗА ПУШЕНЕ, 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АЗЛИЧНИ ОТ ТЮТЮНЕВИТЕ ИЗДЕЛИЯ (НОВА - ДВ, БР. 19 ОТ 2017 Г., В СИЛА ОТ 28.02.2017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91986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47д. (Нов - ДВ, бр. 19 от 2017 г., в сила от 28.02.2017 г.) (1) Производителите, вносителите и лицата, които въвеждат на територията на страната от друга държава -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ленка на Европейския съюз, изделия за пушене,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различни от тютюневи изделия, представят информацията по чл. 43к, ал. 1, т. 1 и ал. 2 ЗТТСТИ чрез Общия портал на Европейския съюз (EU-CEG).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90888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717580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(Отм. - ДВ, бр. 62 от 2021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42561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47е. (Нов - ДВ, бр. 19 от 2017 г., в сила от 28.02.2017 г.) При представяне на информацията по чл. 43к, ал. 1, т. 1 и ал. 2 ЗТТСТИ производителите, вносителите и лицата, които въвеждат на територията на страната от друга държава - членка на Европейски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съюз, изделия за пушене, различни от тютюневи изделия, посочват коя част от нея считат за търговска тайна.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00632329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девета.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ТЪРГОВИЯ С ОБРАБОТЕН ТЮТЮН, ТЮТЮНЕВИ И СВЪРЗАНИ С ТЯХ ИЗДЕЛИЯ (ЗАГЛ. ИЗМ. - ДВ, БР. 62 ОТ 2001 Г., ИЗМ. И ДОП. - ДВ, БР. 77 ОТ 2016 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., В СИЛА ОТ 04.10.2016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25428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(Отм. - ДВ, бр. 71 от 2004 г., в сила от 01.01.2005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849711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1675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49. (Изм. - ДВ, бр. 62 от 2001 г., отм. - ДВ, бр. 71 от 2004 г., в сила от 01.01.2005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863785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39036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49а. (Нов - ДВ, бр. 62 от 2001 г., отм. - ДВ, бр. 71 от 2004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в сила от 01.01.2005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685643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56267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50. (Отм. - ДВ, бр. 71 от 2004 г., в сила от 01.01.2005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99012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345519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51. (Изм. - ДВ, бр. 62 от 2001 г., отм. - ДВ, бр. 71 от 2004 г., в сила от 01.01.2005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90193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48058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52. (Изм. - ДВ, бр. 77 от 2016 г., в сила от 04.10.2016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Всяка потребителска опаковка и всяка външна опаковка на тютюневите изделия трябва да съдържа: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11480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съответните здравни предупреждения по чл. 35з, ал. 1, чл. 35к, ал. 1, чл. 35л, ал. 1 и чл. 35м, ал. 1 и 2 ЗТТСТИ;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2022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броя на късовете цигари, пури и пурет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теглото на тютюн за ръчно свиване на цигари, тютюн за водна лула, тютюн за лула, тютюн за дъвчене и смъркане;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42708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производител и вносител, ако тютюневото изделие е от внос.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890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75 от 2019 г., в сила от 24.09.2019 г.) Потребителската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аковка на тютюневите изделия, различни от цигарите и тютюна за ръчно свиване на цигари трябва да се маркира по подходящ начин, чрез който се осигурява идентификация на мястото и времето (датата) на производството на съответното изделие.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20057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(Доп.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от 2019 г., в сила от 24.09.2019 г., изм. - ДВ, бр. 53 от 2022 г., в сила от 08.07.2022 г.) Когато потребителските опаковки съдържат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цифров и/или буквен код на мястото и времето (датата) на производство, както и при промяна на този код, производителите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вносителите и лицата, които въвеждат от друга държава - членка на Европейския съюз, или от държава - страна по Споразумението за Европейското икономическо пространство, или от Конфедерация Швейцария тютюневи изделия, различни от цигарите и тютюна за ръчн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свиване на цигари, представят в Министерството на икономиката и индустрията информация за цифрите и/или буквите от кода, идентифициращи датата на производство. Информацията се предоставя не по-късно от 14 дни преди пускането на тютюневите изделия, различ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от цигарите и тютюна за ръчно свиване на цигари на пазара.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764643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52а. (Нов - ДВ, бр. 77 от 2016 г., в сила от 04.10.2016 г.) За тютюна за ръчно свиване на цигари в опаковки с форма на калъф общото предупреждение по чл. 35з, ал. 1, т. 1 и информационното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ъобщение по чл. 35з, ал. 1, т. 2 ЗТТСТИ се разполагат при условията и по реда, определени с Решение за изпълнение (ЕС) 2015/1735 на Комисията от 24 септември 2015 г. относно точното разположение на общото предупреждение и на информационното съобщение върху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тютюна за ръчно свиване на цигари, предлаган на пазара в калъф (ОВ, L 252/49 от 29 септември 2015 г.).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40620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52б. (Нов - ДВ, бр. 77 от 2016 г., в сила от 04.10.2016 г.) (1) Всяка потребителска опаковка и всяка външна опаковка на тютюневите изделия, предназн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 за търговските обекти, лицензирани за безмитна търговия, трябва: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18366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 отговаря на изискванията на чл. 52, ал. 1;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29446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 съдържа информация за преустановяване на употребата на тютюневи изделия, която е част от комбинираното здравно предупреждение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35к, ал. 1 или от общото предупреждение по чл. 35м, ал. 1, т. 1 ЗТТСТИ.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924217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Информацията по ал. 1, т. 2 трябва да насочва потребителите да се консултират със специалист по техен избор или да потърсят помощ от налични международни източници на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отказ от тютюнопушене.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00917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52в. (Нов - ДВ, бр. 62 от 2001 г., изм. - ДВ, бр. 71 от 2004 г., в сила от 01.01.2005 г., изм. - ДВ, бр. 100 от 2005 г., в сила от 01.01.2006 г., изм. - ДВ, бр. 83 от 2006 г., в сила от 13.10.2006 г., предишен чл. 52а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77 от 2016 г., в сила от 04.10.2016 г.) Забранява се продажбата на вътрешния пазар на тютюневи изделия без регистрирана и продажна цена, както и на тютюневи изделия, необлепени с бандерол.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46284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66458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52г. (Нов - ДВ, бр. 77 от 2016 г., в сила от 04.10.2016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Вносът на тютюневи и свързани с тях изделия се съгласува по отношение на изискванията на ЗТТСТИ от: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24025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53 от 2022 г., в сила от 08.07.2022 г.) Министерството на икономиката и индустрията - относно чл. 26а и 43а ЗТТСТИ;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98166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Комисията за защита на потребителите - относно чл. 26в, чл. 30, ал. 2, т. 4, 6 - 7, 14 - 19, чл. 35е - 35о и чл. 43д - 43з ЗТТСТИ;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2065642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(доп. - ДВ, бр. 62 от 2021 г.) Института по тютюна и тютюневите изделия - относно чл. 30, ал. 2, т. 17 - 18 и 20 и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35а, ал. 1 ЗТТСТИ.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266814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52д. (Нов - ДВ, бр. 77 от 2016 г., в сила от 04.10.2016 г.) Произведените, внесените и въведените на територията на страната от друга държава - членка на Европейския съюз, или от държава - страна по Споразумението за Европейското 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номическо пространство, механизми за зареждане на електронни цигари трябва да отговарят на техническите стандарти, определени с Решение за изпълнение (ЕС) 2016/586 на Комисията от 14 април 2016 г. относно техническите стандарти за механизма за зареждане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електронни цигари (ОВ, L 101/15 от 16 април 2016 г.).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36465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53. (Отм. - ДВ, бр. 114 от 1999 г., в сила от 1.01.2000 г.)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914097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240" w:line="240" w:lineRule="auto"/>
        <w:jc w:val="center"/>
        <w:textAlignment w:val="center"/>
        <w:divId w:val="142699415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11157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този правилник: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06881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62 от 2001 г.) "Транспортна опаковка" е опаковка, която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използва при транспорт на тютюневи изделия по сухоземен, воден и въздушен транспорт и осигурява запазване на консумативните качества и външния вид на изделията.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00692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62 от 2001 г.) "Допустими за съвместно съхранение и продажба стоки" са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ези стоки, които са пакетирани по начин, който не позволява отделяне на аромати и пропускане на течности.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45966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62 от 2001 г.) "Ресторанти, питейни заведения и барове" са заведения за хранене и развлечение, посочени в т. I, III и V на приложен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№ 2 към чл. 2, ал. 1, т. 2 от Наредба № 2 от 1998 г. за категоризиране на туристическите обекти, издадена от министъра на търговията и туризма (ДВ, бр. 101 от 1998 г.).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328950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260" w:line="240" w:lineRule="auto"/>
        <w:jc w:val="center"/>
        <w:textAlignment w:val="center"/>
        <w:divId w:val="83087202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2082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(Изм. - ДВ, бр. 62 от 2001 г.)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чните инструкции за производство на тютюн по чл. 8 ЗТТИ се изготвят от научните организации по тютюна в 30-дневен срок от влизане в сила на този правилник и се утвърждават от министъра на земеделието.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79957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47921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Заварените лица по чл. 21, ал. 1 и чл. 24 ЗТТИ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длъжни в срок 30 дни от влизането в сила на този правилник да подадат заявления до министъра на финансите за издаване на съответните разрешения (лицензи).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782919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16354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Лицата, които са получили разрешения (лицензи) по чл. 12, ал. 1 от Наредбата за лицензиране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производителите на вина, спирт и спиртни напитки и реда за търговия с вина, спирт, спиртни напитки и тютюневи изделия, приета с ПМС № 192 от 1993 г. (ДВ, бр. 90 от 1993 г.), запазват правата си, ако в срок 30 дни приведат търговските си обекти в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 изискванията на този правилник.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750616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84342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5. Лицата, които не са подали заявления или не са получили разрешения (лицензи) по § 3 и 4, са длъжни да прекратят незабавно осъществяваната дейност.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413816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29660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Висящите производства за издаване на разрешения (лиценз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по чл. 12, ал. 1 от Наредбата за лицензиране на производителите на вина, спирт и спиртни напитки и реда за търговия с вина, спирт, спиртни напитки и тютюневи изделия се довършват по реда на този правилник.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834609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50963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Правилникът се издава на основание § 5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допълнителните и заключителните разпоредби на Закона за тютюна и тютюневите изделия.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742604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12244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(Отм. - ДВ, бр. 78 от 2001 г.)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212572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44876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(Нов - ДВ, бр. 78 от 2001 г.) Окачествяването и изкупуването на тютюн - реколта 2001 г., се извършват по реда на чл. 13 и 16 в редакцията им от 1994 г.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536650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54887865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ПОСТАНОВЛЕНИЕ № 206 ОТ 27 СЕПТЕМВРИ 2005 Г. ЗА ПРИЕМАНЕ НА УСТРОЙСТВЕН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ПРАВИЛНИК НА МИНИСТЕРСТВОТО НА ИКОНОМИКАТА И ЕНЕРГЕТИКАТА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87328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78 ОТ 2005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46174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17139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Навсякъде думите "министърът на икономиката", "министъра на икономиката", "министър на икономиката", "Министерството на икономиката" и "заместник-министър 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кономиката" се заменят съответно с "министърът на икономиката и енергетиката", "министъра на икономиката и енергетиката", "министър на икономиката и енергетиката", "Министерството на икономиката и енергетиката" и "заместник-министър на икономиката и енерге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тиката" в следните нормативни актове на Министерския съвет: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68166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52643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Правилника за прилагане на Закона за тютюна и тютюневите изделия, приет с Постановление № 39 на Министерския съвет от 1994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(обн., ДВ, бр. 18 от 1994 г.; изм. И доп., бр. 99 от 1994 г., бр. 86 от 1996 г., бр. 18 и 100 от 1997 г., бр. 60 и 114 от 1999 г., бр. 62, 78 и 96 от 2001 г., бр. 3 от 2003 г. И бр. 69 и 71 от 2004 г.);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670906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20873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24. Министърът на финансите да извърши необходимите промени по бюджетите на съответните администрации във връзка със създаването на Министерство на икономиката и енергетиката.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273246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 . . . . . . . . . . . . . . . . . . . . . . . . . 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 . . . . 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7236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26. Постановлението влиза в сила от 1 октомври 2005 г.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812215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3556926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ПОСТАНОВЛЕНИЕ № 263 ОТ 6 ДЕКЕМВРИ 2005 Г. ЗА ПРИЕМАНЕ НА НАРЕДБА ЗА УСЛОВИЯТА И РЕДА ЗА ОПРЕДЕЛЯНЕ ЦЕНИТЕ НА ЦИГАРИТЕ ОТ МЕСТНО ПРОИЗВОДСТВО 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ВНОС НА ВЪТРЕШНИЯ ПАЗАР И ЗА ПРОДАЖБАТА ИМ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50766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100 ОТ 2005 Г., В СИЛА ОТ 01.01.2006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77137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81386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Постановлението влиза в сила от деня на обнародването му в "Държавен вестник" с изключение на § 2, който влиза в сила от 1 януари 2006 г.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55199055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270 ОТ 3 ОКТОМВРИ 2006 Г. ЗА ИЗМЕНЕНИЕ НА НАРЕДБАТА ЗА УСЛОВИЯТА И РЕДА ЗА РЕГИСТРИРАНЕ НА ЦЕНИТЕ НА ТЮТЮНЕВИТЕ ИЗДЕЛИЯ ОТ МЕСТНО ПРОИЗВОДСТВО И ОТ ВНОС, ТЪРГОВИЯТА С ТЮТЮНЕВИ ИЗДЕЛИЯ И КОНТРОЛА ВЪРХУ ТЪРГОВИ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ЯТА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982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83 ОТ 2006 Г., В СИЛА ОТ 13.10.2006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39964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83879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13. Постановлението влиза в сила от деня на обнародването му в "Държавен вестник".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339964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295776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168 ОТ 23 ЮЛИ 2007 Г. ЗА ПРЕОБРАЗУВАНЕ НА НАЦИОНАЛН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ОТО УПРАВЛЕНИЕ ПО ГОРИТЕ В ДЪРЖАВНА АГЕНЦИЯ ПО ГОРИТЕ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45863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62 ОТ 2007 Г., В СИЛА ОТ 19.07.2007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13922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749810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В нормативните актове на Министерския съвет: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008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Думите "министърът на земеделието и горите" и "министъра на земеделието и горите" се 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съответно с "министърът на земеделието и продоволствието" и "министъра на земеделието и продоволствието".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12779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Думите "Министерството на земеделието и горите" и "Министерство на земеделието и горите" се заменят съответно с "Министерството на земеделието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продоволствието" и "Министерство на земеделието и продоволствието".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3515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Думите "Националното управление по горите" и "Национално управление по горите" се заменят съответно с "Държавната агенция по горите" и "Държавна агенция по горите".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08148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Думите "ръководителят на Националното управление по горите" и "началникът на Националното управление по горите" и думите "ръководителя на Националното управление по горите" и "началника на Националното управление по горите" се заменят съответно с "предс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едателят на Държавната агенция по горите" и "председателя на Държавната агенция по горите".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959797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 . . . . . . . . . . . . . . . . . . . . . . . . . . . . . . . . 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84135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9. Постановлението влиза в сила от 19 юли 2007 г.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492871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96623015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 № 36 ОТ 27 ФЕВРУАРИ 2008 Г. ЗА ИЗМЕНЕНИЕ И ДОПЪЛНЕНИЕ НА ПРАВИЛНИКА ЗА ПРИЛАГАНЕ НА ЗАКОНА ЗА ТЮТЮНА И ТЮТЮНЕВИТЕ ИЗДЕЛИЯ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644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26 ОТ 2008 Г., В СИЛА ОТ 07.03.2008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56789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16713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10. Производителите, вносителите и лицата, които въвеждат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друга държава - членка на Европейския съюз, или от държава - страна по Споразумението за Европейското икономическо пространство, тютюневи изделия, в срок до един месец от датата на влизане в сила на постановлението представят в Министерството на икономик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и енергетиката информация за цифрите и/или буквите от кода върху потребителските опаковки на тютюневите изделия, идентифициращи датата на производство, за тютюневите изделия, които към датата на влизане в сила на постановлението са пуснати на пазара.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27858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12. Постановлението влиза в сила от деня на обнародването му в "Държавен вестник".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39154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0031915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194 ОТ 5 АВГУСТ 2008 Г. ЗА ИЗМЕНЕНИЕ НА ТАРИФАТА ЗА ТАКСИТЕ, КОИТО СЕ СЪБИРАТ ОТ НАЦИОНАЛНАТА СЛУЖБА ПО ЗЪРНОТО И ФУРАЖИТЕ КЪ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 МИНИСТЪРА НА ЗЕМЕДЕЛИЕТО И ХРАНИТЕ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22685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71 ОТ 2008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26083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650256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В нормативните актове на Министерския съвет: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3258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Думите "министърът на земеделието и продоволствието" и "министъра на земеделието и продоволствието" се заменят съответно с "министъ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рът на земеделието и храните" и "министъра на земеделието и храните".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6845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Думите "Министерството на земеделието и продоволствието" и "Министерство на земеделието и продоволствието" се заменят съответно с "Министерството на земеделието и храните" и "Министер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на земеделието и храните".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326083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40064014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116 ОТ 15 МАЙ 2009 Г. ЗА ИЗМЕНЕНИЕ НА НОРМАТИВНИ АКТОВЕ НА МИНИСТЕРСКИЯ СЪВЕТ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2461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39 ОТ 2009 Г., В СИЛА ОТ 26.05.2009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6130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503468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Наличните към датата 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лизане в сила на постановлението тютюневи изделия, които са предназначени за реализация на вътрешния пазар и не са етикетирани съгласно изискванията му, могат да се продават до изчерпване на количествата, но не по-късно от 31 декември 2009 г.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19475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Постано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влението влиза в сила от деня на обнародването му в "Държавен вестник".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978490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01753911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268 ОТ 12 НОЕМВРИ 2009 Г. ЗА ПРИЕМАНЕ НА УСТРОЙСТВЕН ПРАВИЛНИК НА МИНИСТЕРСТВОТО НА ИКОНОМИКАТА, ЕНЕРГЕТИКАТА И ТУРИЗМА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33218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ОТ 2009 Г., В СИЛА ОТ 24.11.2009 Г., ПОПР. - ДВ, БР. 95 ОТ 2009 Г., ИЗМ. - ДВ, БР. 4 ОТ 2012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10398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838958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94. (Попр. - ДВ, бр. 95 от 2009 г., отм. с Решение № 15898 от 01.12.2011 г. на ВАС в частта "с изключение на § 93, т. 1, която влиза в сила от 01.11.2009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г." - ДВ, бр. 4 от 2012 г.) Постановлението влиза в сила от деня на обнародването му в "Държавен вестник".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410398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20816317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КЪМ ПОСТАНОВЛЕНИЕ № 249 ОТ 27 СЕПТЕМВРИ 2016 Г. ЗА ИЗМЕНЕНИЕ И ДОПЪЛНЕНИЕ НА ПРАВИЛНИКА ЗА ПРИЛАГАНЕ НА ЗАКОНА ЗА ТЮТЮНА И ТЮТЮНЕВИТЕ ИЗДЕЛИЯ, ПРИЕТ С ПОСТАНОВЛЕНИЕ № 39 НА МИНИСТЕРСКИЯ СЪВЕТ ОТ 1994 Г.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56571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77 ОТ 2016 Г., В СИЛА ОТ 04.10.2016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32426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766584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13. Навсякъде в правилника абревиатурата "ЗТТИ" се заменя със "ЗТТСТИ".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7498251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249 ОТ 27 СЕПТЕМВРИ 2016 Г. ЗА ИЗМЕНЕНИЕ И ДОПЪЛНЕНИЕ НА ПРАВИЛНИКА ЗА ПРИЛАГАНЕ НА ЗАКОНА ЗА ТЮТЮНА И ТЮТЮНЕВИТЕ ИЗДЕЛИ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Я, ПРИЕТ С ПОСТАНОВЛЕНИЕ № 39 НА МИНИСТЕРСКИЯ СЪВЕТ ОТ 1994 Г. 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29166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(ОБН. - ДВ, БР. 77 ОТ 2016 Г., В СИЛА ОТ 04.10.2016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46301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81160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14. Производителите, вносителите и лицата, които въвеждат на територията на страната от друга държава - членка на Европейския съюз,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тютюневи изделия, предоставят до 20 ноември 2016 г. информацията по чл. 35д, ал. 1 ЗТТСТИ за 2015 г.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631789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964045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16. Постановлението влиза в сила от деня на обнародването му в "Държавен вестник".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49922323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41 ОТ 23 ФЕВРУАРИ 2017 Г. ЗА ДОПЪЛНЕНИЕ НА ПРАВИЛНИКА ЗА ПРИЛАГАНЕ НА ЗАКОНА ЗА ТЮТЮНА, ТЮТЮНЕВИТЕ И СВЪРЗАНИТЕ С ТЯХ ИЗДЕЛИЯ, ПРИЕТ С ПОСТАНОВЛЕНИЕ № 39 НА МИНИСТЕРСКИЯ СЪВЕТ ОТ 1994 Г.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03890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19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017 Г., В СИЛА ОТ 28.02.2017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27958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35936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Постановлението влиза в сила от деня на обнародването му в "Държавен вестник".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25103926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236 ОТ 19 СЕПТЕМВРИ 2019 Г. ЗА ДОПЪЛНЕНИЕ НА ПРАВИЛНИКА ЗА ПРИЛАГАНЕ НА ЗАКОНА ЗА ТЮТЮНА, ТЮТ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ЮНЕВИТЕ И СВЪРЗАНИТЕ С ТЯХ ИЗДЕЛИЯ, ПРИЕТ С ПОСТАНОВЛЕНИЕ № 39 НА МИНИСТЕРСКИЯ СЪВЕТ ОТ 1994 Г.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28603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75 ОТ 2019 Г., В СИЛА ОТ 24.09.2019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54043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138496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Постановлението влиза в сила от деня на обнародването му в "Държавен вестник".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11085618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 №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56 ОТ 5 ЮЛИ 2022 Г. ЗА ИЗМЕНЕНИЕ И ДОПЪЛНЕНИЕ НА НОРМАТИВНИ АКТОВЕ НА МИНИСТЕРСКИЯ СЪВЕТ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25766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53 ОТ 2022 Г., В СИЛА ОТ 08.07.2022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5800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67577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45. В чл. 52, ал. 2 и 4 от Правилника за прилагане на Закона за тютюна, тютюневите и свързаните с тях изде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 приет с Постановление № 39 на Министерския съвет от 1994 г. (обн., ДВ, бр. 18 от 1994 г.; изм. и доп., бр. 99 от 1994 г., бр. 86 от 1996 г., бр. 18 и 100 от 1997 г., бр. 60 и 114 от 1999 г., бр. 62, 78 и 96 от 2001 г., бр. 3 от 2003 г., бр. 69 и 71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 г., бр. 78 и 100 от 2005 г., бр. 83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2006 г., бр. 26 от 2008 г., бр. 39 и 93 от 2009 г., бр. 47 от 2012 г., бр. 40 от 2015 г., бр. 77 от 2016 г., бр. 19 от 2017 г., бр. 75 от 2019 г. и бр. 62 от 2021 г.), навсякъде думите "Министерството на икономи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ката" се заменят с "Министерството на икономиката и индустрията".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2300683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156 ОТ 5 ЮЛИ 2022 Г. ЗА ИЗМЕНЕНИЕ И ДОПЪЛНЕНИЕ НА НОРМАТИВНИ АКТОВЕ НА МИНИСТЕРСКИЯ СЪВЕТ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32471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53 ОТ 2022 Г., В СИЛА ОТ 08.07.2022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22526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1584875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73. Постановлението влиза в сила от деня на обнародването му в "Държавен вестник".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117121213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 № 10 ОТ 25 ЯНУАРИ 2024 Г. ЗА ИЗМЕНЕНИЕ И ДОПЪЛНЕНИЕ НА НОРМАТИВНИ АКТОВЕ НА МИНИСТЕРСКИЯ СЪВЕТ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96512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2024 Г., В СИЛА ОТ 01.02.2024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82617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1401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21154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65. В Правилника за прилагане на Закона за тютюна, тютюневите и свързаните с тях изделия, приет с Постановление № 39 на Министерския съвет от 1994 г. (обн., ДВ, бр. 18 от 1994 г.; 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доп., бр. 99 от 1994 г., бр. 86 от 1996 г., бр. 18 и 100 от 1997 г., бр. 60 и 114 от 1999 г., бр. 62, 78 и 96 от 2001 г., бр. 3 от 2003 г., бр. 69 и 71 от 2004 г., бр. 78 и 100 от 2005 г., бр. 83 от 2006 г., бр. 62 от 2007 г., бр. 26 и 71 от 2008 г.,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39 и 93 от 2009 г., бр. 47 от 2012 г., бр. 40 от 2015 г., бр. 77 от 2016 г., бр. 19 от 2017 г. и бр. 75 от 2019 г., бр. 62 от 2021 г. и бр. 53 от 2022 г.), навсякъде думите "Министерството на земеделието, храните и горите", "Министърът на земеделието,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аните и горите" и "министъра на земеделието, храните и горите" се заменят съответно с "Министерството на земеделието и храните", "Министърът на земеделието и храните" и "министъра на земеделието и храните".</w:t>
      </w: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401374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</w:t>
      </w:r>
    </w:p>
    <w:p w:rsidR="00000000" w:rsidRDefault="00FD29C4">
      <w:pPr>
        <w:spacing w:before="100" w:beforeAutospacing="1" w:after="100" w:afterAutospacing="1" w:line="240" w:lineRule="auto"/>
        <w:jc w:val="center"/>
        <w:textAlignment w:val="center"/>
        <w:divId w:val="951977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10 ОТ 25 ЯНУАРИ 2024 Г. ЗА ИЗМЕНЕНИЕ И ДОПЪЛНЕНИЕ НА НОРМАТИВНИ АКТОВЕ НА МИНИСТЕРСКИЯ СЪВЕТ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89478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2024 Г., В СИЛА ОТ 01.02.2024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9919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50" w:line="240" w:lineRule="auto"/>
        <w:ind w:firstLine="1155"/>
        <w:jc w:val="both"/>
        <w:textAlignment w:val="center"/>
        <w:divId w:val="375396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68. Постановлението влиза в сила от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число на месеца, следващ месеца на обнародването му в "Държавен вестник".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70232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към чл. 10, ал. 1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05129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6251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62 от 2001 г.)</w:t>
      </w:r>
    </w:p>
    <w:p w:rsidR="00000000" w:rsidRDefault="00FD29C4">
      <w:pPr>
        <w:spacing w:after="240" w:line="240" w:lineRule="auto"/>
        <w:ind w:firstLine="1155"/>
        <w:jc w:val="both"/>
        <w:textAlignment w:val="center"/>
        <w:divId w:val="1005129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3926"/>
      </w:tblGrid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divId w:val="85347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гр./с. 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right"/>
              <w:textAlignment w:val="center"/>
              <w:divId w:val="773672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Обл. 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00512946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</w:tblGrid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ЗА РЕГИСТРАЦИЯ - КВОТА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divId w:val="1628975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......................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................/200 ... г.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00512946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divId w:val="319964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гр./с. .........................., област 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divId w:val="1078207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издава настоящото удостоверение на тютюнопроизводител ................................................................................................,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 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карта ...................... № ..............................................., живеещ в гр./с. .................................................................................,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 ..............................................., в уверение на това, че същият е регистриран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divId w:val="1450054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 заповед на кмета на 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№ .......................................................... и е получил квота за производство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 на ........... кг тютюн,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произход ............................., сорт .............................,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реколта 2000 г., населено място ..........................................,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divId w:val="756244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ЕКАТТЕ ............................. имот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 от ................ дка, среден добив от 1 дка ................ кг.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Настоящото удостоверение се издава, за да послужи пред купувачите при договарянето за производство и изкупуване на тютюн.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right"/>
              <w:textAlignment w:val="center"/>
              <w:divId w:val="73090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Кмет:.......................................</w:t>
            </w:r>
          </w:p>
        </w:tc>
      </w:tr>
      <w:tr w:rsidR="00000000">
        <w:trPr>
          <w:divId w:val="1005129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(подпис, печат)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005129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71892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13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37223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(Ново - ДВ, бр. 62 от 2001 г., изм. - ДВ, бр. 77 от 2016 г., в сила от 04.10.2016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45917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Минимални качествени изисквания за български суров тютюн производителски манипулиран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43148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75154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Качествени ограничения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739713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Тютюнът, подлежащ на окачествяване, трябва да бъде с качество, отговарящо на типичните характеристики за произхода, като производителските опаковки не трябва да съдържат: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68164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сурови листа и такива с недосушен главен нерв;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439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листа, силно засегнати от градуш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41448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листа, които не са зрели или с наситен грубо зелен цвят;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96357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отрошъци - листа към главния нерв, на които е останала под 25 % от листната петура;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74213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филизи;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12056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силно прегорели и почернели листа;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99772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листа, силно нападнати от листна въшка;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48439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листа,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аднати от двете им страни от трипс;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63431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листа, съдържащи остатъчни пестициди;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16704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листа, повредени от слана;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08289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листа, засегнати от мухъл или гниене;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23317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листа, повредени от запарване;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56479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листа, изцяло повредени от пепелница (оидиум);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73091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листа с нехарактерна миризма;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87677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листа, нападнати от болести и неприятели, с механични повреди или при сушенето в размер над 60 % от листната повърхност;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53226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листа с влагосъдържание, превишаващо 2 % от определеното за съответния тип и произход тютюн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3.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8109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20104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Качествена класификация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658458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"Окачествяване на суровия тютюн" означава установяване на количеството на отделните класи, на примесите и съдържанието на влага на предложения за изкупуване тютюн.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22821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Класата представлява група от изсушен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тютюневи листа с еднакво или близко качество, отговарящо на типичността на съответния тип и произход.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textAlignment w:val="center"/>
        <w:divId w:val="12660344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Тютюн тип ориенталски</w:t>
      </w:r>
    </w:p>
    <w:p w:rsidR="00000000" w:rsidRDefault="00FD29C4">
      <w:pPr>
        <w:spacing w:after="24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105"/>
        <w:gridCol w:w="1623"/>
      </w:tblGrid>
      <w:tr w:rsidR="00000000">
        <w:trPr>
          <w:divId w:val="1365593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385"/>
        <w:gridCol w:w="3806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 зрели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ДЖЕБЕЛ-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 дължина до 14 см, от всички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беритбени пояси (без подбер и над-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подбер), здрави, без повреди от бо-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лести, неприятели, механични пов-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 или повреди при сушенето.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със жълт, наситено жълт,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златистожълт до жълто-оранжев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 цвят. Листата са с нежна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тъкан и нерватура, еластични с лъс-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кава, смолиста петура, с добра го-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ряемост и фин аромат.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Съдържателни и средно-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 листа, зрели, леко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недозрели и леко презрели листа от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 беритбени пояси (без под-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бер) и с повреди от болести, неприя-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тели, механични повреди или пов-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 при сушенето до 20 % от лист-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 повърхност.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жълт, жълто-оранжев,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оранжево-червен и светлочервен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цвят. Допуска се зеленикав оттенък.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 допускат листа с блед, изпран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цвят. Листата са еластични в сред-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степен, с порьозна до рехава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на листната тъкан за пър-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майка, с лъскавина и много доб-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горяемост и аромат.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Ароматично-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Съдържателни зрели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 дължина до 16 см от всички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НЕВРОКОП,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беритбени пояси (без подбер и над-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подбер), здрави без повреди от бо-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лести, неприятели, механични или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сушенето.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БАЛКАН,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наситен жълт, жълто-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ТОПОЛОВ-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 и оранжев за Неврокоп,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оранжево-червен цвят за Крумов-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 и Източен Балкан, до бакъре-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ночервен цвят за Тополовград.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нежен главен нерв,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еластична, лъскава, накъдрена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 охранена петура и нежна тъ-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 с добра горяемост, силен прия-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 аромат и пълен балансиран вкус.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506"/>
        <w:gridCol w:w="3816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Средносъдържателни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съдържателни, зрели, леко недо-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зрели, леко презрели листа от всич-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беритбени пояси (без подбер)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повреди от болести, неприятели, ме-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ханични или при сушенето до 20 %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листната повърхност.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във всички цветове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оттенъци без зелен и кафяв цвят.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 допускат листа с блед, мътен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изпран цвят. Допуска се зелени-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 оттенък. Листата са еластични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средна степен, с порьозна до реха-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за първа майка структура на лист-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 тъкан, с лъскавина и охране-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 в средна степен и с отлична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горяемост, интензивен аромат и ба-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лансиран до сладък вкус.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БАШИБАЛИ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Съдържателни, зрели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с дължина до 20 см от всички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ароматични: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беритбени пояси (без подбер и над-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ДУПНИЦА,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подбер), здрави без повреди от бо-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МЕЛНИК,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лести, неприятели, механични или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СВИЛЕН-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сушенето.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жълт до жълто-оран-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ХАРМАНЛИ,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жев цвят за Мелник и Харманли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СРЕДНОГОР-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 оранжев с червеникав оттенък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ЯКА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Дупница, Свиленград и Средно-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 яка.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еластична, лъскава,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 охранена петура с порьозна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нежна тъкан, с много добра горя-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емост, приятен характерен аромат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много добър пълен, балансиран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сладък вкус.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Средносъдържателни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съдържателни, зрели, леко недо-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зрели и леко презрели листа от всич-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беритбени пояси (без подбер)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повреди от болести, неприятели, ме-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ханични повреди или повреди при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сушенето до 20 % от листната по-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 на листата - всички цветове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оттенъци без зелен и кафяв цвят.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 допускат листа с блед, мътен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(изпран) цвят. Допуска се зелени-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 оттенък.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еластични в средна сте-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пен, с порьозна до рехава за първа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майка структура, с фина листна тъ-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кан, с лъскавина и охраненост в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степен и отлична горяемост,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приятен аромат и вкус.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380"/>
        <w:gridCol w:w="3836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Ароматични: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Съдържателни, зрели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 дължина до 20 см от всички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беритбени пояси (без подбер и над-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подбер), здрави без повреди от бо-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лести, неприятели, механични пов-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 или повреди при сушенето.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със златистожълт, жъл-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то-оранжев до оранжево-червен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цвят, с еластична, лъскава, добре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охранена и смолиста петура с неж-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тъкан, с добра горяемост, интен-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зивен фин характерен аромат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приятен вкус.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Средносъдържателни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съдържателни, зрели, леко недо-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зрели и леко презрели листа от всич-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беритбени пояси (без подбер)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повреди от болести, неприятели, ме-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ханични повреди и повреди при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сушенето до 20 % от листната по-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 на листата - всички цветове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оттенъци без зелен и кафяв цвят.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 допускат листа с блед, мътен,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изпран цвят. Допуска се зеленикав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оттенък.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еластични в средна сте-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пен, с порьозна до рехава структура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листата за първа майка, с фина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листна тъкан с лъскавина и охране-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 в средна степен, с много добра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горяемост, изявен характерен аро-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и приятен балансиран вкус.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Съдържателни зрели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 дължина до 22 см от всички бе-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БЪЛГАРИЯ,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ритбени пояси (без подбер и над-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подбер), здрави без повреди от бо-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лести, неприятели, механични пов-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 или повреди при сушенето.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Листата са с жълт, жълто-оранжев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оранжев цвят за Северна Бълга-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 и до медночервен за Текне, съ-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държателни, еластична, добре ох-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ранена петура, средно плътна и фина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тъкан, с много добра горяемост. Не-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утрален до приятен аромат и балан-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сиран до приятен и пълен вкус.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323"/>
        <w:gridCol w:w="3729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Средносъдържателни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 зрели, леко недо-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зрели, леко презрели листа от всич-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беритбени пояси (без подбер)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повреди от болести, неприятели,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механични повреди или повреди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сушенето до 20 % от листната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 на листата - всички цветове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оттенъци без зелен, тъмнозелен,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тъмнокафяв цвят и листа с блед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(изпран) цвят. Допуска се зелени-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 оттенък. Листата са средноелас-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тични, с лъскавина и охраненост в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степен, с порьозна до рехава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на листната повърхност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първа майка и с отлична горяе-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мост, обикновен до приятен тютю-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 аромат и с добър вкус.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всички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III класа: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Съдържателни, средно-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съдържателни и слабосъдържател-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 и про-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листа от всички беритби и вся-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каква степен на зрялост, без огра-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ничения в дължината, повредени от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болести, неприятели, механични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повреди или повреди при сушенето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60 % от листната повърхност.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Цвят на листата - всички цветове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оттенъци без почернелите листа,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грубо зелени и грубо кафяви и без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листа, упоменати в минималните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качествени ограничения - раздел I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приложение № 2.</w:t>
            </w:r>
          </w:p>
        </w:tc>
      </w:tr>
    </w:tbl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83995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Забележка.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Дължината на листата за II класа се определя от дължината на листата за II майка съгласно характеристиката на сорта, формиращ съответния произход.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Б. Тютюн тип "Виржиния"-сушен с топъл въздух</w:t>
            </w:r>
          </w:p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(флю кюрд)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843"/>
      </w:tblGrid>
      <w:tr w:rsidR="00000000">
        <w:trPr>
          <w:divId w:val="1365593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Качествена характеристика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763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Листа, технически зрели, съдържателни,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дължина над 38 см, от средния беритбен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пояс. Допускат се повреди в проценти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листната повърхност, както следва: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механични до 10 на сто, от петнисти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болести до 5 на сто, от неприятели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на сто, повреди при сушенето до 5 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сто. Листата са с изравнен, еднороден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цялата листна повърхност цвят-жълт,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наситен жълт, жълто-оранжев, оранжев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оранжево-червен цвят без зеленикав отте-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нък, в т. ч. и по главния и страничния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 и на "гърба" на листа. Листата са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добра еластичност и здравина, с от-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ворена зърнеста структура, с нежна и кади-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фена на пипане повърхност.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зрели, леко недозрели, леко презрели,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средносъдържателни, с размери над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всички беритби без подбер (пясъчни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листа), с повреди от болести, неприятели,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механични или при сушенето до 30 на сто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листната повърхност. Цвят на листата-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 цветове без зелен, тъмнокафяв, блед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сивкав цвят. Не се допускат ципести и слик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листа. Допуска се неравномерно оцветяване 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зеленикав оттенък до 20 на сто от листната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повърхност. Листата са плътни до рехави,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 здравина и охранена петура, еластични.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от всички беритби, слабосъдържател-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от всякаква степен на зрялост, без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 в размера на листата, повре-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 от болести, неприятели, механични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при сушенето до 50 на сто от листната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повърхност. Листата са от всички цвето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оттенъци без зелени, тъмнокафяви-почер-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нели листа и такива със смесен цвят над 20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 от листната повърхност, и без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тата, упоменати в минималните качествени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ограничения-раздел I на приложение № 2.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В. Тютюн тип "Бърлей" - въздушно сушен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(лайт еър кюрд)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843"/>
      </w:tblGrid>
      <w:tr w:rsidR="00000000">
        <w:trPr>
          <w:divId w:val="1365593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Качествена характеристика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971"/>
      </w:tblGrid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Листа, технически зрели, с дължина над 40 см,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среден беритбен пояс. Допускат се повре-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в проценти от листната повърхност, както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следва: механични до 15 на сто, от петнисти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болести до 5 на сто, от неприятели до 5 на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сто, повреди при сушенето до 5 на сто.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 са със светлокафяв, кафяв, кафявочерве-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никав цвят, изравнен и еднороден по цялата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листна повърхност.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допускат листа с жъл-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оцветяване или с петна от жълт цвят. Лис-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 са с много добра еластичност и здравина,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фина тъкан с рехава структура, порьозни,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отлична горяемост.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зрели, леко недозрели, леко презрели,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всички беритбени пояси, с размери над 28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см, с механични повреди до 30 на сто от пе-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турата на листа, повреди от неприятели до 30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сто. Допускат се дефекти при сушенето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на сто от листната петура. Листата са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жълто-кафяв и кафяв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 с различни оттенъци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(петносани) без зелен, еластични, с плътна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рехава структура на листата, с много добра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горяемост.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класа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от всякаква степен на зрялост, от всич-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беритби, без ограничения в размерите, с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повреди от болести, неприятели, механични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при сушенето до 50 на сто от петурата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листата. Листата са слабо еластични до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нееластични, ципести до дървеничави, от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 цветове и оттенъци без тъмнозелени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почернели и без листа, упоменати в мини-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малните качествени ограничения - раздел I</w:t>
            </w:r>
          </w:p>
        </w:tc>
      </w:tr>
      <w:tr w:rsidR="00000000">
        <w:trPr>
          <w:divId w:val="136559339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приложение № 2.</w:t>
            </w:r>
          </w:p>
        </w:tc>
      </w:tr>
    </w:tbl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68150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Общи изисквания: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28131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Окачествяването на тютюна се извършва от упълномощени представители на купувача и продавача на място и при условия,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 в договора за производство между продавача и купувача и осигуряващи обективност на окачествяването.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72294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Преди започване на изкупуването във всеки предавателно-приемателен пункт купувачът и представители на производителите съвместно изработват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оставят на видно място еталони - мостри от тютюневи листа по класи, съобразно качествената характеристика на класите на съответния тип или произход тютюн, който ще се изкупува от дадения пункт.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64535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Претеглянето на производителските опаковки се извършва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везни с максимален товар до 50 кг.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68697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 След окачествяването на тютюна от купувача на всяка производителска опаковка се поставя етикет по образец съгласно приложение № 6, на който се отбелязват данните от оценката. На етикета се отбелязват нето килограми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тютюна - I - III класа, и неплатими количества, съдържащи се във всяка опаковка. Те трябва да съответстват на данните, отбелязани в предавателно-приемателния протокол, по образец в приложение № 2 от ЗТТСТИ.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89133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Определения на термините: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66447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упиране на тютюна въз основа на биологичния му вид, мястото на производство, т. е. природо-географските условия, при които се отглежда, начина на сушене или начина на използване;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54943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Ориенталски тютюни.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Тютюни, отгледани в определени географски зони,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ктеризиращи се със специфични екологични условия, типизирани чрез подходящи сортове, изсушени при естествени условия на слънце, предназначени за производство на тютюневи изделия, както и за подобряване на вкусово-ароматичните качества на същите.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84362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Тютюн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"Виржиния"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(флю кюрд). Тютюн, сушен при изкуствени условия чрез регулиране на топлината и вентилацията, без да се допуска контакт на дима и парите от горивото с тютюна.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58503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Тютюн "Бърлей"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(въздушно изсушен). Тютюн, сушен при естествени атмосферни условия на сянка с частично регулиране на влажността на въздуха.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0740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Търговски подтип.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Групиране на тютюна в рамките на типа в зависимост от варирането на природо-географските условия и консумативни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качества. За типа "български ориенталски тютюни" се определят 2 подтипа: басми и баши бали.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2608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(технически район, екотип). Съвкупност от тютюн, произведен в географски обособена част от страната, в която климатичните условия, технологията 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глеждане, сортовете и други стопански условия формират тютюн с еднакви или сходни белези, консумативни качества и идентична типичност.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19754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Относително еднородна растителна съвкупност със специфични генетични заложби, създадена от човека за определени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почвено-климатични условия, която при съответната технология на отглеждане и сушене осигурява постоянна в количествено и качествено отношение растителна продукция.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70120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Изразява проявлението на съвкупността от всички свойства на тютюна, които му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идават определена характерност и обуславят неговата потребителска стойност: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1813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Потребителска стойност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пазарната оценка за годността на пушателните и физическите свойства на тютюневите листа за производство на тютюневи изделия.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1499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Фактори на качеството.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Класата се формира въз основа на съвкупността от основните фактори, влияещи на качеството - зрелост, съдържателност, беритба и повреди: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00056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Зрелост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(техническа).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 на качеството. Изразява степента на узряване на тютюневия лист. Техническата зрелост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най-благоприятното за качествеността съотношение на химически вещества в неизсушения тютюнев лист.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Характеризира се с просветляване (избистряне) на цвета на зеления лист, уплътняване на тъканта на листа, нарастване на съдържанието на смолите по повърхнос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 на листа.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97823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на проявление: недозрял, слабо недозрял, технически зрял, слабо презрял и презрял.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57139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Съдържателност.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 на качеството. Изразява благоприятното съчетание на химичните съставки, имащи положителна корелация с качеството. Степени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проявление: съдържателен, средносъдържателен, слабосъдържателен.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18337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Беритба.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Фактор, формиращ съдържателността и респективно качеството.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10305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Показва положението на листата по височината на стеблото на растението. Вследствие на биологичните особености на 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тюневото растение по време на вегетацията различните беритби се развиват в различни метеорологични условия, имат различно време за достигане на техническа зрялост, време за бране и режим на сушене, вследствие на което се формира различна съдържателност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еспективно качество.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90867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Беритбите обхващат по 3 - 4 листа, както следва: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25883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подбер - пясъчни (диб) - листа от най-долната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20130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надподбер - диббаши - листа от долната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08058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първа майка - най-долните листа от средната част на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02575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втора майка - средните листа от средната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92313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трета майка - горните листа от средната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29225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ковалама - долните листа от най-горната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3597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подвръх (учалтъ) - листа от горната част на растението;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62999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връх (уч) - листа от най-горната част на растението.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71555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скобите са посочени популярните названия на беритбите в ориенталските тютюни.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51355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Беритбен пояс. Съвкупност от няколко последователни беритби, обединени въз основа на положението на листа върху стеблото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растението с близка качественост: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86947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Формират се минимум три беритбени пояса: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87994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долен - включва подбер и надподбер;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54253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среден - включва майките;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36359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горен - включва ковалама, подвръх и връх.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37793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Повреди.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 на качеството. Изразява всички повреди на тютюневия лист от всякакъв вид, които не водят до увреждане на консумативните качества на тютюна и не са достатъчно големи, за да бъде определен същият като негоден тютюн (описан в раздел II "Качествени 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ничения" на приложение № 2).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95291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Показатели за качеството.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Органолептични външни признаци на листа, изразяващи неговото качество - размер, цвят, еластичност, структура на листа: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22695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Изразител на качеството, основен показател за обособяване на класата. Определя се от сорта и условията на отглеждане в съответния технически район. Характеризира типа и произхода.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52646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Цвят.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Изразител на качеството, сборен изразител на съдържателността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тютюна и основен показател за обособяване на класата. Определя се въз основа на цветовия тон, оттенъците, интензивността, наситеността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яркостта на цвета, възприети по субективен път. За тютюна се определят следните цветове: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0869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Основни цветове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жълт, оранжев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червен, кафяв.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40833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Цветови комбинации: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светложълт, жълто-оранжев, оранжево-червен, червено-оранжев, жълто-зелен, оранжево-зелен, медно- (бакърено-) червен, червено-кафяв, кафяво-червен, шоколадовокафяв.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69359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Степени на наситеност на цветовия тон: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светло, наситено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тъмно.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83893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Еластичност.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Свойството на тютюневия лист да възстановява при свиване и натискане първоначалното си състояние, форма и размери.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43426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на листа.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Клетъчният строеж на листа, определен от разположението на клетките, формата и размерите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след сушенето.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94933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Тютюн, негоден за употреба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се класира и не се изкупува, описан в раздел I "Качествени ограничения" на приложение № 2.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16125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Чужди тела от нетютюнев произход (от естествен или изкуствен произход), които не се допускат в тютюн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 слама, върви, хартия, сезал, камъни, метли, метални парчета и други.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30594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III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02704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за окачествяване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835920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Окачествяването се извършва поотделно за всяка производителска опаковка в следния ред: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949816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Установява се точното тегло на производителската опак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(бала, бохча, сандвич).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40568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Оценителят оглежда всяка производителска опаковка по отношение на външен вид, опаковка, форма и размери.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10844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Проверява производителската опаковка за еднаквост на материала от двете тесни и двете широки страни на балата.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4085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важда най-малко 5 пастала от двете страни на балата и на базата на прегледа им дава оценка за съотношението на класите в проценти.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92295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 се оценката на тютюн "Виржиния" да се извършва и по време на освобождаване на сушилните камери, като при това следва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се прегледа тютюн най-малко от 10 на сто от палетите.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05245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Данните от прегледа се записват на марката (етикета) на всяка опаковка.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81161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IV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50441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за производителска заготовка на суровия тютюн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69378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Изсушените тютюневи листа се изнизват, сортират и 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коват в производителски опаковки от производителите съгласно раздел II "Качествена класификация" в три класи.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2999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Сортираните листа се подреждат в пастали (пачки - за едролистните тютюни), съдържащи от 40 до 60 листа с дръжките от едната страна.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43711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Сортиран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 и пасталиран тютюн се опакова в производителски опаковки. Всяка опаковка се изгражда от еднороден тютюн по беритба, качество и произход. При недостиг на пастали от една и съща беритба и качество балите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допълват с пастали от тютюн, близки по беритба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качество, като се отделят от първите с хартия.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20058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Производителските опаковки имат паралелепипедна форма и са изградени от два реда пастали (пачки), подредени в срещуположни редици със застъпване на върховете.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2800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Размерите на производителските опаковки са: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607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ориенталските тютюни - широчина 550 мм и височина от 600 до 700 мм;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69423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 едролистните тютюни - широчина 550 мм и височина 750 мм.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870344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Дебелината на опаковката е в зависимост от размера на листата.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60421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Маса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производителските опаковки: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193423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ориенталските тютюни - от 14 до 26 кг., в зависимост от произхода, беритбата и качествата;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354964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 едролистните тютюни - от 20 до 28 кг.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4215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тютюни "Виржиния" и "Бърлей" се допуска опаковането на тютюна освен в бали в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хчи или опаковки тип "сандвич" с тегло 20 - 25 кг.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6295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Производителските опаковки се опаковат с конопено чулче, пристегнато с плетка от конопена или книжна връв. Не се приемат за изкупуване производителски опаковки, опаковани с изкуствени материали (полиети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 сезал и др.). Допуска се използване на пластмасови или дървени скари за опаковка тип "сандвич" за едролистните тютюни.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44859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Изграждането на производителските бали се извършва при нормална влажност на тютюневите листа съгласно приложение № 3.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439836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Не се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ключват в производителските опаковки листа, описани в раздел I "Качествени ограничения".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36559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17289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13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5510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25568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62 от 2001 г.)</w:t>
      </w:r>
    </w:p>
    <w:p w:rsidR="00000000" w:rsidRDefault="00FD29C4">
      <w:pPr>
        <w:spacing w:after="240" w:line="240" w:lineRule="auto"/>
        <w:ind w:firstLine="1155"/>
        <w:jc w:val="both"/>
        <w:textAlignment w:val="center"/>
        <w:divId w:val="195510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</w:tblGrid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Влагосъдържание на суровия тютюн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95510772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1868"/>
      </w:tblGrid>
      <w:tr w:rsidR="00000000">
        <w:trPr>
          <w:divId w:val="1955107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Влагосъдържание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%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ОРИЕНТАЛСКИ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Басми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Джебел басма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Неврокоп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 Балкан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Тополовград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Баши бали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Харманли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Свиленград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Средногорска яка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Дупница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 КЮРД - Виржиния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ЛАЙТ ЕЪР КЮРД - Бърлей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0000">
        <w:trPr>
          <w:divId w:val="195510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D29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FD29C4">
      <w:pPr>
        <w:spacing w:after="120" w:line="240" w:lineRule="auto"/>
        <w:ind w:firstLine="1155"/>
        <w:jc w:val="both"/>
        <w:textAlignment w:val="center"/>
        <w:divId w:val="195510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85470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13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71853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62 от 2001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692996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 за определяне на влагосъдържанието на суровия тютюн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406538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Методи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67860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Производствен тегловен метод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78548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проби с маса около 5 г след подготовка се поставя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метални тавички с размери 150 x 80 x 10 мм и маса не повече от 50 г., изработени от неръждаема ламарина. Пробите заедно с тавичките се теглят на техническа везна с точност до втория знак, след което се изсушават на горната или средната поставка на суши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 шкаф при температура 103 ± 2°С за 30 минути, когато шкафът е снабден с вентилационно устройство, и за 1 час, когато е без такова устройство. След темпериране в ексикатор за 30 минути пробите се теглят отново и се отчита разликата в масата. Съдържанието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влага се изчислява по формулата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09143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= (m1 - m2)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m1 - m3) x 100%,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784076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където: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58011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е съдържанието на влага в проценти;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5589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m1 - масата на изходната проба и тегловния съд в грамове;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626690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m2 - масата на изсушената проба и тегловния съд в грамове;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05868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m3 - масата на теглов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съд в грамове.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21395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Разликата в съдържанието на влага в паралелните проби не трябва да бъде по голяма от 0,5 на сто, като действителната стойност на определената влага е средноаритметичният резултат от двете проби.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63985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 Арбитражен тегловен метод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504975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проби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маса от 1 до 3 г след подготовка се поставят в предварително изсушени и претеглени тегловни стъкла. Пробите заедно със стъклата се претеглят на аналитична везна с точност до четвъртия знак, след което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 поставят на горната или средната поставка на предва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рително нагрят сушилен шкаф при температура 95°С за 3 часа. След изсушаване стъклата с пробите се темперират в ексикатор, зареден с калциев двухлорид, за 30 минути и се теглят отново с точност до четвъртия знак.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24104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Съдържанието на влага в проценти се изчислява по формулата, посочена в буква 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45721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Честота на извършване на анализите за влагосъдържание на тютюна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40934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А - при началото на изкупуване и винаги когато купувачът се нуждае от проверка на влагосъдържанието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суровия тютюн.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20864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Б - при спор за размера на наднорменото влагосъдържание на окачествявания тютюн.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731123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Изготвяне на средна представителна проба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316037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III.1. Средна проба от суров тютюн за извършване на физически определения се взема от: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128355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пастали, чилет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пачки, гедок или манок - в производителски опаковки (бали, бохчи, опаковки тип "сандвич").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28297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всяка опаковка се вземат листа (пачки, пастали) пропорционално на теглото ѝ, които да представляват тютюна в опаковката като цяло. Пробата трябва да обхваща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накво количество листа от всички части на опаковката - центъра, капака и тесните страни на балата, като по диагоналите на опаковката се отделят двустранно не по-малко от пет пастала/пачки. Обемът на пробата, взета от всяка опаковка, следва да е не по-малък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 на сто от теглото ѝ.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20602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III.2. За определяне на влагосъдържанието в тютюна подготовката на пробата се извършва по следния начин: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75829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Заделената проба се хомогенизира и съкращава чрез четвъртуване до 300 г в найлонов плик с оглед да се предпази промяната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влагосъдържанието.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850177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избраните пачки/пастали със сонда (замба) с диаметър на светлия отвор 15 - 20 мм и дълбочина на потъването около 30 мм се взема пробата за изпитване. Тютюневите кръгчета се поставят задължително в добре затварящи се стъклени банки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найлонови торбички.</w:t>
      </w: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2714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69767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13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52044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62 от 2001 г.)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751658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 за определяне съдържанието на пръст и пясък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55439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Определянето се извършва на средна проба, избрана съгласно т. III.1 от приложение № 4 и съкратена до около 100 г. Проб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на листа се претегля на техническа везна с точност до първия десетичен знак.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20500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Отделянето на частиците пясък и пръст се извършва ръчно чрез изчеткване на всеки един лист двустранно с обла четка от четина. Манипулацията се извършва върху лист бяла гланцир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хартия.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2019383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Отделените минерални частици се пренасят количествено в тегловен съд и се претеглят на аналитична везна.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048608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Съдържанието на пръст и пясък се изчислява по формулата: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72243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= (m1/m2) x 100,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0" w:line="240" w:lineRule="auto"/>
        <w:ind w:firstLine="1155"/>
        <w:jc w:val="both"/>
        <w:textAlignment w:val="center"/>
        <w:divId w:val="536740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където: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496996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 съдържанието на пръст и пясък в проценти спрямо първоначалната маса;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1907909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m1 - масата на пясъка и пръстта в грамове;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589891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m2 - масата на първоначалната проба.</w:t>
      </w:r>
    </w:p>
    <w:p w:rsidR="00000000" w:rsidRDefault="00FD29C4">
      <w:pPr>
        <w:spacing w:after="0" w:line="240" w:lineRule="auto"/>
        <w:ind w:firstLine="1155"/>
        <w:jc w:val="both"/>
        <w:textAlignment w:val="center"/>
        <w:divId w:val="75047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D29C4">
      <w:pPr>
        <w:spacing w:after="120" w:line="240" w:lineRule="auto"/>
        <w:ind w:firstLine="1155"/>
        <w:jc w:val="both"/>
        <w:textAlignment w:val="center"/>
        <w:divId w:val="1855724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Определянето се извършва при спор за съдържанието на пясък и пръст.</w:t>
      </w:r>
    </w:p>
    <w:p w:rsidR="00FD29C4" w:rsidRDefault="00FD29C4">
      <w:pPr>
        <w:ind w:firstLine="1155"/>
        <w:jc w:val="both"/>
        <w:textAlignment w:val="center"/>
        <w:divId w:val="750470275"/>
        <w:rPr>
          <w:rFonts w:eastAsia="Times New Roman"/>
          <w:color w:val="000000"/>
        </w:rPr>
      </w:pPr>
    </w:p>
    <w:sectPr w:rsidR="00FD29C4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C4" w:rsidRDefault="00FD29C4">
      <w:pPr>
        <w:spacing w:after="0" w:line="240" w:lineRule="auto"/>
      </w:pPr>
      <w:r>
        <w:separator/>
      </w:r>
    </w:p>
  </w:endnote>
  <w:endnote w:type="continuationSeparator" w:id="0">
    <w:p w:rsidR="00FD29C4" w:rsidRDefault="00FD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01" w:rsidRDefault="00FD29C4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C4" w:rsidRDefault="00FD29C4">
      <w:pPr>
        <w:spacing w:after="0" w:line="240" w:lineRule="auto"/>
      </w:pPr>
      <w:r>
        <w:separator/>
      </w:r>
    </w:p>
  </w:footnote>
  <w:footnote w:type="continuationSeparator" w:id="0">
    <w:p w:rsidR="00FD29C4" w:rsidRDefault="00FD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1"/>
    <w:rsid w:val="00307101"/>
    <w:rsid w:val="00F966ED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2E54E-1079-4753-9B64-9828308A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a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a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a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a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a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a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a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a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a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a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a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a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a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a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a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a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a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a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a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a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a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a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a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a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a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a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a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a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a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a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a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a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a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a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a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a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a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a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a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a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a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a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a0"/>
    <w:rPr>
      <w:b/>
      <w:bCs/>
    </w:rPr>
  </w:style>
  <w:style w:type="character" w:customStyle="1" w:styleId="italic">
    <w:name w:val="italic"/>
    <w:basedOn w:val="a0"/>
    <w:rPr>
      <w:i/>
      <w:iCs/>
    </w:rPr>
  </w:style>
  <w:style w:type="character" w:customStyle="1" w:styleId="sp-normal">
    <w:name w:val="sp-normal"/>
    <w:basedOn w:val="a0"/>
    <w:rPr>
      <w:b/>
      <w:bCs/>
      <w:i/>
      <w:iCs/>
    </w:rPr>
  </w:style>
  <w:style w:type="character" w:customStyle="1" w:styleId="sub">
    <w:name w:val="sub"/>
    <w:basedOn w:val="a0"/>
    <w:rPr>
      <w:sz w:val="17"/>
      <w:szCs w:val="17"/>
      <w:vertAlign w:val="subscript"/>
    </w:rPr>
  </w:style>
  <w:style w:type="character" w:customStyle="1" w:styleId="super">
    <w:name w:val="super"/>
    <w:basedOn w:val="a0"/>
    <w:rPr>
      <w:sz w:val="17"/>
      <w:szCs w:val="17"/>
      <w:vertAlign w:val="superscript"/>
    </w:rPr>
  </w:style>
  <w:style w:type="character" w:customStyle="1" w:styleId="stroke">
    <w:name w:val="stroke"/>
    <w:basedOn w:val="a0"/>
    <w:rPr>
      <w:strike/>
    </w:rPr>
  </w:style>
  <w:style w:type="character" w:customStyle="1" w:styleId="underline">
    <w:name w:val="underline"/>
    <w:basedOn w:val="a0"/>
    <w:rPr>
      <w:u w:val="single"/>
    </w:rPr>
  </w:style>
  <w:style w:type="character" w:customStyle="1" w:styleId="boldface">
    <w:name w:val="boldface"/>
    <w:basedOn w:val="a0"/>
    <w:rPr>
      <w:b/>
      <w:bCs/>
    </w:rPr>
  </w:style>
  <w:style w:type="character" w:customStyle="1" w:styleId="italics">
    <w:name w:val="italics"/>
    <w:basedOn w:val="a0"/>
    <w:rPr>
      <w:i/>
      <w:iCs/>
    </w:rPr>
  </w:style>
  <w:style w:type="character" w:customStyle="1" w:styleId="norm1">
    <w:name w:val="norm1"/>
    <w:basedOn w:val="a0"/>
    <w:rPr>
      <w:b w:val="0"/>
      <w:bCs w:val="0"/>
      <w:i w:val="0"/>
      <w:iCs w:val="0"/>
    </w:rPr>
  </w:style>
  <w:style w:type="character" w:customStyle="1" w:styleId="subscript">
    <w:name w:val="subscript"/>
    <w:basedOn w:val="a0"/>
    <w:rPr>
      <w:sz w:val="17"/>
      <w:szCs w:val="17"/>
      <w:vertAlign w:val="subscript"/>
    </w:rPr>
  </w:style>
  <w:style w:type="character" w:customStyle="1" w:styleId="superscript">
    <w:name w:val="superscript"/>
    <w:basedOn w:val="a0"/>
    <w:rPr>
      <w:sz w:val="17"/>
      <w:szCs w:val="17"/>
      <w:vertAlign w:val="superscript"/>
    </w:rPr>
  </w:style>
  <w:style w:type="character" w:customStyle="1" w:styleId="upper">
    <w:name w:val="upper"/>
    <w:basedOn w:val="a0"/>
    <w:rPr>
      <w:caps/>
    </w:rPr>
  </w:style>
  <w:style w:type="character" w:customStyle="1" w:styleId="oj-bold">
    <w:name w:val="oj-bold"/>
    <w:basedOn w:val="a0"/>
    <w:rPr>
      <w:b/>
      <w:bCs/>
    </w:rPr>
  </w:style>
  <w:style w:type="character" w:customStyle="1" w:styleId="oj-italic">
    <w:name w:val="oj-italic"/>
    <w:basedOn w:val="a0"/>
    <w:rPr>
      <w:i/>
      <w:iCs/>
    </w:rPr>
  </w:style>
  <w:style w:type="character" w:customStyle="1" w:styleId="oj-sp-normal">
    <w:name w:val="oj-sp-normal"/>
    <w:basedOn w:val="a0"/>
    <w:rPr>
      <w:b/>
      <w:bCs/>
      <w:i/>
      <w:iCs/>
    </w:rPr>
  </w:style>
  <w:style w:type="character" w:customStyle="1" w:styleId="oj-sub">
    <w:name w:val="oj-sub"/>
    <w:basedOn w:val="a0"/>
    <w:rPr>
      <w:sz w:val="17"/>
      <w:szCs w:val="17"/>
      <w:vertAlign w:val="subscript"/>
    </w:rPr>
  </w:style>
  <w:style w:type="character" w:customStyle="1" w:styleId="oj-super">
    <w:name w:val="oj-super"/>
    <w:basedOn w:val="a0"/>
    <w:rPr>
      <w:sz w:val="17"/>
      <w:szCs w:val="17"/>
      <w:vertAlign w:val="superscript"/>
    </w:rPr>
  </w:style>
  <w:style w:type="character" w:customStyle="1" w:styleId="oj-stroke">
    <w:name w:val="oj-stroke"/>
    <w:basedOn w:val="a0"/>
    <w:rPr>
      <w:strike/>
    </w:rPr>
  </w:style>
  <w:style w:type="character" w:customStyle="1" w:styleId="oj-underline">
    <w:name w:val="oj-underline"/>
    <w:basedOn w:val="a0"/>
    <w:rPr>
      <w:u w:val="single"/>
    </w:rPr>
  </w:style>
  <w:style w:type="paragraph" w:customStyle="1" w:styleId="title1">
    <w:name w:val="title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a0"/>
    <w:rPr>
      <w:b w:val="0"/>
      <w:bCs w:val="0"/>
      <w:i w:val="0"/>
      <w:iCs w:val="0"/>
    </w:rPr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basedOn w:val="a0"/>
    <w:rPr>
      <w:b/>
      <w:bCs/>
      <w:color w:val="0086C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64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7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7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6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3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5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9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0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3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5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2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0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8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4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0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8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0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3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3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8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5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5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4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7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8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80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2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8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9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6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2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6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6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4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3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5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2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51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69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97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4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9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4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8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3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90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0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1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0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1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4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3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9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6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9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3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0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6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9867</Words>
  <Characters>56246</Characters>
  <Application>Microsoft Office Word</Application>
  <DocSecurity>0</DocSecurity>
  <Lines>468</Lines>
  <Paragraphs>131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AIO-5TN3924</dc:creator>
  <cp:lastModifiedBy>AIO-5TN3924</cp:lastModifiedBy>
  <cp:revision>2</cp:revision>
  <dcterms:created xsi:type="dcterms:W3CDTF">2025-02-06T09:08:00Z</dcterms:created>
  <dcterms:modified xsi:type="dcterms:W3CDTF">2025-02-06T09:08:00Z</dcterms:modified>
</cp:coreProperties>
</file>