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rsidR="00C8585D" w:rsidRDefault="00C8585D" w:rsidP="00210721">
      <w:pPr>
        <w:tabs>
          <w:tab w:val="left" w:pos="4177"/>
        </w:tabs>
        <w:jc w:val="both"/>
        <w:rPr>
          <w:rStyle w:val="longtext"/>
          <w:rFonts w:ascii="Arial" w:hAnsi="Arial" w:cs="Arial"/>
          <w:b/>
          <w:sz w:val="20"/>
        </w:rPr>
      </w:pPr>
    </w:p>
    <w:p w:rsidR="00DE752F" w:rsidRDefault="000144D9" w:rsidP="00210721">
      <w:pPr>
        <w:tabs>
          <w:tab w:val="left" w:pos="4177"/>
        </w:tabs>
        <w:jc w:val="both"/>
        <w:rPr>
          <w:rFonts w:ascii="Arial" w:hAnsi="Arial" w:cs="Arial"/>
          <w:noProof/>
          <w:sz w:val="20"/>
        </w:rPr>
      </w:pPr>
      <w:r w:rsidRPr="00673725">
        <w:rPr>
          <w:rStyle w:val="longtext"/>
          <w:rFonts w:ascii="Arial" w:hAnsi="Arial" w:cs="Arial"/>
          <w:b/>
          <w:noProof/>
          <w:sz w:val="20"/>
        </w:rPr>
        <w:t>1.</w:t>
      </w:r>
      <w:r w:rsidR="00686AF4" w:rsidRPr="00673725">
        <w:rPr>
          <w:rStyle w:val="longtext"/>
          <w:rFonts w:ascii="Arial" w:hAnsi="Arial" w:cs="Arial"/>
          <w:b/>
          <w:noProof/>
          <w:sz w:val="20"/>
        </w:rPr>
        <w:t xml:space="preserve"> От</w:t>
      </w:r>
      <w:r w:rsidR="00D912F0" w:rsidRPr="00673725">
        <w:rPr>
          <w:rFonts w:ascii="Arial" w:hAnsi="Arial" w:cs="Arial"/>
          <w:b/>
          <w:noProof/>
          <w:sz w:val="20"/>
        </w:rPr>
        <w:t xml:space="preserve"> 17 до 21 февруари се проведе последният етап от</w:t>
      </w:r>
      <w:r w:rsidR="00686AF4" w:rsidRPr="00673725">
        <w:rPr>
          <w:rFonts w:ascii="Arial" w:hAnsi="Arial" w:cs="Arial"/>
          <w:b/>
          <w:noProof/>
          <w:sz w:val="20"/>
        </w:rPr>
        <w:t xml:space="preserve"> информационната кампания на МЗХГ</w:t>
      </w:r>
      <w:r w:rsidR="00D912F0" w:rsidRPr="00673725">
        <w:rPr>
          <w:rFonts w:ascii="Arial" w:hAnsi="Arial" w:cs="Arial"/>
          <w:b/>
          <w:noProof/>
          <w:sz w:val="20"/>
        </w:rPr>
        <w:t xml:space="preserve">. </w:t>
      </w:r>
      <w:r w:rsidR="00D912F0" w:rsidRPr="00673725">
        <w:rPr>
          <w:rFonts w:ascii="Arial" w:hAnsi="Arial" w:cs="Arial"/>
          <w:noProof/>
          <w:sz w:val="20"/>
        </w:rPr>
        <w:t xml:space="preserve">Продължиха </w:t>
      </w:r>
      <w:r w:rsidR="00686AF4" w:rsidRPr="00673725">
        <w:rPr>
          <w:rFonts w:ascii="Arial" w:hAnsi="Arial" w:cs="Arial"/>
          <w:noProof/>
          <w:sz w:val="20"/>
        </w:rPr>
        <w:t xml:space="preserve">срещите със земеделските стопани в градовете </w:t>
      </w:r>
      <w:r w:rsidR="00D912F0" w:rsidRPr="00673725">
        <w:rPr>
          <w:rFonts w:ascii="Arial" w:hAnsi="Arial" w:cs="Arial"/>
          <w:noProof/>
          <w:sz w:val="20"/>
        </w:rPr>
        <w:t>Видин, Враца, Монтана, Велико Търново, Ловеч, Габрово, Благоевград, Кюстендил, Перник, Пловдив, Пазарджик, София-град и София-област.</w:t>
      </w:r>
      <w:r w:rsidR="00686AF4" w:rsidRPr="00673725">
        <w:rPr>
          <w:rFonts w:ascii="Arial" w:hAnsi="Arial" w:cs="Arial"/>
          <w:b/>
          <w:noProof/>
          <w:sz w:val="20"/>
        </w:rPr>
        <w:t xml:space="preserve"> </w:t>
      </w:r>
      <w:r w:rsidR="00686AF4" w:rsidRPr="00673725">
        <w:rPr>
          <w:rFonts w:ascii="Arial" w:hAnsi="Arial" w:cs="Arial"/>
          <w:noProof/>
          <w:sz w:val="20"/>
        </w:rPr>
        <w:t>По време на срещите бяха представени важни акценти в новата Обща селскостопанска политика (ОСП) след 2020 г</w:t>
      </w:r>
      <w:r w:rsidR="00EE0807" w:rsidRPr="00673725">
        <w:rPr>
          <w:rFonts w:ascii="Arial" w:hAnsi="Arial" w:cs="Arial"/>
          <w:noProof/>
          <w:sz w:val="20"/>
        </w:rPr>
        <w:t xml:space="preserve">, </w:t>
      </w:r>
      <w:r w:rsidR="00686AF4" w:rsidRPr="00673725">
        <w:rPr>
          <w:rFonts w:ascii="Arial" w:hAnsi="Arial" w:cs="Arial"/>
          <w:noProof/>
          <w:sz w:val="20"/>
        </w:rPr>
        <w:t xml:space="preserve">новостите в условията за подпомагане по схемите за директни плащания за 2020 г., както и приемите през 2020 година по Програмата за развитие на селските райони (ПРСР 2014- 2020). Фермерите в тези области бяха запознати и с новите моменти в законодателството в сектор „Животновъдство. </w:t>
      </w:r>
    </w:p>
    <w:p w:rsidR="00346B34" w:rsidRDefault="00346B34" w:rsidP="00210721">
      <w:pPr>
        <w:tabs>
          <w:tab w:val="left" w:pos="4177"/>
        </w:tabs>
        <w:jc w:val="both"/>
        <w:rPr>
          <w:rFonts w:ascii="Arial" w:hAnsi="Arial" w:cs="Arial"/>
          <w:bCs/>
          <w:noProof/>
          <w:sz w:val="20"/>
        </w:rPr>
      </w:pPr>
    </w:p>
    <w:p w:rsidR="00346B34" w:rsidRPr="00673725" w:rsidRDefault="00346B34" w:rsidP="00210721">
      <w:pPr>
        <w:tabs>
          <w:tab w:val="left" w:pos="4177"/>
        </w:tabs>
        <w:jc w:val="both"/>
        <w:rPr>
          <w:rFonts w:ascii="Arial" w:hAnsi="Arial" w:cs="Arial"/>
          <w:bCs/>
          <w:noProof/>
          <w:sz w:val="20"/>
        </w:rPr>
      </w:pPr>
      <w:r>
        <w:rPr>
          <w:rFonts w:ascii="Arial" w:hAnsi="Arial" w:cs="Arial"/>
          <w:b/>
          <w:noProof/>
          <w:sz w:val="20"/>
        </w:rPr>
        <w:t>2</w:t>
      </w:r>
      <w:r w:rsidRPr="00673725">
        <w:rPr>
          <w:rFonts w:ascii="Arial" w:hAnsi="Arial" w:cs="Arial"/>
          <w:b/>
          <w:noProof/>
          <w:sz w:val="20"/>
        </w:rPr>
        <w:t xml:space="preserve">. </w:t>
      </w:r>
      <w:r w:rsidRPr="00673725">
        <w:rPr>
          <w:rStyle w:val="longtext"/>
          <w:rFonts w:ascii="Arial" w:hAnsi="Arial" w:cs="Arial"/>
          <w:b/>
          <w:noProof/>
          <w:sz w:val="20"/>
        </w:rPr>
        <w:t xml:space="preserve">От 19 до 23 февруари 2020 год., в гр. Пловдив се проведе IV Мегафорум за агробизнес, вино, храни и оборудване. </w:t>
      </w:r>
      <w:r w:rsidRPr="00673725">
        <w:rPr>
          <w:rStyle w:val="longtext"/>
          <w:rFonts w:ascii="Arial" w:hAnsi="Arial" w:cs="Arial"/>
          <w:noProof/>
          <w:sz w:val="20"/>
        </w:rPr>
        <w:t>Събитието е сред най-големите изложения за селскостопанския сектор в Югоизточна Европа и традиционно се провежда в началото  на годината (през месец февруари), точно преди началото на активния селскостопански сезон през пролетта. Форумът включва международни изложби, представляващи различни аспекти от селскостопанската дейност – „АГРА 2020“ – селско стопанство и агробизнес, „ВИНАРИЯ 2020“ – винена индустрия, „ФУДТЕХ 2020“ – храни и напитки, опаковки, машини и технологии в хранителната индустрия и „ВКУСОВЕТЕ НА ИТАЛИЯ 2020“. Мегафорумът се организира и провежда под егидата на Министерство на земеделието, храните и горите. Министърът на земеделието, храните и горите г-жа Десислава Танева приветства участниците по време на откриването на събитието, като обърна внимание на особеното значение на форума, тъй като „показва иновациите в земеделския отрасъл“. По време на своето приветствие, тя подчерта важността на 2020 г., от гледна точка на подготовката на България за прилагане на ОСП след 2020 год., като една от основните цели е да се осигури „максимално висок финансов праг за страната ни“. В официалната делова програма на мегафорума бяха направени редица презентации, кръгли маси, международни конференции, семинари по значими теми за селското стопанство, като семейни ферми, биологично земеделие, иновации, европейско финансиране, тенденции за развитие, дигитален маркетинг, опазване на околната среда и др. По-конкретно, Селскостопанската академия организира кръгла маса ,,Предизвикателствата и решенията за земеделието, свързани с климатичните и екологичните промени“, в рамките на която бяха дискутирани новите зелени приоритети в ОСП, съвременни агроекологични подходи и агротехнически практики за устойчиво земеделие, растителната селекция при зърнено-житните култури в отговор на климатичните и екологични проблеми и други аспекти на връзката между земеделието и опазването на околната среда и природните ресурси.  Представител на дирекция „Директни плащания“ взе участие в кръгла маса ,,Предизвикателства пред семейното фермерство в България“, организирана от фондация  „Земята източник на доходи“, в рамките на която представи възможностите за подкрепа на земеделските стопани в предстоящата Кампания за директни плащания 2020, както и очакванията и предизвикателствата, свързани с новата ОСП.</w:t>
      </w:r>
    </w:p>
    <w:p w:rsidR="002A2C5F" w:rsidRPr="00673725" w:rsidRDefault="002A2C5F" w:rsidP="002A2C5F">
      <w:pPr>
        <w:tabs>
          <w:tab w:val="left" w:pos="4177"/>
        </w:tabs>
        <w:jc w:val="both"/>
        <w:rPr>
          <w:rFonts w:ascii="Arial" w:hAnsi="Arial" w:cs="Arial"/>
          <w:bCs/>
          <w:noProof/>
          <w:color w:val="666666"/>
          <w:sz w:val="20"/>
        </w:rPr>
      </w:pPr>
    </w:p>
    <w:tbl>
      <w:tblPr>
        <w:tblW w:w="10159" w:type="dxa"/>
        <w:tblInd w:w="108" w:type="dxa"/>
        <w:tblLook w:val="01E0" w:firstRow="1" w:lastRow="1" w:firstColumn="1" w:lastColumn="1" w:noHBand="0" w:noVBand="0"/>
      </w:tblPr>
      <w:tblGrid>
        <w:gridCol w:w="9923"/>
        <w:gridCol w:w="236"/>
      </w:tblGrid>
      <w:tr w:rsidR="001B1430" w:rsidRPr="00673725" w:rsidTr="00F73636">
        <w:tc>
          <w:tcPr>
            <w:tcW w:w="9923" w:type="dxa"/>
            <w:shd w:val="clear" w:color="auto" w:fill="C0C0C0"/>
            <w:hideMark/>
          </w:tcPr>
          <w:p w:rsidR="001B1430" w:rsidRPr="00673725" w:rsidRDefault="001B1430" w:rsidP="00F73636">
            <w:pPr>
              <w:jc w:val="both"/>
              <w:rPr>
                <w:rFonts w:ascii="Arial" w:hAnsi="Arial" w:cs="Arial"/>
                <w:b/>
                <w:i/>
                <w:noProof/>
                <w:sz w:val="20"/>
              </w:rPr>
            </w:pPr>
            <w:r w:rsidRPr="00673725">
              <w:rPr>
                <w:rFonts w:ascii="Arial" w:hAnsi="Arial" w:cs="Arial"/>
                <w:b/>
                <w:i/>
                <w:noProof/>
                <w:sz w:val="20"/>
              </w:rPr>
              <w:t>Пазарна подкрепа</w:t>
            </w:r>
          </w:p>
        </w:tc>
        <w:tc>
          <w:tcPr>
            <w:tcW w:w="236" w:type="dxa"/>
          </w:tcPr>
          <w:p w:rsidR="001B1430" w:rsidRPr="00673725" w:rsidRDefault="001B1430" w:rsidP="00F73636">
            <w:pPr>
              <w:jc w:val="both"/>
              <w:rPr>
                <w:rFonts w:ascii="Arial" w:hAnsi="Arial" w:cs="Arial"/>
                <w:b/>
                <w:i/>
                <w:noProof/>
                <w:sz w:val="20"/>
              </w:rPr>
            </w:pPr>
          </w:p>
        </w:tc>
      </w:tr>
    </w:tbl>
    <w:p w:rsidR="001B1430" w:rsidRPr="00673725" w:rsidRDefault="001B1430" w:rsidP="001B1430">
      <w:pPr>
        <w:jc w:val="both"/>
        <w:rPr>
          <w:rFonts w:ascii="Arial" w:eastAsia="SimSun" w:hAnsi="Arial" w:cs="Arial"/>
          <w:b/>
          <w:bCs/>
          <w:noProof/>
          <w:color w:val="000000"/>
          <w:sz w:val="20"/>
          <w:lang w:eastAsia="bg-BG"/>
        </w:rPr>
      </w:pPr>
    </w:p>
    <w:p w:rsidR="000144D9" w:rsidRPr="00673725" w:rsidRDefault="00346B34" w:rsidP="000144D9">
      <w:pPr>
        <w:jc w:val="both"/>
        <w:rPr>
          <w:rFonts w:ascii="Arial" w:hAnsi="Arial" w:cs="Arial"/>
          <w:noProof/>
          <w:sz w:val="20"/>
        </w:rPr>
      </w:pPr>
      <w:r>
        <w:rPr>
          <w:rFonts w:ascii="Arial" w:hAnsi="Arial" w:cs="Arial"/>
          <w:b/>
          <w:noProof/>
          <w:sz w:val="20"/>
        </w:rPr>
        <w:t>3</w:t>
      </w:r>
      <w:r w:rsidR="000144D9" w:rsidRPr="00673725">
        <w:rPr>
          <w:rFonts w:ascii="Arial" w:hAnsi="Arial" w:cs="Arial"/>
          <w:b/>
          <w:noProof/>
          <w:sz w:val="20"/>
        </w:rPr>
        <w:t>. От 24 февруари 2020 г. стартира прием по новата Национална програма за пчеларство 2020-2022 г.</w:t>
      </w:r>
      <w:r w:rsidR="00AC64B0" w:rsidRPr="00673725">
        <w:rPr>
          <w:rFonts w:ascii="Arial" w:hAnsi="Arial" w:cs="Arial"/>
          <w:noProof/>
          <w:sz w:val="20"/>
        </w:rPr>
        <w:t xml:space="preserve"> </w:t>
      </w:r>
      <w:r w:rsidR="000144D9" w:rsidRPr="00673725">
        <w:rPr>
          <w:rFonts w:ascii="Arial" w:hAnsi="Arial" w:cs="Arial"/>
          <w:noProof/>
          <w:sz w:val="20"/>
        </w:rPr>
        <w:t>В периода 24.02–09.03.2020</w:t>
      </w:r>
      <w:r w:rsidR="00AC64B0" w:rsidRPr="00673725">
        <w:rPr>
          <w:rFonts w:ascii="Arial" w:hAnsi="Arial" w:cs="Arial"/>
          <w:noProof/>
          <w:sz w:val="20"/>
        </w:rPr>
        <w:t xml:space="preserve"> </w:t>
      </w:r>
      <w:r w:rsidR="000144D9" w:rsidRPr="00673725">
        <w:rPr>
          <w:rFonts w:ascii="Arial" w:hAnsi="Arial" w:cs="Arial"/>
          <w:noProof/>
          <w:sz w:val="20"/>
        </w:rPr>
        <w:t>г. ще се проведе първия прием по Национална програма по пчеларство (НПП) 2020-2022 г. Заявления за предоставяне на финансова помощ по мярката за 2020 г. ще се приемат в областните дирекции на ДФЗ по постоянен адрес на физическото лице и по адресна регистрация на юридическо лице. Подписването на договори по пчеларската програма се очаква да започне в края на месец март 2020 г. Информация за мерките от НПП 2020-2022 г. и условията за финансиране, както и образец на заявлението за подпомагане, заинтересованите лица могат да получат в областните дирекции на ДФЗ, в отдел „Пчеларство, мляко и интервенции“ на дирекция „Селскостопански пазарни механизми“ в Централно управление на ДФЗ, както и на интернет страницата на ДФЗ. Предвидена е възможност за ниско</w:t>
      </w:r>
      <w:r w:rsidR="006C053F" w:rsidRPr="00673725">
        <w:rPr>
          <w:rFonts w:ascii="Arial" w:hAnsi="Arial" w:cs="Arial"/>
          <w:noProof/>
          <w:sz w:val="20"/>
        </w:rPr>
        <w:t xml:space="preserve"> </w:t>
      </w:r>
      <w:r w:rsidR="000144D9" w:rsidRPr="00673725">
        <w:rPr>
          <w:rFonts w:ascii="Arial" w:hAnsi="Arial" w:cs="Arial"/>
          <w:noProof/>
          <w:sz w:val="20"/>
        </w:rPr>
        <w:t>лихвен кредит от ДФЗ за реализиране на</w:t>
      </w:r>
      <w:r w:rsidR="006C053F" w:rsidRPr="00673725">
        <w:rPr>
          <w:rFonts w:ascii="Arial" w:hAnsi="Arial" w:cs="Arial"/>
          <w:noProof/>
          <w:sz w:val="20"/>
        </w:rPr>
        <w:t xml:space="preserve"> </w:t>
      </w:r>
      <w:r w:rsidR="000144D9" w:rsidRPr="00673725">
        <w:rPr>
          <w:rFonts w:ascii="Arial" w:hAnsi="Arial" w:cs="Arial"/>
          <w:noProof/>
          <w:sz w:val="20"/>
        </w:rPr>
        <w:t>инвестициите по мерки А, Б, В и Д. След сключване на договор за подпомагане по НПП, пчеларите ще могат да подават заявления за кредит в срок до 15 юли 2020 г. в ОД на ДФЗ. Националната програма по пчеларство 2020-2022 г., с общ бюджет 19.2 млн. лв., от които 50 % от ЕС и 50% от националния бюджет, е одобрена от Европейската комисия с Решение за изпълнение (ЕС) 2019/974 от 12 юни 2019 г. Финансовият ресурс за 2020 г. е 6 399 307 лв.</w:t>
      </w:r>
    </w:p>
    <w:p w:rsidR="000144D9" w:rsidRPr="00673725" w:rsidRDefault="000144D9" w:rsidP="000144D9">
      <w:pPr>
        <w:jc w:val="both"/>
        <w:rPr>
          <w:rFonts w:ascii="Arial" w:hAnsi="Arial" w:cs="Arial"/>
          <w:noProof/>
          <w:sz w:val="20"/>
        </w:rPr>
      </w:pPr>
    </w:p>
    <w:p w:rsidR="000144D9" w:rsidRPr="00673725" w:rsidRDefault="00346B34" w:rsidP="00346B34">
      <w:pPr>
        <w:keepNext/>
        <w:keepLines/>
        <w:jc w:val="both"/>
        <w:rPr>
          <w:rFonts w:ascii="Arial" w:hAnsi="Arial" w:cs="Arial"/>
          <w:noProof/>
          <w:sz w:val="20"/>
        </w:rPr>
      </w:pPr>
      <w:r>
        <w:rPr>
          <w:rFonts w:ascii="Arial" w:hAnsi="Arial" w:cs="Arial"/>
          <w:b/>
          <w:noProof/>
          <w:sz w:val="20"/>
        </w:rPr>
        <w:t>4</w:t>
      </w:r>
      <w:r w:rsidR="000144D9" w:rsidRPr="00673725">
        <w:rPr>
          <w:rFonts w:ascii="Arial" w:hAnsi="Arial" w:cs="Arial"/>
          <w:b/>
          <w:noProof/>
          <w:sz w:val="20"/>
        </w:rPr>
        <w:t>. Най-голямата фермерска организация в Европа “Копа-Коджека“ предлага план за действие в условията на тревожната пазарна ситуация в сектора на меда.</w:t>
      </w:r>
      <w:r w:rsidR="000144D9" w:rsidRPr="00673725">
        <w:rPr>
          <w:rFonts w:ascii="Arial" w:hAnsi="Arial" w:cs="Arial"/>
          <w:noProof/>
          <w:sz w:val="20"/>
        </w:rPr>
        <w:t xml:space="preserve"> В документ озаглавен „План за действие за справяне с тревожната ситуация“ (</w:t>
      </w:r>
      <w:hyperlink r:id="rId9" w:history="1">
        <w:r w:rsidR="000144D9" w:rsidRPr="00673725">
          <w:rPr>
            <w:rStyle w:val="Hyperlink"/>
            <w:rFonts w:ascii="Arial" w:hAnsi="Arial" w:cs="Arial"/>
            <w:noProof/>
            <w:sz w:val="20"/>
          </w:rPr>
          <w:t>www.copa-cogeca.eu/download.ashx?docID=2845943</w:t>
        </w:r>
      </w:hyperlink>
      <w:r w:rsidR="000144D9" w:rsidRPr="00673725">
        <w:rPr>
          <w:rFonts w:ascii="Arial" w:hAnsi="Arial" w:cs="Arial"/>
          <w:noProof/>
          <w:sz w:val="20"/>
        </w:rPr>
        <w:t>), организацията призовав</w:t>
      </w:r>
      <w:r w:rsidR="008F75D2" w:rsidRPr="00673725">
        <w:rPr>
          <w:rFonts w:ascii="Arial" w:hAnsi="Arial" w:cs="Arial"/>
          <w:noProof/>
          <w:sz w:val="20"/>
        </w:rPr>
        <w:t>а Комисията да гарантира, че вна</w:t>
      </w:r>
      <w:r w:rsidR="000144D9" w:rsidRPr="00673725">
        <w:rPr>
          <w:rFonts w:ascii="Arial" w:hAnsi="Arial" w:cs="Arial"/>
          <w:noProof/>
          <w:sz w:val="20"/>
        </w:rPr>
        <w:t xml:space="preserve">сяният мед съответства на определението на Съюза за продукта, както и да се въведе задължението при смесения мед на етикета да се посочва произхода. Другите предложения включват програма за насърчаване на вътрешния пазар, създаване на пазарна обсерватория и по-добро представителство на пчеларите чрез организации на производители. Понижението на производството, предизвикано от лошото време, не успя да доведе до повишаване на цените през 2019 г. Същевременно европейските производители са изправени пред нарастваща конкуренция от Китай. Вносът от азиатската страна е на ценови равнища доста под производствените разходи в ЕС, нещо, което според Копа-Коджека е резултат от добавянето на захарен сироп. Според Етиен Бруно, председател на Работната група по мед за Копа-Коджека, „ако ситуацията на пазара не се подобри, европейските пчелари, които получават значителна част от приходите си от пчеларството, няма да могат да продължат. Поради ролята на пчелите в опрашването, ситуацията заплашва и други сектори“. </w:t>
      </w:r>
    </w:p>
    <w:p w:rsidR="001B1430" w:rsidRPr="00673725" w:rsidRDefault="001B1430" w:rsidP="001B1430">
      <w:pPr>
        <w:jc w:val="both"/>
        <w:rPr>
          <w:rFonts w:ascii="Arial" w:eastAsia="SimSun" w:hAnsi="Arial" w:cs="Arial"/>
          <w:b/>
          <w:bCs/>
          <w:noProof/>
          <w:color w:val="000000"/>
          <w:sz w:val="20"/>
          <w:lang w:eastAsia="bg-BG"/>
        </w:rPr>
      </w:pPr>
      <w:r w:rsidRPr="00673725">
        <w:rPr>
          <w:rFonts w:ascii="Arial" w:eastAsia="SimSun" w:hAnsi="Arial" w:cs="Arial"/>
          <w:b/>
          <w:bCs/>
          <w:noProof/>
          <w:color w:val="000000"/>
          <w:sz w:val="20"/>
          <w:lang w:eastAsia="bg-BG"/>
        </w:rPr>
        <w:t xml:space="preserve"> </w:t>
      </w:r>
    </w:p>
    <w:tbl>
      <w:tblPr>
        <w:tblW w:w="10156" w:type="dxa"/>
        <w:tblInd w:w="108" w:type="dxa"/>
        <w:tblLook w:val="01E0" w:firstRow="1" w:lastRow="1" w:firstColumn="1" w:lastColumn="1" w:noHBand="0" w:noVBand="0"/>
      </w:tblPr>
      <w:tblGrid>
        <w:gridCol w:w="9900"/>
        <w:gridCol w:w="256"/>
      </w:tblGrid>
      <w:tr w:rsidR="001B1430" w:rsidRPr="00673725" w:rsidTr="00F73636">
        <w:tc>
          <w:tcPr>
            <w:tcW w:w="9900" w:type="dxa"/>
            <w:shd w:val="clear" w:color="auto" w:fill="C0C0C0"/>
            <w:hideMark/>
          </w:tcPr>
          <w:p w:rsidR="001B1430" w:rsidRPr="00673725" w:rsidRDefault="001B1430" w:rsidP="00F73636">
            <w:pPr>
              <w:tabs>
                <w:tab w:val="left" w:pos="1020"/>
              </w:tabs>
              <w:autoSpaceDE w:val="0"/>
              <w:autoSpaceDN w:val="0"/>
              <w:adjustRightInd w:val="0"/>
              <w:jc w:val="both"/>
              <w:rPr>
                <w:rFonts w:ascii="Arial" w:hAnsi="Arial" w:cs="Arial"/>
                <w:b/>
                <w:i/>
                <w:iCs/>
                <w:noProof/>
                <w:sz w:val="20"/>
              </w:rPr>
            </w:pPr>
            <w:r w:rsidRPr="00673725">
              <w:rPr>
                <w:rFonts w:ascii="Arial" w:hAnsi="Arial" w:cs="Arial"/>
                <w:b/>
                <w:i/>
                <w:noProof/>
                <w:sz w:val="20"/>
              </w:rPr>
              <w:t>Визия за ОСП след 2020 г.</w:t>
            </w:r>
          </w:p>
        </w:tc>
        <w:tc>
          <w:tcPr>
            <w:tcW w:w="256" w:type="dxa"/>
          </w:tcPr>
          <w:p w:rsidR="001B1430" w:rsidRPr="00673725" w:rsidRDefault="001B1430" w:rsidP="00F73636">
            <w:pPr>
              <w:jc w:val="both"/>
              <w:rPr>
                <w:rFonts w:ascii="Arial" w:hAnsi="Arial" w:cs="Arial"/>
                <w:b/>
                <w:noProof/>
                <w:sz w:val="20"/>
              </w:rPr>
            </w:pPr>
          </w:p>
        </w:tc>
      </w:tr>
    </w:tbl>
    <w:p w:rsidR="00C116FD" w:rsidRPr="00673725" w:rsidRDefault="00C116FD" w:rsidP="00C116FD">
      <w:pPr>
        <w:jc w:val="both"/>
        <w:rPr>
          <w:rFonts w:ascii="Arial" w:hAnsi="Arial" w:cs="Arial"/>
          <w:b/>
          <w:noProof/>
          <w:sz w:val="20"/>
        </w:rPr>
      </w:pPr>
    </w:p>
    <w:p w:rsidR="0024555C" w:rsidRPr="00673725" w:rsidRDefault="00346B34" w:rsidP="00C116FD">
      <w:pPr>
        <w:jc w:val="both"/>
        <w:rPr>
          <w:rFonts w:ascii="Arial" w:hAnsi="Arial" w:cs="Arial"/>
          <w:noProof/>
          <w:sz w:val="20"/>
        </w:rPr>
      </w:pPr>
      <w:r>
        <w:rPr>
          <w:rFonts w:ascii="Arial" w:hAnsi="Arial" w:cs="Arial"/>
          <w:b/>
          <w:noProof/>
          <w:sz w:val="20"/>
        </w:rPr>
        <w:t>5</w:t>
      </w:r>
      <w:r w:rsidR="00C116FD" w:rsidRPr="00673725">
        <w:rPr>
          <w:rFonts w:ascii="Arial" w:hAnsi="Arial" w:cs="Arial"/>
          <w:b/>
          <w:noProof/>
          <w:sz w:val="20"/>
        </w:rPr>
        <w:t xml:space="preserve">. Европейската комисия (ЕК) инициира обществена консултация на пътната карта, свързана с предстоящото издаване на Стратегията от фермата до трапезата. </w:t>
      </w:r>
      <w:r w:rsidR="00C116FD" w:rsidRPr="00673725">
        <w:rPr>
          <w:rFonts w:ascii="Arial" w:hAnsi="Arial" w:cs="Arial"/>
          <w:noProof/>
          <w:sz w:val="20"/>
        </w:rPr>
        <w:t xml:space="preserve">Мненията и становищата на гражданите се приемат в срок от 17 февруари до 16 март 2020 г. на сайта: </w:t>
      </w:r>
      <w:hyperlink r:id="rId10" w:history="1">
        <w:r w:rsidR="00C116FD" w:rsidRPr="00673725">
          <w:rPr>
            <w:rStyle w:val="Hyperlink"/>
            <w:rFonts w:ascii="Arial" w:hAnsi="Arial" w:cs="Arial"/>
            <w:noProof/>
            <w:sz w:val="20"/>
          </w:rPr>
          <w:t>https://ec.europa.eu/info/law/better-regulation/have-your-say/initiatives/12183-Farm-to-Fork-Strategy</w:t>
        </w:r>
      </w:hyperlink>
      <w:r w:rsidR="00C116FD" w:rsidRPr="00673725">
        <w:rPr>
          <w:rFonts w:ascii="Arial" w:hAnsi="Arial" w:cs="Arial"/>
          <w:noProof/>
          <w:sz w:val="20"/>
        </w:rPr>
        <w:t xml:space="preserve">. Европейският зелен пакт не може да бъде постигнат без адресиране на темата за устойчиво производство на храни. ЕК съобщи в Комюникето за Зеления пакт, което беше издадено на 11 декември 2019 г., че предстоящата Стратегия от фермата до трапезата, която се очаква през пролетта на 2020 г. ще поясни целите и действията, които са необходими за постигането на справедлива, здравословна и съвместима с околната среда хранителна система. Стратегията ще комбинира регулаторните и нерегулаторни инициативи, необходими за постигането на целите. ОСП и Общата политика по рибарство ще бъдат ключовите инструменти за подкрепа на стратегията. Консултацията с всички заинтересовани страни ще подсигури стратегията да адресира всички съотносими въпроси. Допитването има за цел да събере подходяща информация относно предизвикателствата, пред които са изправени първичните производители, работещите в хранителната промишленост, преработката и търговията, както и всички граждани. По-конкретно, консултацията има за цел да идентифицира основните пропуски, които могат да бъдат адресирани на ниво ЕС и да идентифицира области, в които ЕС може да има добавена стойност.  </w:t>
      </w:r>
    </w:p>
    <w:p w:rsidR="0024555C" w:rsidRPr="00673725" w:rsidRDefault="0024555C" w:rsidP="00C116FD">
      <w:pPr>
        <w:jc w:val="both"/>
        <w:rPr>
          <w:rFonts w:ascii="Arial" w:hAnsi="Arial" w:cs="Arial"/>
          <w:noProof/>
          <w:sz w:val="20"/>
        </w:rPr>
      </w:pPr>
    </w:p>
    <w:p w:rsidR="0024555C" w:rsidRPr="00673725" w:rsidRDefault="00346B34" w:rsidP="0024555C">
      <w:pPr>
        <w:jc w:val="both"/>
        <w:rPr>
          <w:rFonts w:ascii="Arial" w:hAnsi="Arial" w:cs="Arial"/>
          <w:noProof/>
          <w:sz w:val="20"/>
        </w:rPr>
      </w:pPr>
      <w:r>
        <w:rPr>
          <w:rFonts w:ascii="Arial" w:hAnsi="Arial" w:cs="Arial"/>
          <w:b/>
          <w:noProof/>
          <w:sz w:val="20"/>
        </w:rPr>
        <w:t>6</w:t>
      </w:r>
      <w:r w:rsidR="0024555C" w:rsidRPr="00673725">
        <w:rPr>
          <w:rFonts w:ascii="Arial" w:hAnsi="Arial" w:cs="Arial"/>
          <w:b/>
          <w:noProof/>
          <w:sz w:val="20"/>
        </w:rPr>
        <w:t xml:space="preserve">. Няма постигнато споразумение по параметрите на Многогодишната финансова рамка (МФР) 2021-2027 г. </w:t>
      </w:r>
      <w:r w:rsidR="0024555C" w:rsidRPr="00673725">
        <w:rPr>
          <w:rFonts w:ascii="Arial" w:hAnsi="Arial" w:cs="Arial"/>
          <w:noProof/>
          <w:sz w:val="20"/>
        </w:rPr>
        <w:t xml:space="preserve">Въпреки, че в рамките на Европейския Съвет на 21 февруари 2020 г. имаше преговори, продължили повече от 30 часа, делегациите не успяха да намерят консенсусно решение за финансирането в следващия период. Отправна точка на дискусията беше преговорната кутия, представена от председателя на Европейския Съвет Шарл Мишел на 14 февруари. Предложението предвижда разпределянето на 329.3 млрд. евро за ОСП за периода 2021-2027 г. (по цени 2018 г.). Това е с 1.5% повече от предложеното от ЕК през май 2018 г. (324.3 млрд.евро), но с около 13.9% под пакета за ОСП за МФР 2014-2020 г. (382.9 млрд. евро). Според фермерската организация Copa-Cogeca предложението на Шарл Мишел е неприемливо, защото не осигурява достатъчна подкрепа за земеделските стопани да адресират предизвикателствата, пред които са изправени и няма да им помогне за постигането на принос към целите, определени в Европейския Зелен пакт. Предложението за бюджет за 2021-2027 г. беше неприемливо и за председателя на Европейския Парламент – Давид Сасоли, който е готов да отхвърли споразумение, което не предоставя достатъчно ресурси за справяне с новите предизвикателства и беше особено критичен към предложението за намаляване на традиционните политики (земеделие и кохезия). По време на 30-часовите преговори в Европейския Съвет беше разпространено ново предложение, предвиждащо увеличение с около 4.4 млрд. евро за ОСП (+ 2 млрд. евро за директни плащания и + 2.4 млрд. евро за развитие на селските райони) и допълнителни 4.8 млрд. евро за кохезия. Говорейки от името на 17 ДЧ, които получават финансиране за развитие, премиерът на Португалия заяви, че преговорите не могат да продължат в рамките на това заседание, защото предложението не е приемливо за мнозинството. Според Нидерландия е необходимо да се свият разходите до 1% от БНД (последният компромисен текст предлага 1.069%, закръглени на 1.07% от БНД) и поиска по-структурирани отстъпки за Нидерландия, Австрия, Швеция, Дания, Германия. Председателят на Европейския Съвет Шарл Мишел проведе редица двустранни срещи с държавите членки, както и разговори с т.нар „пестелива четворка“ (Нидерландия, Швеция, Австрия, Дания), които искат МФР 2021-2027 г. да се финансира с вноски от 1% от БНД и въведените рестрикции в бюджетите за отделните политики да останат. Лидерите на четирите страни считат, че разходите в бюджета трябва да бъдат модернизирани, като се постави фокус върху върховенството на закона, миграциите, иновациите и климата. Мишел се срещна и с т.нар „Кохезионна група“ или ново-наименовани „Приятели на амбициозна Европа“, които искат амбициозен бюджет за ЕС за най-добро посрещане на интересите на Европа и европейските граждани. Въпреки проведените срещи и преговори нямаше сближаване на позициите и договарянето на бюджета за МФР 2021-2027 г. продължава в следващите седмици. </w:t>
      </w:r>
    </w:p>
    <w:p w:rsidR="001B1430" w:rsidRPr="00673725"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673725" w:rsidTr="00F73636">
        <w:tc>
          <w:tcPr>
            <w:tcW w:w="9923" w:type="dxa"/>
            <w:shd w:val="clear" w:color="auto" w:fill="C0C0C0"/>
            <w:hideMark/>
          </w:tcPr>
          <w:p w:rsidR="00275471" w:rsidRPr="00673725" w:rsidRDefault="00275471" w:rsidP="00F73636">
            <w:pPr>
              <w:jc w:val="both"/>
              <w:rPr>
                <w:rStyle w:val="longtext"/>
                <w:rFonts w:ascii="Arial" w:hAnsi="Arial" w:cs="Arial"/>
                <w:b/>
                <w:i/>
                <w:noProof/>
                <w:sz w:val="20"/>
              </w:rPr>
            </w:pPr>
          </w:p>
          <w:p w:rsidR="001B1430" w:rsidRPr="00673725" w:rsidRDefault="001B1430" w:rsidP="00F73636">
            <w:pPr>
              <w:jc w:val="both"/>
              <w:rPr>
                <w:rStyle w:val="longtext"/>
                <w:rFonts w:ascii="Arial" w:hAnsi="Arial" w:cs="Arial"/>
                <w:b/>
                <w:i/>
                <w:noProof/>
                <w:sz w:val="20"/>
              </w:rPr>
            </w:pPr>
            <w:r w:rsidRPr="00673725">
              <w:rPr>
                <w:rStyle w:val="longtext"/>
                <w:rFonts w:ascii="Arial" w:hAnsi="Arial" w:cs="Arial"/>
                <w:b/>
                <w:i/>
                <w:noProof/>
                <w:sz w:val="20"/>
              </w:rPr>
              <w:t>Още от ЕС и света</w:t>
            </w:r>
          </w:p>
        </w:tc>
        <w:tc>
          <w:tcPr>
            <w:tcW w:w="236" w:type="dxa"/>
          </w:tcPr>
          <w:p w:rsidR="001B1430" w:rsidRPr="00673725" w:rsidRDefault="001B1430" w:rsidP="00F73636">
            <w:pPr>
              <w:jc w:val="both"/>
              <w:rPr>
                <w:rStyle w:val="longtext"/>
                <w:rFonts w:ascii="Arial" w:hAnsi="Arial" w:cs="Arial"/>
                <w:b/>
                <w:noProof/>
                <w:sz w:val="20"/>
              </w:rPr>
            </w:pPr>
          </w:p>
        </w:tc>
      </w:tr>
    </w:tbl>
    <w:p w:rsidR="001B1430" w:rsidRPr="00673725"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5B7D03" w:rsidRPr="00673725" w:rsidRDefault="00A355B1" w:rsidP="008E07E7">
      <w:pPr>
        <w:spacing w:after="200"/>
        <w:jc w:val="both"/>
        <w:rPr>
          <w:rStyle w:val="longtext"/>
          <w:rFonts w:ascii="Arial" w:hAnsi="Arial" w:cs="Arial"/>
          <w:noProof/>
          <w:sz w:val="20"/>
        </w:rPr>
      </w:pPr>
      <w:r>
        <w:rPr>
          <w:rStyle w:val="longtext"/>
          <w:rFonts w:ascii="Arial" w:hAnsi="Arial" w:cs="Arial"/>
          <w:b/>
          <w:noProof/>
          <w:sz w:val="20"/>
        </w:rPr>
        <w:t>7</w:t>
      </w:r>
      <w:r w:rsidR="005B7D03" w:rsidRPr="00673725">
        <w:rPr>
          <w:rStyle w:val="longtext"/>
          <w:rFonts w:ascii="Arial" w:hAnsi="Arial" w:cs="Arial"/>
          <w:b/>
          <w:noProof/>
          <w:sz w:val="20"/>
        </w:rPr>
        <w:t>.</w:t>
      </w:r>
      <w:r w:rsidR="005B7D03" w:rsidRPr="00673725">
        <w:rPr>
          <w:rStyle w:val="longtext"/>
          <w:rFonts w:ascii="Arial" w:hAnsi="Arial" w:cs="Arial"/>
          <w:noProof/>
          <w:sz w:val="20"/>
        </w:rPr>
        <w:t xml:space="preserve"> </w:t>
      </w:r>
      <w:r w:rsidR="005B7D03" w:rsidRPr="00673725">
        <w:rPr>
          <w:rStyle w:val="longtext"/>
          <w:rFonts w:ascii="Arial" w:hAnsi="Arial" w:cs="Arial"/>
          <w:b/>
          <w:noProof/>
          <w:sz w:val="20"/>
        </w:rPr>
        <w:t>Ревизиране на митнически ставки по делото „Еърбъс</w:t>
      </w:r>
      <w:r w:rsidR="005B7D03" w:rsidRPr="00673725">
        <w:rPr>
          <w:rStyle w:val="longtext"/>
          <w:rFonts w:ascii="Arial" w:hAnsi="Arial" w:cs="Arial"/>
          <w:noProof/>
          <w:sz w:val="20"/>
        </w:rPr>
        <w:t>“.</w:t>
      </w:r>
      <w:r w:rsidR="005B7D03" w:rsidRPr="00673725">
        <w:rPr>
          <w:rFonts w:ascii="Arial" w:hAnsi="Arial" w:cs="Arial"/>
          <w:noProof/>
          <w:sz w:val="20"/>
        </w:rPr>
        <w:t xml:space="preserve"> </w:t>
      </w:r>
      <w:r w:rsidR="005B7D03" w:rsidRPr="00673725">
        <w:rPr>
          <w:rStyle w:val="longtext"/>
          <w:rFonts w:ascii="Arial" w:hAnsi="Arial" w:cs="Arial"/>
          <w:noProof/>
          <w:sz w:val="20"/>
        </w:rPr>
        <w:t xml:space="preserve">След наложените на 18.10.2019 г. вносни мита от 25% по отношение на редица селскостопански продукти от ЕС, на 14.02.2020 г. САЩ публикува промени в списъка от стоки, подлежащи на облагане с ответни балансиращи мита в рамките на спечеленото от САЩ арбитражно дело в СТО срещу ЕС - т.нар. „Дело Еърбъс“. В рамките на арбитражното решение САЩ получават правото да определят, променят и преструктурират едностранно и на различни интервали от време размера на митата. Промените не засягат български продукти. В новия списък с обмитени стоки остава групата на коктейлните череши от България, което нарушава значително тяхната конкурентоспособност, при износ за САЩ на стойност 1,8 млн. долара годишно. Благоприятна е ситуацията за родните износители на млечни продукти, тъй като върху българките млечни продукти от овче мляко отново не е наложено мито в размер от 25%. Налице е шанс за навлизане на български сирена от овче мляко на американския пазар (с годишен експортен обем от близо 15 млн. долара) за сметка на конкурентните пазарни дялове на гръцките идентични продукти (чиито износ е в размер на 35 млн. долара). За целта е необходимо българските производители да инвестират в маркетинг, пазарно навлизане, разработване на нови продукти и повишаване на конкурентоспособността на продукта. </w:t>
      </w:r>
    </w:p>
    <w:p w:rsidR="005B7D03" w:rsidRPr="00673725" w:rsidRDefault="005B7D03" w:rsidP="00AD5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rsidR="00AD5A1E" w:rsidRPr="00673725" w:rsidRDefault="00AD5A1E" w:rsidP="00915641">
      <w:pPr>
        <w:spacing w:after="200" w:line="276" w:lineRule="auto"/>
        <w:jc w:val="both"/>
        <w:rPr>
          <w:rStyle w:val="longtext"/>
          <w:noProof/>
        </w:rPr>
      </w:pPr>
    </w:p>
    <w:p w:rsidR="00915641" w:rsidRDefault="00915641" w:rsidP="00915641">
      <w:pPr>
        <w:rPr>
          <w:rFonts w:ascii="Calibri" w:hAnsi="Calibri"/>
          <w:sz w:val="22"/>
          <w:szCs w:val="22"/>
        </w:rPr>
      </w:pPr>
    </w:p>
    <w:p w:rsidR="001B1430" w:rsidRPr="009203FA" w:rsidRDefault="001173C3" w:rsidP="00915641">
      <w:pPr>
        <w:jc w:val="both"/>
        <w:rPr>
          <w:rStyle w:val="longtext"/>
          <w:rFonts w:ascii="Arial" w:hAnsi="Arial" w:cs="Arial"/>
          <w:noProof/>
          <w:sz w:val="20"/>
        </w:rPr>
      </w:pPr>
      <w:r w:rsidRPr="00346B34">
        <w:rPr>
          <w:rStyle w:val="longtext"/>
          <w:rFonts w:ascii="Arial" w:hAnsi="Arial" w:cs="Arial"/>
          <w:b/>
          <w:noProof/>
          <w:sz w:val="20"/>
          <w:lang w:val="ru-RU"/>
        </w:rPr>
        <w:tab/>
      </w:r>
      <w:r w:rsidRPr="00346B34">
        <w:rPr>
          <w:rStyle w:val="longtext"/>
          <w:rFonts w:ascii="Arial" w:hAnsi="Arial" w:cs="Arial"/>
          <w:b/>
          <w:noProof/>
          <w:sz w:val="20"/>
          <w:lang w:val="ru-RU"/>
        </w:rPr>
        <w:tab/>
      </w:r>
      <w:r w:rsidRPr="00346B34">
        <w:rPr>
          <w:rStyle w:val="longtext"/>
          <w:rFonts w:ascii="Arial" w:hAnsi="Arial" w:cs="Arial"/>
          <w:b/>
          <w:noProof/>
          <w:sz w:val="20"/>
          <w:lang w:val="ru-RU"/>
        </w:rPr>
        <w:tab/>
      </w:r>
      <w:r w:rsidRPr="00346B34">
        <w:rPr>
          <w:rStyle w:val="longtext"/>
          <w:rFonts w:ascii="Arial" w:hAnsi="Arial" w:cs="Arial"/>
          <w:b/>
          <w:noProof/>
          <w:sz w:val="20"/>
          <w:lang w:val="ru-RU"/>
        </w:rPr>
        <w:tab/>
      </w:r>
    </w:p>
    <w:p w:rsidR="0001496E" w:rsidRPr="009203FA" w:rsidRDefault="0001496E" w:rsidP="00120AD2">
      <w:pPr>
        <w:jc w:val="both"/>
        <w:rPr>
          <w:rStyle w:val="longtext"/>
          <w:noProof/>
        </w:rPr>
      </w:pPr>
    </w:p>
    <w:sectPr w:rsidR="0001496E" w:rsidRPr="009203FA"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C98" w:rsidRDefault="00991C98">
      <w:r>
        <w:separator/>
      </w:r>
    </w:p>
  </w:endnote>
  <w:endnote w:type="continuationSeparator" w:id="0">
    <w:p w:rsidR="00991C98" w:rsidRDefault="0099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991C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991C98"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346B34">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991C98">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C98" w:rsidRDefault="00991C98">
      <w:r>
        <w:separator/>
      </w:r>
    </w:p>
  </w:footnote>
  <w:footnote w:type="continuationSeparator" w:id="0">
    <w:p w:rsidR="00991C98" w:rsidRDefault="0099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E0DB07E" wp14:editId="7E38AA69">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991C9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991C9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40</w:t>
    </w:r>
    <w:r w:rsidR="007C75B4">
      <w:rPr>
        <w:rFonts w:ascii="Arial" w:hAnsi="Arial"/>
        <w:b/>
        <w:bCs/>
        <w:color w:val="800080"/>
        <w:sz w:val="20"/>
        <w:lang w:val="en-US"/>
      </w:rPr>
      <w:t>8</w:t>
    </w:r>
    <w:r>
      <w:rPr>
        <w:rFonts w:ascii="Arial" w:hAnsi="Arial"/>
        <w:b/>
        <w:bCs/>
        <w:color w:val="800080"/>
        <w:sz w:val="20"/>
      </w:rPr>
      <w:t>/</w:t>
    </w:r>
    <w:r w:rsidR="007C75B4">
      <w:rPr>
        <w:rFonts w:ascii="Arial" w:hAnsi="Arial"/>
        <w:b/>
        <w:bCs/>
        <w:color w:val="800080"/>
        <w:sz w:val="20"/>
        <w:lang w:val="en-US"/>
      </w:rPr>
      <w:t>24</w:t>
    </w:r>
    <w:r w:rsidR="006E7A46">
      <w:rPr>
        <w:rFonts w:ascii="Arial" w:hAnsi="Arial"/>
        <w:b/>
        <w:bCs/>
        <w:color w:val="800080"/>
        <w:sz w:val="20"/>
        <w:lang w:val="en-US"/>
      </w:rPr>
      <w:t>.</w:t>
    </w:r>
    <w:r w:rsidR="002C512F">
      <w:rPr>
        <w:rFonts w:ascii="Arial" w:hAnsi="Arial"/>
        <w:b/>
        <w:bCs/>
        <w:color w:val="800080"/>
        <w:sz w:val="20"/>
        <w:lang w:val="en-US"/>
      </w:rPr>
      <w:t>02</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44D9"/>
    <w:rsid w:val="0001496E"/>
    <w:rsid w:val="0002497A"/>
    <w:rsid w:val="00024DB1"/>
    <w:rsid w:val="00032EDB"/>
    <w:rsid w:val="00046BB0"/>
    <w:rsid w:val="00046D50"/>
    <w:rsid w:val="00050832"/>
    <w:rsid w:val="0005714A"/>
    <w:rsid w:val="0006687D"/>
    <w:rsid w:val="000678FD"/>
    <w:rsid w:val="0007208A"/>
    <w:rsid w:val="00081BD0"/>
    <w:rsid w:val="00081DAE"/>
    <w:rsid w:val="00091CD4"/>
    <w:rsid w:val="000A31F0"/>
    <w:rsid w:val="000B2026"/>
    <w:rsid w:val="000B7B54"/>
    <w:rsid w:val="001164FC"/>
    <w:rsid w:val="001173C3"/>
    <w:rsid w:val="00117A81"/>
    <w:rsid w:val="00120AD2"/>
    <w:rsid w:val="00131A6D"/>
    <w:rsid w:val="00134872"/>
    <w:rsid w:val="0013606E"/>
    <w:rsid w:val="0014608C"/>
    <w:rsid w:val="0015229E"/>
    <w:rsid w:val="001639CC"/>
    <w:rsid w:val="00173E25"/>
    <w:rsid w:val="00180441"/>
    <w:rsid w:val="00186654"/>
    <w:rsid w:val="00193EEE"/>
    <w:rsid w:val="001A2A3D"/>
    <w:rsid w:val="001A6A7A"/>
    <w:rsid w:val="001B1430"/>
    <w:rsid w:val="001B5399"/>
    <w:rsid w:val="001C3F62"/>
    <w:rsid w:val="001E1EAA"/>
    <w:rsid w:val="001E1F98"/>
    <w:rsid w:val="001E4050"/>
    <w:rsid w:val="001E4C01"/>
    <w:rsid w:val="001F2EC7"/>
    <w:rsid w:val="001F396B"/>
    <w:rsid w:val="00210721"/>
    <w:rsid w:val="002118F6"/>
    <w:rsid w:val="002163C0"/>
    <w:rsid w:val="00221CDF"/>
    <w:rsid w:val="0024546F"/>
    <w:rsid w:val="0024555C"/>
    <w:rsid w:val="002521C1"/>
    <w:rsid w:val="002610A9"/>
    <w:rsid w:val="002653C2"/>
    <w:rsid w:val="00274F4E"/>
    <w:rsid w:val="00275471"/>
    <w:rsid w:val="00285183"/>
    <w:rsid w:val="0029075B"/>
    <w:rsid w:val="002918DE"/>
    <w:rsid w:val="0029220D"/>
    <w:rsid w:val="002A2C5F"/>
    <w:rsid w:val="002A5150"/>
    <w:rsid w:val="002A6A4C"/>
    <w:rsid w:val="002B379D"/>
    <w:rsid w:val="002B44DA"/>
    <w:rsid w:val="002C065E"/>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46B34"/>
    <w:rsid w:val="00353ACF"/>
    <w:rsid w:val="003877CA"/>
    <w:rsid w:val="00391FB3"/>
    <w:rsid w:val="003952CE"/>
    <w:rsid w:val="00396C28"/>
    <w:rsid w:val="003A56BA"/>
    <w:rsid w:val="003A5BDE"/>
    <w:rsid w:val="003B7AAB"/>
    <w:rsid w:val="003C0E47"/>
    <w:rsid w:val="003C1BFF"/>
    <w:rsid w:val="003C3DEB"/>
    <w:rsid w:val="003D0C6C"/>
    <w:rsid w:val="003D4968"/>
    <w:rsid w:val="003D5B7F"/>
    <w:rsid w:val="003D6634"/>
    <w:rsid w:val="003E0404"/>
    <w:rsid w:val="003E118D"/>
    <w:rsid w:val="003E5CB2"/>
    <w:rsid w:val="00403CB9"/>
    <w:rsid w:val="00411829"/>
    <w:rsid w:val="004133A8"/>
    <w:rsid w:val="00422311"/>
    <w:rsid w:val="0044148C"/>
    <w:rsid w:val="00446398"/>
    <w:rsid w:val="0046415A"/>
    <w:rsid w:val="004923C1"/>
    <w:rsid w:val="00496775"/>
    <w:rsid w:val="004A0254"/>
    <w:rsid w:val="004A4C92"/>
    <w:rsid w:val="004B46D9"/>
    <w:rsid w:val="004F4705"/>
    <w:rsid w:val="004F5E4F"/>
    <w:rsid w:val="00502A0A"/>
    <w:rsid w:val="0051071D"/>
    <w:rsid w:val="005179AD"/>
    <w:rsid w:val="005247A5"/>
    <w:rsid w:val="0052706F"/>
    <w:rsid w:val="00530C09"/>
    <w:rsid w:val="00537A32"/>
    <w:rsid w:val="00542DE9"/>
    <w:rsid w:val="00562C02"/>
    <w:rsid w:val="00563064"/>
    <w:rsid w:val="00594324"/>
    <w:rsid w:val="00596313"/>
    <w:rsid w:val="005A0184"/>
    <w:rsid w:val="005B1884"/>
    <w:rsid w:val="005B4574"/>
    <w:rsid w:val="005B7D03"/>
    <w:rsid w:val="005C1BB7"/>
    <w:rsid w:val="00606F43"/>
    <w:rsid w:val="00623765"/>
    <w:rsid w:val="00626A3F"/>
    <w:rsid w:val="00627881"/>
    <w:rsid w:val="006367A9"/>
    <w:rsid w:val="00642BB6"/>
    <w:rsid w:val="0066444F"/>
    <w:rsid w:val="00673725"/>
    <w:rsid w:val="00682667"/>
    <w:rsid w:val="00686AF4"/>
    <w:rsid w:val="006961F0"/>
    <w:rsid w:val="006A094F"/>
    <w:rsid w:val="006A7391"/>
    <w:rsid w:val="006A739D"/>
    <w:rsid w:val="006C053F"/>
    <w:rsid w:val="006C196D"/>
    <w:rsid w:val="006E7A46"/>
    <w:rsid w:val="006F38F7"/>
    <w:rsid w:val="00701CA8"/>
    <w:rsid w:val="0070200F"/>
    <w:rsid w:val="00705B40"/>
    <w:rsid w:val="00713942"/>
    <w:rsid w:val="00714838"/>
    <w:rsid w:val="00726AB6"/>
    <w:rsid w:val="00734448"/>
    <w:rsid w:val="00750FB4"/>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3184F"/>
    <w:rsid w:val="0083232B"/>
    <w:rsid w:val="00845489"/>
    <w:rsid w:val="00852DE4"/>
    <w:rsid w:val="00861450"/>
    <w:rsid w:val="00865E24"/>
    <w:rsid w:val="0087702E"/>
    <w:rsid w:val="0087763E"/>
    <w:rsid w:val="008803A4"/>
    <w:rsid w:val="008836F2"/>
    <w:rsid w:val="008933AB"/>
    <w:rsid w:val="008A1360"/>
    <w:rsid w:val="008B2118"/>
    <w:rsid w:val="008D0E78"/>
    <w:rsid w:val="008D2FF4"/>
    <w:rsid w:val="008E07E7"/>
    <w:rsid w:val="008E0F81"/>
    <w:rsid w:val="008F75D2"/>
    <w:rsid w:val="008F7C98"/>
    <w:rsid w:val="008F7ECC"/>
    <w:rsid w:val="009063C7"/>
    <w:rsid w:val="00910462"/>
    <w:rsid w:val="00915641"/>
    <w:rsid w:val="009203FA"/>
    <w:rsid w:val="00934FA6"/>
    <w:rsid w:val="009355BA"/>
    <w:rsid w:val="00956512"/>
    <w:rsid w:val="009704A2"/>
    <w:rsid w:val="00977CA7"/>
    <w:rsid w:val="00991C98"/>
    <w:rsid w:val="0099695D"/>
    <w:rsid w:val="009A2752"/>
    <w:rsid w:val="009A5D09"/>
    <w:rsid w:val="009B1FAD"/>
    <w:rsid w:val="009D0924"/>
    <w:rsid w:val="009D6F1E"/>
    <w:rsid w:val="009E45D3"/>
    <w:rsid w:val="009E6BDB"/>
    <w:rsid w:val="009F4E95"/>
    <w:rsid w:val="009F7022"/>
    <w:rsid w:val="00A02393"/>
    <w:rsid w:val="00A1170C"/>
    <w:rsid w:val="00A15D87"/>
    <w:rsid w:val="00A227FC"/>
    <w:rsid w:val="00A355B1"/>
    <w:rsid w:val="00A447C0"/>
    <w:rsid w:val="00A50E2C"/>
    <w:rsid w:val="00A56825"/>
    <w:rsid w:val="00A673EB"/>
    <w:rsid w:val="00A74737"/>
    <w:rsid w:val="00A77EC5"/>
    <w:rsid w:val="00AB140A"/>
    <w:rsid w:val="00AB1841"/>
    <w:rsid w:val="00AB2303"/>
    <w:rsid w:val="00AC64B0"/>
    <w:rsid w:val="00AC73DE"/>
    <w:rsid w:val="00AD504F"/>
    <w:rsid w:val="00AD5A1E"/>
    <w:rsid w:val="00AE0D25"/>
    <w:rsid w:val="00AE14FF"/>
    <w:rsid w:val="00AE2FF4"/>
    <w:rsid w:val="00B03285"/>
    <w:rsid w:val="00B16835"/>
    <w:rsid w:val="00B200ED"/>
    <w:rsid w:val="00B34793"/>
    <w:rsid w:val="00B36E39"/>
    <w:rsid w:val="00B539A9"/>
    <w:rsid w:val="00B6207E"/>
    <w:rsid w:val="00B64F87"/>
    <w:rsid w:val="00B73DA3"/>
    <w:rsid w:val="00B81125"/>
    <w:rsid w:val="00B8112B"/>
    <w:rsid w:val="00B853D4"/>
    <w:rsid w:val="00B90317"/>
    <w:rsid w:val="00B93F21"/>
    <w:rsid w:val="00B953AC"/>
    <w:rsid w:val="00BC35B8"/>
    <w:rsid w:val="00BC70E2"/>
    <w:rsid w:val="00BE55CA"/>
    <w:rsid w:val="00BF118B"/>
    <w:rsid w:val="00BF28EC"/>
    <w:rsid w:val="00C00F88"/>
    <w:rsid w:val="00C05E95"/>
    <w:rsid w:val="00C116FD"/>
    <w:rsid w:val="00C20809"/>
    <w:rsid w:val="00C3643A"/>
    <w:rsid w:val="00C37B23"/>
    <w:rsid w:val="00C44608"/>
    <w:rsid w:val="00C574EE"/>
    <w:rsid w:val="00C60D17"/>
    <w:rsid w:val="00C6312D"/>
    <w:rsid w:val="00C718EB"/>
    <w:rsid w:val="00C7577F"/>
    <w:rsid w:val="00C8585D"/>
    <w:rsid w:val="00CA35A8"/>
    <w:rsid w:val="00CA7960"/>
    <w:rsid w:val="00CB196D"/>
    <w:rsid w:val="00CB2886"/>
    <w:rsid w:val="00CC7CF0"/>
    <w:rsid w:val="00CE5E69"/>
    <w:rsid w:val="00CF0DEA"/>
    <w:rsid w:val="00D000AE"/>
    <w:rsid w:val="00D100BD"/>
    <w:rsid w:val="00D1195A"/>
    <w:rsid w:val="00D167B1"/>
    <w:rsid w:val="00D25C9A"/>
    <w:rsid w:val="00D3159B"/>
    <w:rsid w:val="00D32B06"/>
    <w:rsid w:val="00D43BBD"/>
    <w:rsid w:val="00D61B59"/>
    <w:rsid w:val="00D6359C"/>
    <w:rsid w:val="00D758EF"/>
    <w:rsid w:val="00D80D84"/>
    <w:rsid w:val="00D8519B"/>
    <w:rsid w:val="00D86732"/>
    <w:rsid w:val="00D912F0"/>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83C"/>
    <w:rsid w:val="00EC0DDC"/>
    <w:rsid w:val="00EC4213"/>
    <w:rsid w:val="00EC6BA3"/>
    <w:rsid w:val="00EE0807"/>
    <w:rsid w:val="00EE1065"/>
    <w:rsid w:val="00EE38E7"/>
    <w:rsid w:val="00EE7B1B"/>
    <w:rsid w:val="00F0360F"/>
    <w:rsid w:val="00F12C83"/>
    <w:rsid w:val="00F23EFD"/>
    <w:rsid w:val="00F30D26"/>
    <w:rsid w:val="00F40970"/>
    <w:rsid w:val="00F4416D"/>
    <w:rsid w:val="00F531AD"/>
    <w:rsid w:val="00F6008B"/>
    <w:rsid w:val="00F67B7A"/>
    <w:rsid w:val="00F70B6C"/>
    <w:rsid w:val="00F72B07"/>
    <w:rsid w:val="00F73C4B"/>
    <w:rsid w:val="00F74337"/>
    <w:rsid w:val="00F74747"/>
    <w:rsid w:val="00FD4196"/>
    <w:rsid w:val="00FE14C1"/>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26859943">
      <w:bodyDiv w:val="1"/>
      <w:marLeft w:val="0"/>
      <w:marRight w:val="0"/>
      <w:marTop w:val="0"/>
      <w:marBottom w:val="0"/>
      <w:divBdr>
        <w:top w:val="none" w:sz="0" w:space="0" w:color="auto"/>
        <w:left w:val="none" w:sz="0" w:space="0" w:color="auto"/>
        <w:bottom w:val="none" w:sz="0" w:space="0" w:color="auto"/>
        <w:right w:val="none" w:sz="0" w:space="0" w:color="auto"/>
      </w:divBdr>
    </w:div>
    <w:div w:id="1402022703">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info/law/better-regulation/have-your-say/initiatives/12183-Farm-to-Fork-Strategy" TargetMode="External"/><Relationship Id="rId4" Type="http://schemas.microsoft.com/office/2007/relationships/stylesWithEffects" Target="stylesWithEffects.xml"/><Relationship Id="rId9" Type="http://schemas.openxmlformats.org/officeDocument/2006/relationships/hyperlink" Target="http://www.copa-cogeca.eu/download.ashx?docID=284594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CD6D-68A1-473F-8C80-762BC0E3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23</cp:revision>
  <dcterms:created xsi:type="dcterms:W3CDTF">2020-02-17T15:43:00Z</dcterms:created>
  <dcterms:modified xsi:type="dcterms:W3CDTF">2020-02-24T15:14:00Z</dcterms:modified>
</cp:coreProperties>
</file>