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DF6C44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-04-11</w:t>
      </w:r>
    </w:p>
    <w:p w:rsidR="003C2D82" w:rsidRDefault="00E23FD1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05.02.2020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</w:t>
      </w:r>
      <w:r w:rsidR="00EC47C5">
        <w:rPr>
          <w:rFonts w:ascii="Times New Roman" w:hAnsi="Times New Roman"/>
          <w:sz w:val="22"/>
          <w:szCs w:val="22"/>
          <w:lang w:val="bg-BG"/>
        </w:rPr>
        <w:t>6 от ППЗСПЗЗ, във връзка с писмо</w:t>
      </w:r>
      <w:r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66-3048/07.11.2019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както и протокол за служебно извършена проверка на комисия, назначена със Заповед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РД -</w:t>
      </w:r>
      <w:r w:rsidR="00EC47C5">
        <w:rPr>
          <w:rFonts w:ascii="Times New Roman" w:hAnsi="Times New Roman"/>
          <w:sz w:val="22"/>
          <w:szCs w:val="22"/>
          <w:lang w:val="bg-BG"/>
        </w:rPr>
        <w:t>04-134/21.11.2019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Директора на ОД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“Земеделие“- гр.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Русе</w:t>
      </w:r>
    </w:p>
    <w:p w:rsidR="003C2D82" w:rsidRDefault="003C2D82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EC47C5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Сандрово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EC47C5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EC47C5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2,736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3C2D82" w:rsidP="00EC47C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Стоп. Двор – 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EC47C5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EC47C5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272,80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3C2D82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с. Иваново, област Русе, Общинска служба по земеделие – гр. Русе и Кметствата на населените места по местонахождението на имотите.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 </w:t>
      </w:r>
      <w:r w:rsidR="00DF6C44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DF6C44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2F559B"/>
    <w:rsid w:val="003C2D82"/>
    <w:rsid w:val="006A245F"/>
    <w:rsid w:val="008A0592"/>
    <w:rsid w:val="00AE7637"/>
    <w:rsid w:val="00DF6C44"/>
    <w:rsid w:val="00E23FD1"/>
    <w:rsid w:val="00E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CAF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11</cp:revision>
  <cp:lastPrinted>2020-01-23T13:47:00Z</cp:lastPrinted>
  <dcterms:created xsi:type="dcterms:W3CDTF">2019-10-25T07:34:00Z</dcterms:created>
  <dcterms:modified xsi:type="dcterms:W3CDTF">2020-02-05T08:00:00Z</dcterms:modified>
</cp:coreProperties>
</file>