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6E7A46" w14:paraId="62F3D0CC" w14:textId="77777777" w:rsidTr="00F73636">
        <w:tc>
          <w:tcPr>
            <w:tcW w:w="9923" w:type="dxa"/>
            <w:shd w:val="clear" w:color="auto" w:fill="C0C0C0"/>
          </w:tcPr>
          <w:p w14:paraId="351432F6" w14:textId="77777777" w:rsidR="001B1430" w:rsidRPr="006E7A46" w:rsidRDefault="001B1430" w:rsidP="00F73636">
            <w:pPr>
              <w:jc w:val="both"/>
              <w:rPr>
                <w:rFonts w:ascii="Arial" w:hAnsi="Arial" w:cs="Arial"/>
                <w:b/>
                <w:i/>
                <w:sz w:val="20"/>
              </w:rPr>
            </w:pPr>
            <w:r w:rsidRPr="006E7A46">
              <w:rPr>
                <w:rFonts w:ascii="Arial" w:hAnsi="Arial" w:cs="Arial"/>
                <w:b/>
                <w:i/>
                <w:sz w:val="20"/>
              </w:rPr>
              <w:t>Директни плащания</w:t>
            </w:r>
          </w:p>
        </w:tc>
      </w:tr>
    </w:tbl>
    <w:p w14:paraId="3E9DFC40" w14:textId="77777777" w:rsidR="00FE4D8F" w:rsidRPr="00513AF2" w:rsidRDefault="00FE4D8F" w:rsidP="001B1430">
      <w:pPr>
        <w:jc w:val="both"/>
        <w:rPr>
          <w:rStyle w:val="longtext"/>
          <w:rFonts w:ascii="Arial" w:hAnsi="Arial" w:cs="Arial"/>
          <w:b/>
          <w:sz w:val="20"/>
        </w:rPr>
      </w:pPr>
    </w:p>
    <w:p w14:paraId="4DE2EA6E" w14:textId="77777777" w:rsidR="001C3011" w:rsidRPr="001B6075" w:rsidRDefault="00513AF2" w:rsidP="001B6075">
      <w:pPr>
        <w:pStyle w:val="ListParagraph"/>
        <w:shd w:val="clear" w:color="auto" w:fill="FFFFFF"/>
        <w:tabs>
          <w:tab w:val="left" w:pos="142"/>
        </w:tabs>
        <w:spacing w:line="240" w:lineRule="auto"/>
        <w:ind w:left="0"/>
        <w:jc w:val="both"/>
        <w:textAlignment w:val="baseline"/>
        <w:outlineLvl w:val="1"/>
        <w:rPr>
          <w:rFonts w:ascii="Arial" w:hAnsi="Arial" w:cs="Arial"/>
          <w:bCs/>
          <w:noProof/>
          <w:color w:val="25261F"/>
          <w:sz w:val="20"/>
          <w:szCs w:val="20"/>
        </w:rPr>
      </w:pPr>
      <w:r w:rsidRPr="006D4DFF">
        <w:rPr>
          <w:rFonts w:ascii="Arial" w:hAnsi="Arial" w:cs="Arial"/>
          <w:b/>
          <w:bCs/>
          <w:noProof/>
          <w:color w:val="25261F"/>
          <w:sz w:val="20"/>
        </w:rPr>
        <w:t>1</w:t>
      </w:r>
      <w:r w:rsidRPr="001B6075">
        <w:rPr>
          <w:rFonts w:ascii="Arial" w:hAnsi="Arial" w:cs="Arial"/>
          <w:b/>
          <w:bCs/>
          <w:noProof/>
          <w:color w:val="25261F"/>
          <w:sz w:val="20"/>
          <w:szCs w:val="20"/>
        </w:rPr>
        <w:t xml:space="preserve">. </w:t>
      </w:r>
      <w:r w:rsidR="001C3011" w:rsidRPr="001B6075">
        <w:rPr>
          <w:rFonts w:ascii="Arial" w:hAnsi="Arial" w:cs="Arial"/>
          <w:b/>
          <w:bCs/>
          <w:noProof/>
          <w:color w:val="25261F"/>
          <w:sz w:val="20"/>
          <w:szCs w:val="20"/>
        </w:rPr>
        <w:t>На 3 858 земеделски стопани бяха изплатени над 3,7 млн. лева за Кампания 2019 по Схемата за млади земеделски стопани.</w:t>
      </w:r>
      <w:r w:rsidR="001C3011" w:rsidRPr="001B6075">
        <w:rPr>
          <w:rFonts w:ascii="Arial" w:hAnsi="Arial" w:cs="Arial"/>
          <w:noProof/>
          <w:sz w:val="20"/>
          <w:szCs w:val="20"/>
        </w:rPr>
        <w:t xml:space="preserve"> </w:t>
      </w:r>
      <w:r w:rsidR="001C3011" w:rsidRPr="001B6075">
        <w:rPr>
          <w:rFonts w:ascii="Arial" w:hAnsi="Arial" w:cs="Arial"/>
          <w:bCs/>
          <w:noProof/>
          <w:color w:val="25261F"/>
          <w:sz w:val="20"/>
          <w:szCs w:val="20"/>
        </w:rPr>
        <w:t>Право на подпомагане имат тези фермери, които са декларирали площи по Схемата за единно плащане на площ (СЕПП) в заявлението за подпомагане за Кампания 2019 и са отбелязали участие по Схемата за млади земеделски стопани. Прилагането на тази схема, като част от директните плащания, започна от Кампания 2015. Допустими кандидати са фермери, които към годината на първото кандидатстване, не са навършили 40 години. Финансовата подкрепа се отпуска за първите 30 ха, допустими по СЕПП. Субсидията по схемата представлява допълнителна надбавка, която се равнява на 50% от подпомагането на хектар по СЕПП.</w:t>
      </w:r>
    </w:p>
    <w:p w14:paraId="15486D3B" w14:textId="77777777" w:rsidR="00513AF2" w:rsidRPr="001B6075" w:rsidRDefault="00513AF2" w:rsidP="001B6075">
      <w:pPr>
        <w:jc w:val="both"/>
        <w:rPr>
          <w:rFonts w:ascii="Arial" w:hAnsi="Arial" w:cs="Arial"/>
          <w:b/>
          <w:noProof/>
          <w:sz w:val="20"/>
        </w:rPr>
      </w:pPr>
      <w:r w:rsidRPr="001B6075">
        <w:rPr>
          <w:rStyle w:val="longtext"/>
          <w:rFonts w:ascii="Arial" w:hAnsi="Arial" w:cs="Arial"/>
          <w:b/>
          <w:noProof/>
          <w:sz w:val="20"/>
        </w:rPr>
        <w:t>2. На 12</w:t>
      </w:r>
      <w:r w:rsidR="00002A0C" w:rsidRPr="001B6075">
        <w:rPr>
          <w:rStyle w:val="longtext"/>
          <w:rFonts w:ascii="Arial" w:hAnsi="Arial" w:cs="Arial"/>
          <w:b/>
          <w:noProof/>
          <w:sz w:val="20"/>
        </w:rPr>
        <w:t xml:space="preserve"> юни </w:t>
      </w:r>
      <w:r w:rsidRPr="001B6075">
        <w:rPr>
          <w:rStyle w:val="longtext"/>
          <w:rFonts w:ascii="Arial" w:hAnsi="Arial" w:cs="Arial"/>
          <w:b/>
          <w:noProof/>
          <w:sz w:val="20"/>
        </w:rPr>
        <w:t xml:space="preserve">2020 г. бяха изплатени над 3 млн. лв. за Кампания 2019 </w:t>
      </w:r>
      <w:r w:rsidRPr="001B6075">
        <w:rPr>
          <w:rFonts w:ascii="Arial" w:hAnsi="Arial" w:cs="Arial"/>
          <w:b/>
          <w:bCs/>
          <w:noProof/>
          <w:sz w:val="20"/>
        </w:rPr>
        <w:t>по Схемата за дребни земеделски стопани (ДЗС)</w:t>
      </w:r>
      <w:r w:rsidR="00002A0C" w:rsidRPr="001B6075">
        <w:rPr>
          <w:rFonts w:ascii="Arial" w:hAnsi="Arial" w:cs="Arial"/>
          <w:b/>
          <w:bCs/>
          <w:noProof/>
          <w:sz w:val="20"/>
        </w:rPr>
        <w:t xml:space="preserve">. </w:t>
      </w:r>
      <w:r w:rsidR="00002A0C" w:rsidRPr="001B6075">
        <w:rPr>
          <w:rFonts w:ascii="Arial" w:hAnsi="Arial" w:cs="Arial"/>
          <w:bCs/>
          <w:noProof/>
          <w:sz w:val="20"/>
        </w:rPr>
        <w:t>П</w:t>
      </w:r>
      <w:r w:rsidRPr="001B6075">
        <w:rPr>
          <w:rFonts w:ascii="Arial" w:hAnsi="Arial" w:cs="Arial"/>
          <w:bCs/>
          <w:noProof/>
          <w:sz w:val="20"/>
        </w:rPr>
        <w:t xml:space="preserve">реведени </w:t>
      </w:r>
      <w:r w:rsidR="00002A0C" w:rsidRPr="001B6075">
        <w:rPr>
          <w:rFonts w:ascii="Arial" w:hAnsi="Arial" w:cs="Arial"/>
          <w:bCs/>
          <w:noProof/>
          <w:sz w:val="20"/>
        </w:rPr>
        <w:t xml:space="preserve">бяха </w:t>
      </w:r>
      <w:r w:rsidRPr="001B6075">
        <w:rPr>
          <w:rFonts w:ascii="Arial" w:hAnsi="Arial" w:cs="Arial"/>
          <w:bCs/>
          <w:noProof/>
          <w:sz w:val="20"/>
        </w:rPr>
        <w:t>3 258 611 лв. на 3 084 кандидат</w:t>
      </w:r>
      <w:r w:rsidR="00002A0C" w:rsidRPr="001B6075">
        <w:rPr>
          <w:rFonts w:ascii="Arial" w:hAnsi="Arial" w:cs="Arial"/>
          <w:bCs/>
          <w:noProof/>
          <w:sz w:val="20"/>
        </w:rPr>
        <w:t>и</w:t>
      </w:r>
      <w:r w:rsidRPr="001B6075">
        <w:rPr>
          <w:rFonts w:ascii="Arial" w:hAnsi="Arial" w:cs="Arial"/>
          <w:bCs/>
          <w:noProof/>
          <w:sz w:val="20"/>
        </w:rPr>
        <w:t>. Заявяване за участие по схемата беше възможно единствено през референтната 2015 г. Право на подпомагане имат бенефициентите, които са подали заявления по Схемата за единно плащане на площ (СЕПП) и през 2019</w:t>
      </w:r>
      <w:r w:rsidR="00002A0C" w:rsidRPr="001B6075">
        <w:rPr>
          <w:rFonts w:ascii="Arial" w:hAnsi="Arial" w:cs="Arial"/>
          <w:bCs/>
          <w:noProof/>
          <w:sz w:val="20"/>
        </w:rPr>
        <w:t xml:space="preserve"> г. и</w:t>
      </w:r>
      <w:r w:rsidRPr="001B6075">
        <w:rPr>
          <w:rFonts w:ascii="Arial" w:hAnsi="Arial" w:cs="Arial"/>
          <w:bCs/>
          <w:noProof/>
          <w:sz w:val="20"/>
        </w:rPr>
        <w:t xml:space="preserve"> отговарят </w:t>
      </w:r>
      <w:r w:rsidR="00002A0C" w:rsidRPr="001B6075">
        <w:rPr>
          <w:rFonts w:ascii="Arial" w:hAnsi="Arial" w:cs="Arial"/>
          <w:bCs/>
          <w:noProof/>
          <w:sz w:val="20"/>
        </w:rPr>
        <w:t xml:space="preserve">на </w:t>
      </w:r>
      <w:r w:rsidRPr="001B6075">
        <w:rPr>
          <w:rFonts w:ascii="Arial" w:hAnsi="Arial" w:cs="Arial"/>
          <w:bCs/>
          <w:noProof/>
          <w:sz w:val="20"/>
        </w:rPr>
        <w:t>изисквания</w:t>
      </w:r>
      <w:r w:rsidR="00002A0C" w:rsidRPr="001B6075">
        <w:rPr>
          <w:rFonts w:ascii="Arial" w:hAnsi="Arial" w:cs="Arial"/>
          <w:bCs/>
          <w:noProof/>
          <w:sz w:val="20"/>
        </w:rPr>
        <w:t>та</w:t>
      </w:r>
      <w:r w:rsidRPr="001B6075">
        <w:rPr>
          <w:rFonts w:ascii="Arial" w:hAnsi="Arial" w:cs="Arial"/>
          <w:bCs/>
          <w:noProof/>
          <w:sz w:val="20"/>
        </w:rPr>
        <w:t xml:space="preserve"> за получаване на директни плащания. За да се възползват от финансовата помощ </w:t>
      </w:r>
      <w:r w:rsidR="00002A0C" w:rsidRPr="001B6075">
        <w:rPr>
          <w:rFonts w:ascii="Arial" w:hAnsi="Arial" w:cs="Arial"/>
          <w:bCs/>
          <w:noProof/>
          <w:sz w:val="20"/>
        </w:rPr>
        <w:t>земеделските стопани</w:t>
      </w:r>
      <w:r w:rsidRPr="001B6075">
        <w:rPr>
          <w:rFonts w:ascii="Arial" w:hAnsi="Arial" w:cs="Arial"/>
          <w:bCs/>
          <w:noProof/>
          <w:sz w:val="20"/>
        </w:rPr>
        <w:t xml:space="preserve"> трябва да поддържат през всяка</w:t>
      </w:r>
      <w:r w:rsidR="00002A0C" w:rsidRPr="001B6075">
        <w:rPr>
          <w:rFonts w:ascii="Arial" w:hAnsi="Arial" w:cs="Arial"/>
          <w:bCs/>
          <w:noProof/>
          <w:sz w:val="20"/>
        </w:rPr>
        <w:t xml:space="preserve"> от годините</w:t>
      </w:r>
      <w:r w:rsidRPr="001B6075">
        <w:rPr>
          <w:rFonts w:ascii="Arial" w:hAnsi="Arial" w:cs="Arial"/>
          <w:bCs/>
          <w:noProof/>
          <w:sz w:val="20"/>
        </w:rPr>
        <w:t xml:space="preserve"> </w:t>
      </w:r>
      <w:r w:rsidR="00002A0C" w:rsidRPr="001B6075">
        <w:rPr>
          <w:rFonts w:ascii="Arial" w:hAnsi="Arial" w:cs="Arial"/>
          <w:bCs/>
          <w:noProof/>
          <w:sz w:val="20"/>
        </w:rPr>
        <w:t>на</w:t>
      </w:r>
      <w:r w:rsidRPr="001B6075">
        <w:rPr>
          <w:rFonts w:ascii="Arial" w:hAnsi="Arial" w:cs="Arial"/>
          <w:bCs/>
          <w:noProof/>
          <w:sz w:val="20"/>
        </w:rPr>
        <w:t xml:space="preserve"> кандидатстването си, най-малко толкова допустими площи</w:t>
      </w:r>
      <w:r w:rsidR="00002A0C" w:rsidRPr="001B6075">
        <w:rPr>
          <w:rFonts w:ascii="Arial" w:hAnsi="Arial" w:cs="Arial"/>
          <w:bCs/>
          <w:noProof/>
          <w:sz w:val="20"/>
        </w:rPr>
        <w:t xml:space="preserve"> </w:t>
      </w:r>
      <w:r w:rsidRPr="001B6075">
        <w:rPr>
          <w:rFonts w:ascii="Arial" w:hAnsi="Arial" w:cs="Arial"/>
          <w:bCs/>
          <w:noProof/>
          <w:sz w:val="20"/>
        </w:rPr>
        <w:t>като размер, колкото са декларирали в заявлението си за Кампания 2015 г. Подпомагането за дребни земеделски стопани замества всички плащания по схемите за директни плащания. Финансовата подкрепа се формира ежегодно и индивидуално за всеки отделен бенефициент</w:t>
      </w:r>
      <w:r w:rsidR="00002A0C" w:rsidRPr="001B6075">
        <w:rPr>
          <w:rFonts w:ascii="Arial" w:hAnsi="Arial" w:cs="Arial"/>
          <w:bCs/>
          <w:noProof/>
          <w:sz w:val="20"/>
        </w:rPr>
        <w:t>,</w:t>
      </w:r>
      <w:r w:rsidRPr="001B6075">
        <w:rPr>
          <w:rFonts w:ascii="Arial" w:hAnsi="Arial" w:cs="Arial"/>
          <w:bCs/>
          <w:noProof/>
          <w:sz w:val="20"/>
        </w:rPr>
        <w:t xml:space="preserve"> в зависимост от размера на допустимите площи, броя допустими животни и заявените схеми</w:t>
      </w:r>
      <w:r w:rsidR="00002A0C" w:rsidRPr="001B6075">
        <w:rPr>
          <w:rFonts w:ascii="Arial" w:hAnsi="Arial" w:cs="Arial"/>
          <w:bCs/>
          <w:noProof/>
          <w:sz w:val="20"/>
        </w:rPr>
        <w:t xml:space="preserve"> и</w:t>
      </w:r>
      <w:r w:rsidRPr="001B6075">
        <w:rPr>
          <w:rFonts w:ascii="Arial" w:hAnsi="Arial" w:cs="Arial"/>
          <w:bCs/>
          <w:noProof/>
          <w:sz w:val="20"/>
        </w:rPr>
        <w:t xml:space="preserve"> не може да надвишава 1 250 евро, а плащанията в размер до 500 евро се закръглят на 500 евро.</w:t>
      </w:r>
    </w:p>
    <w:p w14:paraId="16934029" w14:textId="77777777" w:rsidR="001B1430" w:rsidRPr="001B6075" w:rsidRDefault="001B1430" w:rsidP="001B6075">
      <w:pPr>
        <w:jc w:val="both"/>
        <w:rPr>
          <w:rStyle w:val="longtext"/>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1B6075" w14:paraId="1B881399" w14:textId="77777777" w:rsidTr="00F73636">
        <w:tc>
          <w:tcPr>
            <w:tcW w:w="9923" w:type="dxa"/>
            <w:shd w:val="clear" w:color="auto" w:fill="C0C0C0"/>
            <w:hideMark/>
          </w:tcPr>
          <w:p w14:paraId="2A112290" w14:textId="77777777" w:rsidR="001B1430" w:rsidRPr="001B6075" w:rsidRDefault="001B1430" w:rsidP="001B6075">
            <w:pPr>
              <w:jc w:val="both"/>
              <w:rPr>
                <w:rFonts w:ascii="Arial" w:hAnsi="Arial" w:cs="Arial"/>
                <w:b/>
                <w:i/>
                <w:noProof/>
                <w:sz w:val="20"/>
              </w:rPr>
            </w:pPr>
            <w:r w:rsidRPr="001B6075">
              <w:rPr>
                <w:rFonts w:ascii="Arial" w:hAnsi="Arial" w:cs="Arial"/>
                <w:b/>
                <w:i/>
                <w:noProof/>
                <w:sz w:val="20"/>
              </w:rPr>
              <w:t>Пазарна подкрепа</w:t>
            </w:r>
          </w:p>
        </w:tc>
        <w:tc>
          <w:tcPr>
            <w:tcW w:w="236" w:type="dxa"/>
          </w:tcPr>
          <w:p w14:paraId="6E67B498" w14:textId="77777777" w:rsidR="001B1430" w:rsidRPr="001B6075" w:rsidRDefault="001B1430" w:rsidP="001B6075">
            <w:pPr>
              <w:jc w:val="both"/>
              <w:rPr>
                <w:rFonts w:ascii="Arial" w:hAnsi="Arial" w:cs="Arial"/>
                <w:b/>
                <w:i/>
                <w:noProof/>
                <w:sz w:val="20"/>
              </w:rPr>
            </w:pPr>
          </w:p>
        </w:tc>
      </w:tr>
    </w:tbl>
    <w:p w14:paraId="4E64891B" w14:textId="77777777" w:rsidR="001B1430" w:rsidRPr="001B6075" w:rsidRDefault="001B1430" w:rsidP="001B6075">
      <w:pPr>
        <w:jc w:val="both"/>
        <w:rPr>
          <w:rFonts w:ascii="Arial" w:eastAsia="SimSun" w:hAnsi="Arial" w:cs="Arial"/>
          <w:b/>
          <w:bCs/>
          <w:noProof/>
          <w:color w:val="000000"/>
          <w:sz w:val="20"/>
          <w:lang w:eastAsia="bg-BG"/>
        </w:rPr>
      </w:pPr>
    </w:p>
    <w:p w14:paraId="01ECB751" w14:textId="77777777" w:rsidR="004D0A7C" w:rsidRPr="00C45C51" w:rsidRDefault="00F671A9" w:rsidP="001B6075">
      <w:pPr>
        <w:jc w:val="both"/>
        <w:rPr>
          <w:rFonts w:ascii="Arial" w:hAnsi="Arial" w:cs="Arial"/>
          <w:noProof/>
          <w:sz w:val="20"/>
          <w:lang w:val="ru-RU"/>
        </w:rPr>
      </w:pPr>
      <w:r w:rsidRPr="001B6075">
        <w:rPr>
          <w:rFonts w:ascii="Arial" w:hAnsi="Arial" w:cs="Arial"/>
          <w:b/>
          <w:noProof/>
          <w:sz w:val="20"/>
        </w:rPr>
        <w:t>3</w:t>
      </w:r>
      <w:r w:rsidR="000144D9" w:rsidRPr="001B6075">
        <w:rPr>
          <w:rFonts w:ascii="Arial" w:hAnsi="Arial" w:cs="Arial"/>
          <w:b/>
          <w:noProof/>
          <w:sz w:val="20"/>
        </w:rPr>
        <w:t xml:space="preserve">. </w:t>
      </w:r>
      <w:r w:rsidR="009E0529" w:rsidRPr="001B6075">
        <w:rPr>
          <w:rFonts w:ascii="Arial" w:hAnsi="Arial" w:cs="Arial"/>
          <w:b/>
          <w:noProof/>
          <w:sz w:val="20"/>
        </w:rPr>
        <w:t>Европейският парламент настоява за допълнително подпомагане на виното, плодовете и зеленчуците.</w:t>
      </w:r>
      <w:r w:rsidR="009E0529" w:rsidRPr="001B6075">
        <w:rPr>
          <w:rFonts w:ascii="Arial" w:hAnsi="Arial" w:cs="Arial"/>
          <w:noProof/>
          <w:sz w:val="20"/>
        </w:rPr>
        <w:t xml:space="preserve"> Председателят на комисията по земеделие в ЕП, Норберт Линс, призова комисаря по земеделие Януш Войчоховски да предвиди допълнителна помощ за секторите на виното, плодовете и зеленчуците. Членовете на комисията настояват ЕК да предложи гъвкавост за лозаро-винарския сектор по отношение на правилата за етикетиране на реколтната година. Те също искат допълнително разяснение относно конкретната възможност за използване на държавни помощи за финансиране на мерки, приети от операторите в съответствие с чл. 222 от Регламента за ООП № 1308/2013, което позволява дерогация от правилата за конкуренция при определени обстоятелства. Необходимо е увеличаване на размера на финансиране за ОП на плодове и зеленчуци и увеличаване на обхвата на дейностите по националните програми за подпомагане в лозаро-винарския сектор за покриване на винен туризъм. Поставя се въпроса за възстановяване на групата на високо ниво, която да обсъжда бъдещето на лозаро-винарския сектор, за възстановяване на доверието и диалога между Комисията, ЕП и сектора. Евро депутатите считат, че едно отворено и по-тясно сътрудничество може да доведе до амбициозни резултати за подпомагане на земеделските стопани и селскостопанския хранителен сектор и изразяват надежда за конструктивен диалог.</w:t>
      </w:r>
    </w:p>
    <w:p w14:paraId="71413E1E" w14:textId="77777777" w:rsidR="004D0A7C" w:rsidRPr="00C45C51" w:rsidRDefault="004D0A7C" w:rsidP="001B6075">
      <w:pPr>
        <w:jc w:val="both"/>
        <w:rPr>
          <w:rFonts w:ascii="Arial" w:hAnsi="Arial" w:cs="Arial"/>
          <w:noProof/>
          <w:sz w:val="20"/>
          <w:lang w:val="ru-RU"/>
        </w:rPr>
      </w:pPr>
    </w:p>
    <w:p w14:paraId="6EF8FEBB" w14:textId="0F99D37C" w:rsidR="00A33F23" w:rsidRPr="00C45C51" w:rsidRDefault="002C5DEB" w:rsidP="001B6075">
      <w:pPr>
        <w:jc w:val="both"/>
        <w:rPr>
          <w:rFonts w:ascii="Arial" w:hAnsi="Arial" w:cs="Arial"/>
          <w:noProof/>
          <w:sz w:val="20"/>
          <w:lang w:val="ru-RU"/>
        </w:rPr>
      </w:pPr>
      <w:r w:rsidRPr="001B6075">
        <w:rPr>
          <w:rFonts w:ascii="Arial" w:hAnsi="Arial" w:cs="Arial"/>
          <w:b/>
          <w:noProof/>
          <w:sz w:val="20"/>
        </w:rPr>
        <w:t xml:space="preserve">4. </w:t>
      </w:r>
      <w:r w:rsidR="009E0529" w:rsidRPr="001B6075">
        <w:rPr>
          <w:rFonts w:ascii="Arial" w:hAnsi="Arial" w:cs="Arial"/>
          <w:b/>
          <w:noProof/>
          <w:sz w:val="20"/>
        </w:rPr>
        <w:t>Рекордно увеличение на световното производство на зърно предвижда Организацията по прехрана и земеделие (ФАО).</w:t>
      </w:r>
      <w:r w:rsidR="00C45C51">
        <w:rPr>
          <w:rFonts w:ascii="Arial" w:hAnsi="Arial" w:cs="Arial"/>
          <w:b/>
          <w:noProof/>
          <w:sz w:val="20"/>
        </w:rPr>
        <w:t xml:space="preserve"> </w:t>
      </w:r>
      <w:r w:rsidR="009E0529" w:rsidRPr="001B6075">
        <w:rPr>
          <w:rFonts w:ascii="Arial" w:hAnsi="Arial" w:cs="Arial"/>
          <w:noProof/>
          <w:sz w:val="20"/>
        </w:rPr>
        <w:t xml:space="preserve">В прогнозен доклад </w:t>
      </w:r>
      <w:r w:rsidR="00C45C51" w:rsidRPr="001B6075">
        <w:rPr>
          <w:rFonts w:ascii="Arial" w:hAnsi="Arial" w:cs="Arial"/>
          <w:noProof/>
          <w:sz w:val="20"/>
        </w:rPr>
        <w:t xml:space="preserve">от 11.06.2020 г. </w:t>
      </w:r>
      <w:r w:rsidR="009E0529" w:rsidRPr="001B6075">
        <w:rPr>
          <w:rFonts w:ascii="Arial" w:hAnsi="Arial" w:cs="Arial"/>
          <w:noProof/>
          <w:sz w:val="20"/>
        </w:rPr>
        <w:t>(</w:t>
      </w:r>
      <w:hyperlink r:id="rId9" w:history="1">
        <w:r w:rsidR="009E0529" w:rsidRPr="001B6075">
          <w:rPr>
            <w:rStyle w:val="Hyperlink"/>
            <w:rFonts w:ascii="Arial" w:hAnsi="Arial" w:cs="Arial"/>
            <w:noProof/>
            <w:sz w:val="20"/>
          </w:rPr>
          <w:t>http://www.fao.org/documents/card/en/c/ca9509en</w:t>
        </w:r>
      </w:hyperlink>
      <w:r w:rsidR="009E0529" w:rsidRPr="001B6075">
        <w:rPr>
          <w:rFonts w:ascii="Arial" w:hAnsi="Arial" w:cs="Arial"/>
          <w:noProof/>
          <w:sz w:val="20"/>
        </w:rPr>
        <w:t xml:space="preserve">) </w:t>
      </w:r>
      <w:r w:rsidR="00C45C51">
        <w:rPr>
          <w:rFonts w:ascii="Arial" w:hAnsi="Arial" w:cs="Arial"/>
          <w:noProof/>
          <w:sz w:val="20"/>
        </w:rPr>
        <w:t>ФАО п</w:t>
      </w:r>
      <w:r w:rsidR="009E0529" w:rsidRPr="001B6075">
        <w:rPr>
          <w:rFonts w:ascii="Arial" w:hAnsi="Arial" w:cs="Arial"/>
          <w:noProof/>
          <w:sz w:val="20"/>
        </w:rPr>
        <w:t xml:space="preserve">редвижда рекордно увеличение през 2020/2021 г. на световното производството  на зърно с 2,6 %  или 70 млн тона, достигайки 2 781 млн тона. Според прогнозите през 2020/2021 г. употребата на зърнени култури в световен мащаб ще нарасне с 1,6% спрямо предходната година. Според прогнозата за маслодайни семена за 2019/2020 г. се засяга баланса между търсене и предлагане, поради свиване на производството. Общото производство на маслодайни семена за 2019/2020 г. е 584 млн. тона, което е с 4,6% по-малко от 2018/2019 г. Производството на захар през 2019/2020 г. се прогнозира на 170 млн. тона, което е спад с 2,9%. Очакваното намаление на производството на захар в ЕС, Индия, Пакистан и Тайланд вероятно ще компенсира очакваното увеличение в Бразилия, Китай и Руската федерация, прогнозира организацията. Предвижда се лек ръст на консумацията на захар, отразяващ отрицателното въздействие върху потреблението на захар  на мерките срещу  COVID-19. Прогнозите сочат спад на световното производство на месо с 1,7% до 333 млн. тона през 2019/2020 г. Предвижда се слабо увеличение в производството на птиче месо и стабилизиране на производството на овче месо. Като цяло производството на всички видове месо е засегнато отрицателно от кризата COVID-19. Според FAO производството на млечни продукти през 2020 </w:t>
      </w:r>
      <w:r w:rsidR="009E0529" w:rsidRPr="001B6075">
        <w:rPr>
          <w:rFonts w:ascii="Arial" w:hAnsi="Arial" w:cs="Arial"/>
          <w:noProof/>
          <w:sz w:val="20"/>
        </w:rPr>
        <w:lastRenderedPageBreak/>
        <w:t>г. се очаква да нарасне с 0,8% до 859 млн. тона (млечен еквивалент), като увеличението в Азия, Северна и Централна Америка, Океания и Африка отчасти ще компенсира очакваните спадове в Европа и Южна Америка. Модернизацията на фермите в Китай и мобилизирането на селските кооперации в Индия поддържат растеж на производството на мляко в Азия. Намаляването на млекодайните стада е причината за очаквания спад в ЕС. Докладът отчита негативното въздействие на COVID-19 във всички хранителни сектори, вкл. заплаха за продоволствената сигурност. Въпреки това, пазарите на селскостопански стоки се оказват по-устойчиви към пандемията от много други сектори.</w:t>
      </w:r>
    </w:p>
    <w:p w14:paraId="61514A30" w14:textId="77777777" w:rsidR="00A33F23" w:rsidRPr="00C45C51" w:rsidRDefault="00A33F23" w:rsidP="001B6075">
      <w:pPr>
        <w:jc w:val="both"/>
        <w:rPr>
          <w:rFonts w:ascii="Arial" w:hAnsi="Arial" w:cs="Arial"/>
          <w:noProof/>
          <w:sz w:val="20"/>
          <w:lang w:val="ru-RU"/>
        </w:rPr>
      </w:pPr>
    </w:p>
    <w:p w14:paraId="0697EFD4" w14:textId="77777777" w:rsidR="009E0529" w:rsidRPr="001B6075" w:rsidRDefault="00FC4363" w:rsidP="001B6075">
      <w:pPr>
        <w:jc w:val="both"/>
        <w:rPr>
          <w:rFonts w:ascii="Arial" w:hAnsi="Arial" w:cs="Arial"/>
          <w:noProof/>
          <w:sz w:val="20"/>
        </w:rPr>
      </w:pPr>
      <w:r w:rsidRPr="00C45C51">
        <w:rPr>
          <w:rFonts w:ascii="Arial" w:hAnsi="Arial" w:cs="Arial"/>
          <w:b/>
          <w:noProof/>
          <w:sz w:val="20"/>
          <w:lang w:val="ru-RU"/>
        </w:rPr>
        <w:t xml:space="preserve">5. </w:t>
      </w:r>
      <w:r w:rsidR="009E0529" w:rsidRPr="001B6075">
        <w:rPr>
          <w:rFonts w:ascii="Arial" w:hAnsi="Arial" w:cs="Arial"/>
          <w:b/>
          <w:sz w:val="20"/>
        </w:rPr>
        <w:t>Нова Зеландия критикува предложението на ЕС за свободен достъп до пазара.</w:t>
      </w:r>
      <w:r w:rsidR="009E0529" w:rsidRPr="001B6075">
        <w:rPr>
          <w:rFonts w:ascii="Arial" w:hAnsi="Arial" w:cs="Arial"/>
          <w:sz w:val="20"/>
        </w:rPr>
        <w:t xml:space="preserve"> В текущите двустранни търговски преговори ЕС е готов да предложи на Нова Зеландия начална квота за сирене от 1 500 тона. Офертата за масло е 600 т с тарифа от 586 евро/т. За овче месо се предлага квота от 40 000 тона при 0% мито, поетапно за 15 годишен период, докато цифрите за говеждо месо са 3 000 тона (при 10% мито), поетапно за над 10 години. Според Дейвид </w:t>
      </w:r>
      <w:proofErr w:type="spellStart"/>
      <w:r w:rsidR="009E0529" w:rsidRPr="001B6075">
        <w:rPr>
          <w:rFonts w:ascii="Arial" w:hAnsi="Arial" w:cs="Arial"/>
          <w:sz w:val="20"/>
        </w:rPr>
        <w:t>Паркър</w:t>
      </w:r>
      <w:proofErr w:type="spellEnd"/>
      <w:r w:rsidR="009E0529" w:rsidRPr="001B6075">
        <w:rPr>
          <w:rFonts w:ascii="Arial" w:hAnsi="Arial" w:cs="Arial"/>
          <w:sz w:val="20"/>
        </w:rPr>
        <w:t>, министър на търговията на Нова Зеландия, предложените ограничени квоти и  високата тарифа извън квотата ще създават затруднение, дори невъзможност за износителите да изграждат стабилна търговия с ЕС. Следващият кръг от преговорите е планиран за края на лятото.</w:t>
      </w:r>
    </w:p>
    <w:p w14:paraId="0DD84A12" w14:textId="77777777" w:rsidR="001B1430" w:rsidRPr="001B6075" w:rsidRDefault="001B1430" w:rsidP="001B6075">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1B6075" w14:paraId="78913135" w14:textId="77777777" w:rsidTr="00F73636">
        <w:tc>
          <w:tcPr>
            <w:tcW w:w="9900" w:type="dxa"/>
            <w:shd w:val="clear" w:color="auto" w:fill="C0C0C0"/>
            <w:hideMark/>
          </w:tcPr>
          <w:p w14:paraId="3D9E54E7" w14:textId="77777777" w:rsidR="001B1430" w:rsidRPr="001B6075" w:rsidRDefault="001B1430" w:rsidP="001B6075">
            <w:pPr>
              <w:tabs>
                <w:tab w:val="left" w:pos="1020"/>
              </w:tabs>
              <w:autoSpaceDE w:val="0"/>
              <w:autoSpaceDN w:val="0"/>
              <w:adjustRightInd w:val="0"/>
              <w:jc w:val="both"/>
              <w:rPr>
                <w:rFonts w:ascii="Arial" w:hAnsi="Arial" w:cs="Arial"/>
                <w:b/>
                <w:i/>
                <w:iCs/>
                <w:noProof/>
                <w:sz w:val="20"/>
              </w:rPr>
            </w:pPr>
            <w:r w:rsidRPr="001B6075">
              <w:rPr>
                <w:rFonts w:ascii="Arial" w:hAnsi="Arial" w:cs="Arial"/>
                <w:b/>
                <w:i/>
                <w:noProof/>
                <w:sz w:val="20"/>
              </w:rPr>
              <w:t>Визия за ОСП след 2020 г.</w:t>
            </w:r>
          </w:p>
        </w:tc>
        <w:tc>
          <w:tcPr>
            <w:tcW w:w="256" w:type="dxa"/>
          </w:tcPr>
          <w:p w14:paraId="7E2BFCE1" w14:textId="77777777" w:rsidR="001B1430" w:rsidRPr="001B6075" w:rsidRDefault="001B1430" w:rsidP="001B6075">
            <w:pPr>
              <w:jc w:val="both"/>
              <w:rPr>
                <w:rFonts w:ascii="Arial" w:hAnsi="Arial" w:cs="Arial"/>
                <w:b/>
                <w:noProof/>
                <w:sz w:val="20"/>
              </w:rPr>
            </w:pPr>
          </w:p>
        </w:tc>
      </w:tr>
    </w:tbl>
    <w:p w14:paraId="7519A6A0" w14:textId="77777777" w:rsidR="00A62019" w:rsidRPr="00C45C51" w:rsidRDefault="00A62019" w:rsidP="00A62019">
      <w:pPr>
        <w:jc w:val="both"/>
        <w:rPr>
          <w:rFonts w:ascii="Arial" w:hAnsi="Arial" w:cs="Arial"/>
          <w:b/>
          <w:noProof/>
          <w:sz w:val="20"/>
          <w:lang w:val="ru-RU"/>
        </w:rPr>
      </w:pPr>
    </w:p>
    <w:p w14:paraId="741A4960" w14:textId="77777777" w:rsidR="00A62019" w:rsidRPr="00C45C51" w:rsidRDefault="005E2229" w:rsidP="00A62019">
      <w:pPr>
        <w:jc w:val="both"/>
        <w:rPr>
          <w:rFonts w:ascii="Arial" w:hAnsi="Arial" w:cs="Arial"/>
          <w:b/>
          <w:noProof/>
          <w:sz w:val="20"/>
          <w:lang w:val="ru-RU"/>
        </w:rPr>
      </w:pPr>
      <w:r w:rsidRPr="00C45C51">
        <w:rPr>
          <w:rFonts w:ascii="Arial" w:hAnsi="Arial" w:cs="Arial"/>
          <w:b/>
          <w:noProof/>
          <w:sz w:val="20"/>
          <w:lang w:val="ru-RU"/>
        </w:rPr>
        <w:t>6</w:t>
      </w:r>
      <w:r w:rsidR="002A2BBE" w:rsidRPr="001B6075">
        <w:rPr>
          <w:rFonts w:ascii="Arial" w:hAnsi="Arial" w:cs="Arial"/>
          <w:b/>
          <w:noProof/>
          <w:sz w:val="20"/>
        </w:rPr>
        <w:t>.</w:t>
      </w:r>
      <w:r w:rsidR="005E236E" w:rsidRPr="001B6075">
        <w:rPr>
          <w:rFonts w:ascii="Arial" w:eastAsia="Calibri" w:hAnsi="Arial" w:cs="Arial"/>
          <w:b/>
          <w:noProof/>
          <w:sz w:val="20"/>
        </w:rPr>
        <w:t xml:space="preserve"> На 8 юни министрите на земеделието на ЕС проведоха видеоконферен</w:t>
      </w:r>
      <w:r w:rsidR="004C288E" w:rsidRPr="001B6075">
        <w:rPr>
          <w:rFonts w:ascii="Arial" w:eastAsia="Calibri" w:hAnsi="Arial" w:cs="Arial"/>
          <w:b/>
          <w:noProof/>
          <w:sz w:val="20"/>
        </w:rPr>
        <w:t>ция,</w:t>
      </w:r>
      <w:r w:rsidR="005E236E" w:rsidRPr="001B6075">
        <w:rPr>
          <w:rFonts w:ascii="Arial" w:eastAsia="Calibri" w:hAnsi="Arial" w:cs="Arial"/>
          <w:b/>
          <w:noProof/>
          <w:sz w:val="20"/>
        </w:rPr>
        <w:t xml:space="preserve"> по време на която обмениха мнения </w:t>
      </w:r>
      <w:r w:rsidR="004C288E" w:rsidRPr="001B6075">
        <w:rPr>
          <w:rFonts w:ascii="Arial" w:eastAsia="Calibri" w:hAnsi="Arial" w:cs="Arial"/>
          <w:b/>
          <w:bCs/>
          <w:noProof/>
          <w:sz w:val="20"/>
        </w:rPr>
        <w:t>относно</w:t>
      </w:r>
      <w:r w:rsidR="005E236E" w:rsidRPr="001B6075">
        <w:rPr>
          <w:rFonts w:ascii="Arial" w:eastAsia="Calibri" w:hAnsi="Arial" w:cs="Arial"/>
          <w:b/>
          <w:bCs/>
          <w:noProof/>
          <w:sz w:val="20"/>
        </w:rPr>
        <w:t> </w:t>
      </w:r>
      <w:r w:rsidR="005E236E" w:rsidRPr="001B6075">
        <w:rPr>
          <w:rFonts w:ascii="Arial" w:hAnsi="Arial" w:cs="Arial"/>
          <w:b/>
          <w:noProof/>
          <w:color w:val="000000"/>
          <w:sz w:val="20"/>
        </w:rPr>
        <w:t xml:space="preserve"> </w:t>
      </w:r>
      <w:r w:rsidR="004C288E" w:rsidRPr="001B6075">
        <w:rPr>
          <w:rFonts w:ascii="Arial" w:hAnsi="Arial" w:cs="Arial"/>
          <w:b/>
          <w:noProof/>
          <w:color w:val="000000"/>
          <w:sz w:val="20"/>
        </w:rPr>
        <w:t xml:space="preserve">предложените от ЕК </w:t>
      </w:r>
      <w:r w:rsidR="004D228A" w:rsidRPr="001B6075">
        <w:rPr>
          <w:rFonts w:ascii="Arial" w:eastAsia="Calibri" w:hAnsi="Arial" w:cs="Arial"/>
          <w:b/>
          <w:noProof/>
          <w:sz w:val="20"/>
        </w:rPr>
        <w:t>с</w:t>
      </w:r>
      <w:r w:rsidR="005E236E" w:rsidRPr="001B6075">
        <w:rPr>
          <w:rFonts w:ascii="Arial" w:eastAsia="Calibri" w:hAnsi="Arial" w:cs="Arial"/>
          <w:b/>
          <w:noProof/>
          <w:sz w:val="20"/>
        </w:rPr>
        <w:t>тратеги</w:t>
      </w:r>
      <w:r w:rsidR="008A4238" w:rsidRPr="001B6075">
        <w:rPr>
          <w:rFonts w:ascii="Arial" w:eastAsia="Calibri" w:hAnsi="Arial" w:cs="Arial"/>
          <w:b/>
          <w:noProof/>
          <w:sz w:val="20"/>
        </w:rPr>
        <w:t>и</w:t>
      </w:r>
      <w:r w:rsidR="005E236E" w:rsidRPr="001B6075">
        <w:rPr>
          <w:rFonts w:ascii="Arial" w:eastAsia="Calibri" w:hAnsi="Arial" w:cs="Arial"/>
          <w:b/>
          <w:noProof/>
          <w:sz w:val="20"/>
        </w:rPr>
        <w:t xml:space="preserve"> </w:t>
      </w:r>
      <w:r w:rsidR="004D228A" w:rsidRPr="001B6075">
        <w:rPr>
          <w:rFonts w:ascii="Arial" w:eastAsia="Calibri" w:hAnsi="Arial" w:cs="Arial"/>
          <w:b/>
          <w:noProof/>
          <w:sz w:val="20"/>
        </w:rPr>
        <w:t>„О</w:t>
      </w:r>
      <w:r w:rsidR="005E236E" w:rsidRPr="001B6075">
        <w:rPr>
          <w:rFonts w:ascii="Arial" w:eastAsia="Calibri" w:hAnsi="Arial" w:cs="Arial"/>
          <w:b/>
          <w:noProof/>
          <w:sz w:val="20"/>
        </w:rPr>
        <w:t>т фермата до трапезата</w:t>
      </w:r>
      <w:r w:rsidR="004C288E" w:rsidRPr="001B6075">
        <w:rPr>
          <w:rFonts w:ascii="Arial" w:eastAsia="Calibri" w:hAnsi="Arial" w:cs="Arial"/>
          <w:b/>
          <w:noProof/>
          <w:sz w:val="20"/>
        </w:rPr>
        <w:t xml:space="preserve">“ и </w:t>
      </w:r>
      <w:r w:rsidR="005E236E" w:rsidRPr="001B6075">
        <w:rPr>
          <w:rFonts w:ascii="Arial" w:eastAsia="Calibri" w:hAnsi="Arial" w:cs="Arial"/>
          <w:b/>
          <w:noProof/>
          <w:sz w:val="20"/>
        </w:rPr>
        <w:t>за биоразнообразието</w:t>
      </w:r>
      <w:r w:rsidR="008A4238" w:rsidRPr="001B6075">
        <w:rPr>
          <w:rFonts w:ascii="Arial" w:eastAsia="Calibri" w:hAnsi="Arial" w:cs="Arial"/>
          <w:b/>
          <w:noProof/>
          <w:sz w:val="20"/>
        </w:rPr>
        <w:t>,</w:t>
      </w:r>
      <w:r w:rsidR="005E236E" w:rsidRPr="001B6075">
        <w:rPr>
          <w:rFonts w:ascii="Arial" w:eastAsia="Calibri" w:hAnsi="Arial" w:cs="Arial"/>
          <w:b/>
          <w:noProof/>
          <w:sz w:val="20"/>
        </w:rPr>
        <w:t xml:space="preserve"> </w:t>
      </w:r>
      <w:r w:rsidR="009A2D05" w:rsidRPr="001B6075">
        <w:rPr>
          <w:rFonts w:ascii="Arial" w:eastAsia="Calibri" w:hAnsi="Arial" w:cs="Arial"/>
          <w:b/>
          <w:noProof/>
          <w:sz w:val="20"/>
        </w:rPr>
        <w:t xml:space="preserve">като част от Европейската зелена сделка, както и </w:t>
      </w:r>
      <w:r w:rsidR="005E236E" w:rsidRPr="001B6075">
        <w:rPr>
          <w:rFonts w:ascii="Arial" w:eastAsia="Calibri" w:hAnsi="Arial" w:cs="Arial"/>
          <w:b/>
          <w:noProof/>
          <w:sz w:val="20"/>
        </w:rPr>
        <w:t xml:space="preserve">връзките на тези предложения с </w:t>
      </w:r>
      <w:r w:rsidR="009A2D05" w:rsidRPr="001B6075">
        <w:rPr>
          <w:rFonts w:ascii="Arial" w:eastAsia="Calibri" w:hAnsi="Arial" w:cs="Arial"/>
          <w:b/>
          <w:noProof/>
          <w:sz w:val="20"/>
        </w:rPr>
        <w:t xml:space="preserve">бъдещата </w:t>
      </w:r>
      <w:r w:rsidR="005E236E" w:rsidRPr="001B6075">
        <w:rPr>
          <w:rFonts w:ascii="Arial" w:eastAsia="Calibri" w:hAnsi="Arial" w:cs="Arial"/>
          <w:b/>
          <w:noProof/>
          <w:sz w:val="20"/>
        </w:rPr>
        <w:t>ОСП</w:t>
      </w:r>
      <w:r w:rsidR="009A2D05" w:rsidRPr="001B6075">
        <w:rPr>
          <w:rFonts w:ascii="Arial" w:eastAsia="Calibri" w:hAnsi="Arial" w:cs="Arial"/>
          <w:b/>
          <w:noProof/>
          <w:sz w:val="20"/>
        </w:rPr>
        <w:t>,</w:t>
      </w:r>
      <w:r w:rsidR="008A4238" w:rsidRPr="001B6075">
        <w:rPr>
          <w:rFonts w:ascii="Arial" w:eastAsia="Calibri" w:hAnsi="Arial" w:cs="Arial"/>
          <w:b/>
          <w:noProof/>
          <w:sz w:val="20"/>
        </w:rPr>
        <w:t xml:space="preserve"> </w:t>
      </w:r>
      <w:r w:rsidR="00602CC6" w:rsidRPr="001B6075">
        <w:rPr>
          <w:rFonts w:ascii="Arial" w:eastAsia="Calibri" w:hAnsi="Arial" w:cs="Arial"/>
          <w:b/>
          <w:noProof/>
          <w:sz w:val="20"/>
        </w:rPr>
        <w:t>Пакета за възстановяване и бъдещата МФР.</w:t>
      </w:r>
      <w:r w:rsidR="00602CC6" w:rsidRPr="001B6075">
        <w:rPr>
          <w:rFonts w:ascii="Arial" w:eastAsia="Calibri" w:hAnsi="Arial" w:cs="Arial"/>
          <w:noProof/>
          <w:sz w:val="20"/>
        </w:rPr>
        <w:t xml:space="preserve"> Ка</w:t>
      </w:r>
      <w:r w:rsidR="005E236E" w:rsidRPr="001B6075">
        <w:rPr>
          <w:rFonts w:ascii="Arial" w:eastAsia="Calibri" w:hAnsi="Arial" w:cs="Arial"/>
          <w:noProof/>
          <w:sz w:val="20"/>
        </w:rPr>
        <w:t xml:space="preserve">то цяло </w:t>
      </w:r>
      <w:r w:rsidR="005A051D" w:rsidRPr="001B6075">
        <w:rPr>
          <w:rFonts w:ascii="Arial" w:eastAsia="Calibri" w:hAnsi="Arial" w:cs="Arial"/>
          <w:noProof/>
          <w:sz w:val="20"/>
        </w:rPr>
        <w:t xml:space="preserve">министрите </w:t>
      </w:r>
      <w:r w:rsidR="005E236E" w:rsidRPr="001B6075">
        <w:rPr>
          <w:rFonts w:ascii="Arial" w:eastAsia="Calibri" w:hAnsi="Arial" w:cs="Arial"/>
          <w:noProof/>
          <w:sz w:val="20"/>
        </w:rPr>
        <w:t xml:space="preserve">приветстваха стратегиите „От Фермата до трапезата“  и </w:t>
      </w:r>
      <w:r w:rsidR="00A94D53" w:rsidRPr="001B6075">
        <w:rPr>
          <w:rFonts w:ascii="Arial" w:eastAsia="Calibri" w:hAnsi="Arial" w:cs="Arial"/>
          <w:noProof/>
          <w:sz w:val="20"/>
        </w:rPr>
        <w:t xml:space="preserve">за </w:t>
      </w:r>
      <w:r w:rsidR="005E236E" w:rsidRPr="001B6075">
        <w:rPr>
          <w:rFonts w:ascii="Arial" w:eastAsia="Calibri" w:hAnsi="Arial" w:cs="Arial"/>
          <w:noProof/>
          <w:sz w:val="20"/>
        </w:rPr>
        <w:t xml:space="preserve">биологичното разнообразие. Целта на двете стратегии е продоволствените системи на ЕС да се превърнат в световен стандарт за устойчивост и да се предприемат спешни действия за опазване и възстановяване на биологичното разнообразие в Европа. </w:t>
      </w:r>
      <w:r w:rsidR="00184A6F" w:rsidRPr="001B6075">
        <w:rPr>
          <w:rFonts w:ascii="Arial" w:eastAsia="Calibri" w:hAnsi="Arial" w:cs="Arial"/>
          <w:noProof/>
          <w:sz w:val="20"/>
        </w:rPr>
        <w:t>Те</w:t>
      </w:r>
      <w:r w:rsidR="005E236E" w:rsidRPr="001B6075">
        <w:rPr>
          <w:rFonts w:ascii="Arial" w:eastAsia="Calibri" w:hAnsi="Arial" w:cs="Arial"/>
          <w:noProof/>
          <w:sz w:val="20"/>
        </w:rPr>
        <w:t xml:space="preserve"> обсъдиха предложените от Комисията допълнителни мерки за повишаване на ефективността на изпълнението на бъдещата обща селскостопанска политика</w:t>
      </w:r>
      <w:r w:rsidR="00A94D53" w:rsidRPr="001B6075">
        <w:rPr>
          <w:rFonts w:ascii="Arial" w:eastAsia="Calibri" w:hAnsi="Arial" w:cs="Arial"/>
          <w:noProof/>
          <w:sz w:val="20"/>
        </w:rPr>
        <w:t>,</w:t>
      </w:r>
      <w:r w:rsidR="005E236E" w:rsidRPr="001B6075">
        <w:rPr>
          <w:rFonts w:ascii="Arial" w:eastAsia="Calibri" w:hAnsi="Arial" w:cs="Arial"/>
          <w:noProof/>
          <w:sz w:val="20"/>
        </w:rPr>
        <w:t xml:space="preserve"> с цел да се подпомогне постигането на амбицията на Зеления пакт. Комисарят по земеделие и Комисарят по здравеопазване и безопасност на храните настояха, че ролята на фермерите е ключова за успеха на тези стратегии и че ще наблюдават внимателно ефекта на конкретните бъдещи законодателни предложения върху конкурентоспособността на </w:t>
      </w:r>
      <w:r w:rsidR="00126A12" w:rsidRPr="001B6075">
        <w:rPr>
          <w:rFonts w:ascii="Arial" w:eastAsia="Calibri" w:hAnsi="Arial" w:cs="Arial"/>
          <w:noProof/>
          <w:sz w:val="20"/>
        </w:rPr>
        <w:t xml:space="preserve">земеделските </w:t>
      </w:r>
      <w:r w:rsidR="005E236E" w:rsidRPr="001B6075">
        <w:rPr>
          <w:rFonts w:ascii="Arial" w:eastAsia="Calibri" w:hAnsi="Arial" w:cs="Arial"/>
          <w:noProof/>
          <w:sz w:val="20"/>
        </w:rPr>
        <w:t>стопани. По време на видеоконференцията, всички министри поискаха от ЕК повече информация за методологията и принципите на определените целеви стойности в стратегиите, касаещи селското стопанство и </w:t>
      </w:r>
      <w:r w:rsidR="005E236E" w:rsidRPr="001B6075">
        <w:rPr>
          <w:rFonts w:ascii="Arial" w:eastAsia="Calibri" w:hAnsi="Arial" w:cs="Arial"/>
          <w:bCs/>
          <w:noProof/>
          <w:sz w:val="20"/>
        </w:rPr>
        <w:t>представянето на кумулативна оценка на социално</w:t>
      </w:r>
      <w:r w:rsidR="001B416E" w:rsidRPr="001B6075">
        <w:rPr>
          <w:rFonts w:ascii="Arial" w:eastAsia="Calibri" w:hAnsi="Arial" w:cs="Arial"/>
          <w:bCs/>
          <w:noProof/>
          <w:sz w:val="20"/>
        </w:rPr>
        <w:t>-</w:t>
      </w:r>
      <w:r w:rsidR="005E236E" w:rsidRPr="001B6075">
        <w:rPr>
          <w:rFonts w:ascii="Arial" w:eastAsia="Calibri" w:hAnsi="Arial" w:cs="Arial"/>
          <w:bCs/>
          <w:noProof/>
          <w:sz w:val="20"/>
        </w:rPr>
        <w:t xml:space="preserve"> икономическото въздействие от прилагането на стратегиите върху сектора. </w:t>
      </w:r>
      <w:r w:rsidR="005E236E" w:rsidRPr="001B6075">
        <w:rPr>
          <w:rFonts w:ascii="Arial" w:eastAsia="Calibri" w:hAnsi="Arial" w:cs="Arial"/>
          <w:noProof/>
          <w:sz w:val="20"/>
        </w:rPr>
        <w:t xml:space="preserve">Мнозинството от министрите определиха заложените цели за намаляване </w:t>
      </w:r>
      <w:r w:rsidR="001B416E" w:rsidRPr="001B6075">
        <w:rPr>
          <w:rFonts w:ascii="Arial" w:eastAsia="Calibri" w:hAnsi="Arial" w:cs="Arial"/>
          <w:noProof/>
          <w:sz w:val="20"/>
        </w:rPr>
        <w:t xml:space="preserve">на </w:t>
      </w:r>
      <w:r w:rsidR="005E236E" w:rsidRPr="001B6075">
        <w:rPr>
          <w:rFonts w:ascii="Arial" w:eastAsia="Calibri" w:hAnsi="Arial" w:cs="Arial"/>
          <w:noProof/>
          <w:sz w:val="20"/>
        </w:rPr>
        <w:t xml:space="preserve">употребата на пестициди </w:t>
      </w:r>
      <w:r w:rsidR="004B5020" w:rsidRPr="001B6075">
        <w:rPr>
          <w:rFonts w:ascii="Arial" w:eastAsia="Calibri" w:hAnsi="Arial" w:cs="Arial"/>
          <w:noProof/>
          <w:sz w:val="20"/>
        </w:rPr>
        <w:t xml:space="preserve">с </w:t>
      </w:r>
      <w:r w:rsidR="005E236E" w:rsidRPr="001B6075">
        <w:rPr>
          <w:rFonts w:ascii="Arial" w:eastAsia="Calibri" w:hAnsi="Arial" w:cs="Arial"/>
          <w:noProof/>
          <w:sz w:val="20"/>
        </w:rPr>
        <w:t xml:space="preserve">50%, </w:t>
      </w:r>
      <w:r w:rsidR="001B416E" w:rsidRPr="001B6075">
        <w:rPr>
          <w:rFonts w:ascii="Arial" w:eastAsia="Calibri" w:hAnsi="Arial" w:cs="Arial"/>
          <w:noProof/>
          <w:sz w:val="20"/>
        </w:rPr>
        <w:t xml:space="preserve">на </w:t>
      </w:r>
      <w:r w:rsidR="005E236E" w:rsidRPr="001B6075">
        <w:rPr>
          <w:rFonts w:ascii="Arial" w:eastAsia="Calibri" w:hAnsi="Arial" w:cs="Arial"/>
          <w:noProof/>
          <w:sz w:val="20"/>
        </w:rPr>
        <w:t>употреба</w:t>
      </w:r>
      <w:r w:rsidR="001B416E" w:rsidRPr="001B6075">
        <w:rPr>
          <w:rFonts w:ascii="Arial" w:eastAsia="Calibri" w:hAnsi="Arial" w:cs="Arial"/>
          <w:noProof/>
          <w:sz w:val="20"/>
        </w:rPr>
        <w:t>та</w:t>
      </w:r>
      <w:r w:rsidR="004B5020" w:rsidRPr="001B6075">
        <w:rPr>
          <w:rFonts w:ascii="Arial" w:eastAsia="Calibri" w:hAnsi="Arial" w:cs="Arial"/>
          <w:noProof/>
          <w:sz w:val="20"/>
        </w:rPr>
        <w:t xml:space="preserve"> на торове и антибиотици с </w:t>
      </w:r>
      <w:r w:rsidR="001B416E" w:rsidRPr="001B6075">
        <w:rPr>
          <w:rFonts w:ascii="Arial" w:eastAsia="Calibri" w:hAnsi="Arial" w:cs="Arial"/>
          <w:noProof/>
          <w:sz w:val="20"/>
        </w:rPr>
        <w:t>50%</w:t>
      </w:r>
      <w:r w:rsidR="004B5020" w:rsidRPr="001B6075">
        <w:rPr>
          <w:rFonts w:ascii="Arial" w:eastAsia="Calibri" w:hAnsi="Arial" w:cs="Arial"/>
          <w:noProof/>
          <w:sz w:val="20"/>
        </w:rPr>
        <w:t xml:space="preserve">, </w:t>
      </w:r>
      <w:r w:rsidR="005E236E" w:rsidRPr="001B6075">
        <w:rPr>
          <w:rFonts w:ascii="Arial" w:eastAsia="Calibri" w:hAnsi="Arial" w:cs="Arial"/>
          <w:noProof/>
          <w:sz w:val="20"/>
        </w:rPr>
        <w:t>10 % от земеделск</w:t>
      </w:r>
      <w:r w:rsidR="001B416E" w:rsidRPr="001B6075">
        <w:rPr>
          <w:rFonts w:ascii="Arial" w:eastAsia="Calibri" w:hAnsi="Arial" w:cs="Arial"/>
          <w:noProof/>
          <w:sz w:val="20"/>
        </w:rPr>
        <w:t>ите</w:t>
      </w:r>
      <w:r w:rsidR="005E236E" w:rsidRPr="001B6075">
        <w:rPr>
          <w:rFonts w:ascii="Arial" w:eastAsia="Calibri" w:hAnsi="Arial" w:cs="Arial"/>
          <w:noProof/>
          <w:sz w:val="20"/>
        </w:rPr>
        <w:t xml:space="preserve"> </w:t>
      </w:r>
      <w:r w:rsidR="001B416E" w:rsidRPr="001B6075">
        <w:rPr>
          <w:rFonts w:ascii="Arial" w:eastAsia="Calibri" w:hAnsi="Arial" w:cs="Arial"/>
          <w:noProof/>
          <w:sz w:val="20"/>
        </w:rPr>
        <w:t>земи</w:t>
      </w:r>
      <w:r w:rsidR="005E236E" w:rsidRPr="001B6075">
        <w:rPr>
          <w:rFonts w:ascii="Arial" w:eastAsia="Calibri" w:hAnsi="Arial" w:cs="Arial"/>
          <w:noProof/>
          <w:sz w:val="20"/>
        </w:rPr>
        <w:t xml:space="preserve"> да </w:t>
      </w:r>
      <w:r w:rsidR="004B5020" w:rsidRPr="001B6075">
        <w:rPr>
          <w:rFonts w:ascii="Arial" w:eastAsia="Calibri" w:hAnsi="Arial" w:cs="Arial"/>
          <w:noProof/>
          <w:sz w:val="20"/>
        </w:rPr>
        <w:t>са</w:t>
      </w:r>
      <w:r w:rsidR="005E236E" w:rsidRPr="001B6075">
        <w:rPr>
          <w:rFonts w:ascii="Arial" w:eastAsia="Calibri" w:hAnsi="Arial" w:cs="Arial"/>
          <w:noProof/>
          <w:sz w:val="20"/>
        </w:rPr>
        <w:t xml:space="preserve"> с непроизводствени характеристики и </w:t>
      </w:r>
      <w:r w:rsidR="004B5020" w:rsidRPr="001B6075">
        <w:rPr>
          <w:rFonts w:ascii="Arial" w:eastAsia="Calibri" w:hAnsi="Arial" w:cs="Arial"/>
          <w:noProof/>
          <w:sz w:val="20"/>
        </w:rPr>
        <w:t xml:space="preserve">някои </w:t>
      </w:r>
      <w:r w:rsidR="005E236E" w:rsidRPr="001B6075">
        <w:rPr>
          <w:rFonts w:ascii="Arial" w:eastAsia="Calibri" w:hAnsi="Arial" w:cs="Arial"/>
          <w:noProof/>
          <w:sz w:val="20"/>
        </w:rPr>
        <w:t>др.</w:t>
      </w:r>
      <w:r w:rsidR="004B5020" w:rsidRPr="001B6075">
        <w:rPr>
          <w:rFonts w:ascii="Arial" w:eastAsia="Calibri" w:hAnsi="Arial" w:cs="Arial"/>
          <w:noProof/>
          <w:sz w:val="20"/>
        </w:rPr>
        <w:t xml:space="preserve"> елементи от предложенията</w:t>
      </w:r>
      <w:r w:rsidR="005E236E" w:rsidRPr="001B6075">
        <w:rPr>
          <w:rFonts w:ascii="Arial" w:eastAsia="Calibri" w:hAnsi="Arial" w:cs="Arial"/>
          <w:noProof/>
          <w:sz w:val="20"/>
        </w:rPr>
        <w:t xml:space="preserve"> като високо амбициозни</w:t>
      </w:r>
      <w:r w:rsidR="004B5020" w:rsidRPr="001B6075">
        <w:rPr>
          <w:rFonts w:ascii="Arial" w:eastAsia="Calibri" w:hAnsi="Arial" w:cs="Arial"/>
          <w:noProof/>
          <w:sz w:val="20"/>
        </w:rPr>
        <w:t>, а</w:t>
      </w:r>
      <w:r w:rsidR="005E236E" w:rsidRPr="001B6075">
        <w:rPr>
          <w:rFonts w:ascii="Arial" w:eastAsia="Calibri" w:hAnsi="Arial" w:cs="Arial"/>
          <w:noProof/>
          <w:sz w:val="20"/>
        </w:rPr>
        <w:t xml:space="preserve"> някои</w:t>
      </w:r>
      <w:r w:rsidR="004B5020" w:rsidRPr="001B6075">
        <w:rPr>
          <w:rFonts w:ascii="Arial" w:eastAsia="Calibri" w:hAnsi="Arial" w:cs="Arial"/>
          <w:noProof/>
          <w:sz w:val="20"/>
        </w:rPr>
        <w:t>-</w:t>
      </w:r>
      <w:r w:rsidR="005E236E" w:rsidRPr="001B6075">
        <w:rPr>
          <w:rFonts w:ascii="Arial" w:eastAsia="Calibri" w:hAnsi="Arial" w:cs="Arial"/>
          <w:noProof/>
          <w:sz w:val="20"/>
        </w:rPr>
        <w:t xml:space="preserve"> като неприложими. Те зададоха въпроси свързани с начина на събиране на данни за индикатори</w:t>
      </w:r>
      <w:r w:rsidR="00D24843" w:rsidRPr="001B6075">
        <w:rPr>
          <w:rFonts w:ascii="Arial" w:eastAsia="Calibri" w:hAnsi="Arial" w:cs="Arial"/>
          <w:noProof/>
          <w:sz w:val="20"/>
        </w:rPr>
        <w:t>те</w:t>
      </w:r>
      <w:r w:rsidR="005E236E" w:rsidRPr="001B6075">
        <w:rPr>
          <w:rFonts w:ascii="Arial" w:eastAsia="Calibri" w:hAnsi="Arial" w:cs="Arial"/>
          <w:noProof/>
          <w:sz w:val="20"/>
        </w:rPr>
        <w:t xml:space="preserve"> и настояха, че всяка държава членка стартира от различно ниво и това трябва да бъде отчетено при бъдещо целеполагане на национално ниво. ЕК </w:t>
      </w:r>
      <w:r w:rsidR="00D24843" w:rsidRPr="001B6075">
        <w:rPr>
          <w:rFonts w:ascii="Arial" w:eastAsia="Calibri" w:hAnsi="Arial" w:cs="Arial"/>
          <w:noProof/>
          <w:sz w:val="20"/>
        </w:rPr>
        <w:t>отговори</w:t>
      </w:r>
      <w:r w:rsidR="005E236E" w:rsidRPr="001B6075">
        <w:rPr>
          <w:rFonts w:ascii="Arial" w:eastAsia="Calibri" w:hAnsi="Arial" w:cs="Arial"/>
          <w:noProof/>
          <w:sz w:val="20"/>
        </w:rPr>
        <w:t>, че бъдещите законодателни предложения ще бъдат съпроводени с оценка на въздействието и че ще се отчитат национа</w:t>
      </w:r>
      <w:r w:rsidR="00D24843" w:rsidRPr="001B6075">
        <w:rPr>
          <w:rFonts w:ascii="Arial" w:eastAsia="Calibri" w:hAnsi="Arial" w:cs="Arial"/>
          <w:noProof/>
          <w:sz w:val="20"/>
        </w:rPr>
        <w:t xml:space="preserve">лните специфики. Някои министри </w:t>
      </w:r>
      <w:r w:rsidR="005E236E" w:rsidRPr="001B6075">
        <w:rPr>
          <w:rFonts w:ascii="Arial" w:eastAsia="Calibri" w:hAnsi="Arial" w:cs="Arial"/>
          <w:noProof/>
          <w:sz w:val="20"/>
        </w:rPr>
        <w:t>изразиха загриженост по отношение на ценовия натиск и други рискове, каещи хранителната обезпеченост, които могат да се предизвикат от </w:t>
      </w:r>
      <w:r w:rsidR="005E236E" w:rsidRPr="001B6075">
        <w:rPr>
          <w:rFonts w:ascii="Arial" w:eastAsia="Calibri" w:hAnsi="Arial" w:cs="Arial"/>
          <w:bCs/>
          <w:noProof/>
          <w:sz w:val="20"/>
        </w:rPr>
        <w:t>целта 25% от обработваемата площ в ЕС да е под биологично земеделие</w:t>
      </w:r>
      <w:r w:rsidR="005E236E" w:rsidRPr="001B6075">
        <w:rPr>
          <w:rFonts w:ascii="Arial" w:eastAsia="Calibri" w:hAnsi="Arial" w:cs="Arial"/>
          <w:noProof/>
          <w:sz w:val="20"/>
        </w:rPr>
        <w:t xml:space="preserve">. </w:t>
      </w:r>
      <w:r w:rsidR="005E236E" w:rsidRPr="001B6075">
        <w:rPr>
          <w:rFonts w:ascii="Arial" w:eastAsia="Calibri" w:hAnsi="Arial" w:cs="Arial"/>
          <w:bCs/>
          <w:noProof/>
          <w:sz w:val="20"/>
        </w:rPr>
        <w:t xml:space="preserve">По отношение на връзката с процеса на разработване на стратегическите планове за прилагане на ОСП за следващия програмен период, ЕК </w:t>
      </w:r>
      <w:r w:rsidR="005E236E" w:rsidRPr="001B6075">
        <w:rPr>
          <w:rFonts w:ascii="Arial" w:eastAsia="Calibri" w:hAnsi="Arial" w:cs="Arial"/>
          <w:noProof/>
          <w:sz w:val="20"/>
        </w:rPr>
        <w:t>потвърди, че няма намерение да променя законодателните си предложения за ОСП след 2021 г. и че те са съвместими с целите на стратегиите</w:t>
      </w:r>
      <w:r w:rsidR="002269B5" w:rsidRPr="001B6075">
        <w:rPr>
          <w:rFonts w:ascii="Arial" w:eastAsia="Calibri" w:hAnsi="Arial" w:cs="Arial"/>
          <w:noProof/>
          <w:sz w:val="20"/>
        </w:rPr>
        <w:t>. Д</w:t>
      </w:r>
      <w:r w:rsidR="005E236E" w:rsidRPr="001B6075">
        <w:rPr>
          <w:rFonts w:ascii="Arial" w:eastAsia="Calibri" w:hAnsi="Arial" w:cs="Arial"/>
          <w:noProof/>
          <w:sz w:val="20"/>
        </w:rPr>
        <w:t>опълни, че ще изработи и изпрати до държавите членки препоръки, касаещи планирането</w:t>
      </w:r>
      <w:r w:rsidR="002269B5" w:rsidRPr="001B6075">
        <w:rPr>
          <w:rFonts w:ascii="Arial" w:eastAsia="Calibri" w:hAnsi="Arial" w:cs="Arial"/>
          <w:noProof/>
          <w:sz w:val="20"/>
        </w:rPr>
        <w:t>,</w:t>
      </w:r>
      <w:r w:rsidR="005E236E" w:rsidRPr="001B6075">
        <w:rPr>
          <w:rFonts w:ascii="Arial" w:eastAsia="Calibri" w:hAnsi="Arial" w:cs="Arial"/>
          <w:noProof/>
          <w:sz w:val="20"/>
        </w:rPr>
        <w:t xml:space="preserve"> в съ</w:t>
      </w:r>
      <w:r w:rsidR="002269B5" w:rsidRPr="001B6075">
        <w:rPr>
          <w:rFonts w:ascii="Arial" w:eastAsia="Calibri" w:hAnsi="Arial" w:cs="Arial"/>
          <w:noProof/>
          <w:sz w:val="20"/>
        </w:rPr>
        <w:t xml:space="preserve">ответствие </w:t>
      </w:r>
      <w:r w:rsidR="005E236E" w:rsidRPr="001B6075">
        <w:rPr>
          <w:rFonts w:ascii="Arial" w:eastAsia="Calibri" w:hAnsi="Arial" w:cs="Arial"/>
          <w:noProof/>
          <w:sz w:val="20"/>
        </w:rPr>
        <w:t xml:space="preserve">с принципите, заложени в стратегиите. </w:t>
      </w:r>
      <w:r w:rsidR="002269B5" w:rsidRPr="001B6075">
        <w:rPr>
          <w:rFonts w:ascii="Arial" w:eastAsia="Calibri" w:hAnsi="Arial" w:cs="Arial"/>
          <w:noProof/>
          <w:sz w:val="20"/>
        </w:rPr>
        <w:t xml:space="preserve">В хода на преговорите </w:t>
      </w:r>
      <w:r w:rsidR="005E236E" w:rsidRPr="001B6075">
        <w:rPr>
          <w:rFonts w:ascii="Arial" w:eastAsia="Calibri" w:hAnsi="Arial" w:cs="Arial"/>
          <w:noProof/>
          <w:sz w:val="20"/>
        </w:rPr>
        <w:t>ЕК ще се придържа към необходимостта от подобрения (като напр. задължително минимално бюджетиране за еко схеми), като се обляга на индивидуален подход за диалог.</w:t>
      </w:r>
      <w:r w:rsidR="00C474BE" w:rsidRPr="001B6075">
        <w:rPr>
          <w:rFonts w:ascii="Arial" w:eastAsia="Calibri" w:hAnsi="Arial" w:cs="Arial"/>
          <w:noProof/>
          <w:sz w:val="20"/>
        </w:rPr>
        <w:t xml:space="preserve"> М</w:t>
      </w:r>
      <w:r w:rsidR="005E236E" w:rsidRPr="001B6075">
        <w:rPr>
          <w:rFonts w:ascii="Arial" w:eastAsia="Calibri" w:hAnsi="Arial" w:cs="Arial"/>
          <w:noProof/>
          <w:sz w:val="20"/>
        </w:rPr>
        <w:t xml:space="preserve">инистрите </w:t>
      </w:r>
      <w:r w:rsidR="00740332" w:rsidRPr="001B6075">
        <w:rPr>
          <w:rFonts w:ascii="Arial" w:eastAsia="Calibri" w:hAnsi="Arial" w:cs="Arial"/>
          <w:noProof/>
          <w:sz w:val="20"/>
        </w:rPr>
        <w:t>приветстваха</w:t>
      </w:r>
      <w:r w:rsidR="005E236E" w:rsidRPr="001B6075">
        <w:rPr>
          <w:rFonts w:ascii="Arial" w:eastAsia="Calibri" w:hAnsi="Arial" w:cs="Arial"/>
          <w:noProof/>
          <w:sz w:val="20"/>
        </w:rPr>
        <w:t xml:space="preserve"> неотдавнашното предложение на Европейската комисия за ревизирана</w:t>
      </w:r>
      <w:r w:rsidR="00C474BE" w:rsidRPr="001B6075">
        <w:rPr>
          <w:rFonts w:ascii="Arial" w:eastAsia="Calibri" w:hAnsi="Arial" w:cs="Arial"/>
          <w:noProof/>
          <w:sz w:val="20"/>
        </w:rPr>
        <w:t xml:space="preserve"> М</w:t>
      </w:r>
      <w:r w:rsidR="005E236E" w:rsidRPr="001B6075">
        <w:rPr>
          <w:rFonts w:ascii="Arial" w:eastAsia="Calibri" w:hAnsi="Arial" w:cs="Arial"/>
          <w:noProof/>
          <w:sz w:val="20"/>
        </w:rPr>
        <w:t xml:space="preserve">ногогодишна финансова рамка 2021-2027 г., което предвижда увеличение </w:t>
      </w:r>
      <w:r w:rsidR="00740332" w:rsidRPr="001B6075">
        <w:rPr>
          <w:rFonts w:ascii="Arial" w:eastAsia="Calibri" w:hAnsi="Arial" w:cs="Arial"/>
          <w:noProof/>
          <w:sz w:val="20"/>
        </w:rPr>
        <w:t xml:space="preserve">на бюджета по ОСП </w:t>
      </w:r>
      <w:r w:rsidR="005E236E" w:rsidRPr="001B6075">
        <w:rPr>
          <w:rFonts w:ascii="Arial" w:eastAsia="Calibri" w:hAnsi="Arial" w:cs="Arial"/>
          <w:noProof/>
          <w:sz w:val="20"/>
        </w:rPr>
        <w:t xml:space="preserve">с 26,5 милиарда евро спрямо </w:t>
      </w:r>
      <w:r w:rsidR="003535AF" w:rsidRPr="001B6075">
        <w:rPr>
          <w:rFonts w:ascii="Arial" w:eastAsia="Calibri" w:hAnsi="Arial" w:cs="Arial"/>
          <w:noProof/>
          <w:sz w:val="20"/>
        </w:rPr>
        <w:t>предложението</w:t>
      </w:r>
      <w:r w:rsidR="005E236E" w:rsidRPr="001B6075">
        <w:rPr>
          <w:rFonts w:ascii="Arial" w:eastAsia="Calibri" w:hAnsi="Arial" w:cs="Arial"/>
          <w:noProof/>
          <w:sz w:val="20"/>
        </w:rPr>
        <w:t xml:space="preserve"> </w:t>
      </w:r>
      <w:r w:rsidR="00740332" w:rsidRPr="001B6075">
        <w:rPr>
          <w:rFonts w:ascii="Arial" w:eastAsia="Calibri" w:hAnsi="Arial" w:cs="Arial"/>
          <w:noProof/>
          <w:sz w:val="20"/>
        </w:rPr>
        <w:t>от</w:t>
      </w:r>
      <w:r w:rsidR="005E236E" w:rsidRPr="001B6075">
        <w:rPr>
          <w:rFonts w:ascii="Arial" w:eastAsia="Calibri" w:hAnsi="Arial" w:cs="Arial"/>
          <w:noProof/>
          <w:sz w:val="20"/>
        </w:rPr>
        <w:t xml:space="preserve"> 2018 г. Въпреки това</w:t>
      </w:r>
      <w:r w:rsidR="00740332" w:rsidRPr="001B6075">
        <w:rPr>
          <w:rFonts w:ascii="Arial" w:eastAsia="Calibri" w:hAnsi="Arial" w:cs="Arial"/>
          <w:noProof/>
          <w:sz w:val="20"/>
        </w:rPr>
        <w:t>,</w:t>
      </w:r>
      <w:r w:rsidR="005E236E" w:rsidRPr="001B6075">
        <w:rPr>
          <w:rFonts w:ascii="Arial" w:eastAsia="Calibri" w:hAnsi="Arial" w:cs="Arial"/>
          <w:noProof/>
          <w:sz w:val="20"/>
        </w:rPr>
        <w:t xml:space="preserve"> </w:t>
      </w:r>
      <w:r w:rsidR="003535AF" w:rsidRPr="001B6075">
        <w:rPr>
          <w:rFonts w:ascii="Arial" w:eastAsia="Calibri" w:hAnsi="Arial" w:cs="Arial"/>
          <w:noProof/>
          <w:sz w:val="20"/>
        </w:rPr>
        <w:t>много министри</w:t>
      </w:r>
      <w:r w:rsidR="005E236E" w:rsidRPr="001B6075">
        <w:rPr>
          <w:rFonts w:ascii="Arial" w:eastAsia="Calibri" w:hAnsi="Arial" w:cs="Arial"/>
          <w:noProof/>
          <w:sz w:val="20"/>
        </w:rPr>
        <w:t xml:space="preserve"> считат, че това увеличение на пакета </w:t>
      </w:r>
      <w:r w:rsidR="003535AF" w:rsidRPr="001B6075">
        <w:rPr>
          <w:rFonts w:ascii="Arial" w:eastAsia="Calibri" w:hAnsi="Arial" w:cs="Arial"/>
          <w:noProof/>
          <w:sz w:val="20"/>
        </w:rPr>
        <w:t>за</w:t>
      </w:r>
      <w:r w:rsidR="005E236E" w:rsidRPr="001B6075">
        <w:rPr>
          <w:rFonts w:ascii="Arial" w:eastAsia="Calibri" w:hAnsi="Arial" w:cs="Arial"/>
          <w:noProof/>
          <w:sz w:val="20"/>
        </w:rPr>
        <w:t xml:space="preserve"> земеделие все още </w:t>
      </w:r>
      <w:r w:rsidR="003535AF" w:rsidRPr="001B6075">
        <w:rPr>
          <w:rFonts w:ascii="Arial" w:eastAsia="Calibri" w:hAnsi="Arial" w:cs="Arial"/>
          <w:noProof/>
          <w:sz w:val="20"/>
        </w:rPr>
        <w:t xml:space="preserve">не е </w:t>
      </w:r>
      <w:r w:rsidR="005E236E" w:rsidRPr="001B6075">
        <w:rPr>
          <w:rFonts w:ascii="Arial" w:eastAsia="Calibri" w:hAnsi="Arial" w:cs="Arial"/>
          <w:noProof/>
          <w:sz w:val="20"/>
        </w:rPr>
        <w:t>достатъчно</w:t>
      </w:r>
      <w:r w:rsidR="003535AF" w:rsidRPr="001B6075">
        <w:rPr>
          <w:rFonts w:ascii="Arial" w:eastAsia="Calibri" w:hAnsi="Arial" w:cs="Arial"/>
          <w:noProof/>
          <w:sz w:val="20"/>
        </w:rPr>
        <w:t>,</w:t>
      </w:r>
      <w:r w:rsidR="005E236E" w:rsidRPr="001B6075">
        <w:rPr>
          <w:rFonts w:ascii="Arial" w:eastAsia="Calibri" w:hAnsi="Arial" w:cs="Arial"/>
          <w:noProof/>
          <w:sz w:val="20"/>
        </w:rPr>
        <w:t xml:space="preserve"> с оглед на допълнителните усилия, които ще бъдат необходими за земеделските стопани в рамките на Зелената сделка.</w:t>
      </w:r>
      <w:r w:rsidR="0058346D">
        <w:rPr>
          <w:rFonts w:ascii="Arial" w:eastAsia="Calibri" w:hAnsi="Arial" w:cs="Arial"/>
          <w:noProof/>
          <w:sz w:val="20"/>
        </w:rPr>
        <w:t xml:space="preserve"> </w:t>
      </w:r>
      <w:r w:rsidR="005E236E" w:rsidRPr="001B6075">
        <w:rPr>
          <w:rFonts w:ascii="Arial" w:eastAsia="Calibri" w:hAnsi="Arial" w:cs="Arial"/>
          <w:noProof/>
          <w:sz w:val="20"/>
        </w:rPr>
        <w:t>Балти</w:t>
      </w:r>
      <w:r w:rsidR="001A3B2B" w:rsidRPr="001B6075">
        <w:rPr>
          <w:rFonts w:ascii="Arial" w:eastAsia="Calibri" w:hAnsi="Arial" w:cs="Arial"/>
          <w:noProof/>
          <w:sz w:val="20"/>
        </w:rPr>
        <w:t xml:space="preserve">йските държави отбелязаха </w:t>
      </w:r>
      <w:r w:rsidR="005E236E" w:rsidRPr="001B6075">
        <w:rPr>
          <w:rFonts w:ascii="Arial" w:eastAsia="Calibri" w:hAnsi="Arial" w:cs="Arial"/>
          <w:noProof/>
          <w:sz w:val="20"/>
        </w:rPr>
        <w:t>разочарование</w:t>
      </w:r>
      <w:r w:rsidR="001A3B2B" w:rsidRPr="001B6075">
        <w:rPr>
          <w:rFonts w:ascii="Arial" w:eastAsia="Calibri" w:hAnsi="Arial" w:cs="Arial"/>
          <w:noProof/>
          <w:sz w:val="20"/>
        </w:rPr>
        <w:t>то си</w:t>
      </w:r>
      <w:r w:rsidR="005E236E" w:rsidRPr="001B6075">
        <w:rPr>
          <w:rFonts w:ascii="Arial" w:eastAsia="Calibri" w:hAnsi="Arial" w:cs="Arial"/>
          <w:noProof/>
          <w:sz w:val="20"/>
        </w:rPr>
        <w:t>, че предложението не съдържа допълнителна амбиция по отношение на сближаването на директните плащания в държавите членки.</w:t>
      </w:r>
      <w:r w:rsidR="00184A6F" w:rsidRPr="001B6075">
        <w:rPr>
          <w:rFonts w:ascii="Arial" w:eastAsia="Calibri" w:hAnsi="Arial" w:cs="Arial"/>
          <w:noProof/>
          <w:sz w:val="20"/>
        </w:rPr>
        <w:t xml:space="preserve"> По подробна информация за проведената</w:t>
      </w:r>
      <w:r w:rsidR="005E236E" w:rsidRPr="001B6075">
        <w:rPr>
          <w:rFonts w:ascii="Arial" w:eastAsia="Calibri" w:hAnsi="Arial" w:cs="Arial"/>
          <w:noProof/>
          <w:sz w:val="20"/>
        </w:rPr>
        <w:t xml:space="preserve"> видеоконферен</w:t>
      </w:r>
      <w:r w:rsidR="004048A9" w:rsidRPr="001B6075">
        <w:rPr>
          <w:rFonts w:ascii="Arial" w:eastAsia="Calibri" w:hAnsi="Arial" w:cs="Arial"/>
          <w:noProof/>
          <w:sz w:val="20"/>
        </w:rPr>
        <w:t>ция на</w:t>
      </w:r>
      <w:r w:rsidR="00184A6F" w:rsidRPr="001B6075">
        <w:rPr>
          <w:rFonts w:ascii="Arial" w:eastAsia="Calibri" w:hAnsi="Arial" w:cs="Arial"/>
          <w:noProof/>
          <w:sz w:val="20"/>
        </w:rPr>
        <w:t xml:space="preserve"> министри</w:t>
      </w:r>
      <w:r w:rsidR="004048A9" w:rsidRPr="001B6075">
        <w:rPr>
          <w:rFonts w:ascii="Arial" w:eastAsia="Calibri" w:hAnsi="Arial" w:cs="Arial"/>
          <w:noProof/>
          <w:sz w:val="20"/>
        </w:rPr>
        <w:t>те на земеделието</w:t>
      </w:r>
      <w:r w:rsidR="00184A6F" w:rsidRPr="001B6075">
        <w:rPr>
          <w:rFonts w:ascii="Arial" w:eastAsia="Calibri" w:hAnsi="Arial" w:cs="Arial"/>
          <w:noProof/>
          <w:sz w:val="20"/>
        </w:rPr>
        <w:t xml:space="preserve">  </w:t>
      </w:r>
      <w:r w:rsidR="005E236E" w:rsidRPr="001B6075">
        <w:rPr>
          <w:rFonts w:ascii="Arial" w:eastAsia="Calibri" w:hAnsi="Arial" w:cs="Arial"/>
          <w:noProof/>
          <w:sz w:val="20"/>
        </w:rPr>
        <w:t>може</w:t>
      </w:r>
      <w:r w:rsidR="004048A9" w:rsidRPr="001B6075">
        <w:rPr>
          <w:rFonts w:ascii="Arial" w:eastAsia="Calibri" w:hAnsi="Arial" w:cs="Arial"/>
          <w:noProof/>
          <w:sz w:val="20"/>
        </w:rPr>
        <w:t>те</w:t>
      </w:r>
      <w:r w:rsidR="005E236E" w:rsidRPr="001B6075">
        <w:rPr>
          <w:rFonts w:ascii="Arial" w:eastAsia="Calibri" w:hAnsi="Arial" w:cs="Arial"/>
          <w:noProof/>
          <w:sz w:val="20"/>
        </w:rPr>
        <w:t xml:space="preserve"> да </w:t>
      </w:r>
      <w:r w:rsidR="003F290B">
        <w:rPr>
          <w:rFonts w:ascii="Arial" w:eastAsia="Calibri" w:hAnsi="Arial" w:cs="Arial"/>
          <w:noProof/>
          <w:sz w:val="20"/>
        </w:rPr>
        <w:t>прочетете в</w:t>
      </w:r>
      <w:r w:rsidR="005E236E" w:rsidRPr="001B6075">
        <w:rPr>
          <w:rFonts w:ascii="Arial" w:eastAsia="Calibri" w:hAnsi="Arial" w:cs="Arial"/>
          <w:noProof/>
          <w:sz w:val="20"/>
        </w:rPr>
        <w:t xml:space="preserve"> </w:t>
      </w:r>
      <w:r w:rsidR="005E236E" w:rsidRPr="001B6075">
        <w:rPr>
          <w:rFonts w:ascii="Arial" w:eastAsia="Calibri" w:hAnsi="Arial" w:cs="Arial"/>
          <w:i/>
          <w:noProof/>
          <w:sz w:val="20"/>
        </w:rPr>
        <w:t>Приложение 1</w:t>
      </w:r>
      <w:r w:rsidR="005E236E" w:rsidRPr="001B6075">
        <w:rPr>
          <w:rFonts w:ascii="Arial" w:eastAsia="Calibri" w:hAnsi="Arial" w:cs="Arial"/>
          <w:noProof/>
          <w:sz w:val="20"/>
        </w:rPr>
        <w:t>.</w:t>
      </w:r>
    </w:p>
    <w:p w14:paraId="0866053F" w14:textId="0D0E6A86" w:rsidR="005E236E" w:rsidRPr="00A62019" w:rsidRDefault="00A62019" w:rsidP="00A62019">
      <w:pPr>
        <w:jc w:val="both"/>
        <w:rPr>
          <w:rFonts w:ascii="Arial" w:hAnsi="Arial" w:cs="Arial"/>
          <w:b/>
          <w:noProof/>
          <w:sz w:val="20"/>
        </w:rPr>
      </w:pPr>
      <w:r w:rsidRPr="00C45C51">
        <w:rPr>
          <w:rFonts w:ascii="Arial" w:hAnsi="Arial" w:cs="Arial"/>
          <w:b/>
          <w:noProof/>
          <w:sz w:val="20"/>
          <w:lang w:val="ru-RU"/>
        </w:rPr>
        <w:lastRenderedPageBreak/>
        <w:t xml:space="preserve">7. </w:t>
      </w:r>
      <w:r w:rsidR="005E236E" w:rsidRPr="001B6075">
        <w:rPr>
          <w:rFonts w:ascii="Arial" w:eastAsia="Calibri" w:hAnsi="Arial" w:cs="Arial"/>
          <w:b/>
          <w:noProof/>
          <w:sz w:val="20"/>
        </w:rPr>
        <w:t>Еврокомисарят по здравеопазването Стела Кириакидес заяви по време на видеоконференция</w:t>
      </w:r>
      <w:r w:rsidR="002F4335" w:rsidRPr="001B6075">
        <w:rPr>
          <w:rFonts w:ascii="Arial" w:eastAsia="Calibri" w:hAnsi="Arial" w:cs="Arial"/>
          <w:b/>
          <w:noProof/>
          <w:sz w:val="20"/>
        </w:rPr>
        <w:t>та</w:t>
      </w:r>
      <w:r w:rsidR="005E236E" w:rsidRPr="001B6075">
        <w:rPr>
          <w:rFonts w:ascii="Arial" w:eastAsia="Calibri" w:hAnsi="Arial" w:cs="Arial"/>
          <w:b/>
          <w:noProof/>
          <w:sz w:val="20"/>
        </w:rPr>
        <w:t xml:space="preserve"> на високо ниво на 8 юни, че Стратегията „От фермата до трапезата“ (F2F) е „началото на процеса</w:t>
      </w:r>
      <w:r w:rsidR="002F4335" w:rsidRPr="001B6075">
        <w:rPr>
          <w:rFonts w:ascii="Arial" w:eastAsia="Calibri" w:hAnsi="Arial" w:cs="Arial"/>
          <w:b/>
          <w:noProof/>
          <w:sz w:val="20"/>
        </w:rPr>
        <w:t xml:space="preserve"> н</w:t>
      </w:r>
      <w:r w:rsidR="005E236E" w:rsidRPr="001B6075">
        <w:rPr>
          <w:rFonts w:ascii="Arial" w:eastAsia="Calibri" w:hAnsi="Arial" w:cs="Arial"/>
          <w:b/>
          <w:noProof/>
          <w:sz w:val="20"/>
        </w:rPr>
        <w:t>а промяна на европейската хранителна система</w:t>
      </w:r>
      <w:r w:rsidR="00C45C51">
        <w:rPr>
          <w:rFonts w:ascii="Arial" w:eastAsia="Calibri" w:hAnsi="Arial" w:cs="Arial"/>
          <w:b/>
          <w:noProof/>
          <w:sz w:val="20"/>
        </w:rPr>
        <w:t>“</w:t>
      </w:r>
      <w:r w:rsidR="005E236E" w:rsidRPr="001B6075">
        <w:rPr>
          <w:rFonts w:ascii="Arial" w:eastAsia="Calibri" w:hAnsi="Arial" w:cs="Arial"/>
          <w:noProof/>
          <w:sz w:val="20"/>
        </w:rPr>
        <w:t>. Стратегията „От фермата до трапезата</w:t>
      </w:r>
      <w:r w:rsidR="002F4335" w:rsidRPr="001B6075">
        <w:rPr>
          <w:rFonts w:ascii="Arial" w:eastAsia="Calibri" w:hAnsi="Arial" w:cs="Arial"/>
          <w:noProof/>
          <w:sz w:val="20"/>
        </w:rPr>
        <w:t xml:space="preserve">“, </w:t>
      </w:r>
      <w:r w:rsidR="005E236E" w:rsidRPr="001B6075">
        <w:rPr>
          <w:rFonts w:ascii="Arial" w:eastAsia="Calibri" w:hAnsi="Arial" w:cs="Arial"/>
          <w:noProof/>
          <w:sz w:val="20"/>
        </w:rPr>
        <w:t xml:space="preserve">включва 27 първоначални действия </w:t>
      </w:r>
      <w:r w:rsidR="002F4335" w:rsidRPr="001B6075">
        <w:rPr>
          <w:rFonts w:ascii="Arial" w:eastAsia="Calibri" w:hAnsi="Arial" w:cs="Arial"/>
          <w:noProof/>
          <w:sz w:val="20"/>
        </w:rPr>
        <w:t>обхванати в</w:t>
      </w:r>
      <w:r w:rsidR="005E236E" w:rsidRPr="001B6075">
        <w:rPr>
          <w:rFonts w:ascii="Arial" w:eastAsia="Calibri" w:hAnsi="Arial" w:cs="Arial"/>
          <w:noProof/>
          <w:sz w:val="20"/>
        </w:rPr>
        <w:t xml:space="preserve"> Плана за действие</w:t>
      </w:r>
      <w:r w:rsidR="002F4335" w:rsidRPr="001B6075">
        <w:rPr>
          <w:rFonts w:ascii="Arial" w:eastAsia="Calibri" w:hAnsi="Arial" w:cs="Arial"/>
          <w:noProof/>
          <w:sz w:val="20"/>
        </w:rPr>
        <w:t>, както</w:t>
      </w:r>
      <w:r w:rsidR="005E236E" w:rsidRPr="001B6075">
        <w:rPr>
          <w:rFonts w:ascii="Arial" w:eastAsia="Calibri" w:hAnsi="Arial" w:cs="Arial"/>
          <w:noProof/>
          <w:sz w:val="20"/>
        </w:rPr>
        <w:t xml:space="preserve"> и измерими цели за приоритетни области</w:t>
      </w:r>
      <w:r w:rsidR="002F4335" w:rsidRPr="001B6075">
        <w:rPr>
          <w:rFonts w:ascii="Arial" w:eastAsia="Calibri" w:hAnsi="Arial" w:cs="Arial"/>
          <w:noProof/>
          <w:sz w:val="20"/>
        </w:rPr>
        <w:t>.  Тя</w:t>
      </w:r>
      <w:r w:rsidR="005E236E" w:rsidRPr="001B6075">
        <w:rPr>
          <w:rFonts w:ascii="Arial" w:eastAsia="Calibri" w:hAnsi="Arial" w:cs="Arial"/>
          <w:noProof/>
          <w:sz w:val="20"/>
        </w:rPr>
        <w:t xml:space="preserve"> е „дългосрочна стратегическа визия за преход</w:t>
      </w:r>
      <w:r w:rsidR="002F4335" w:rsidRPr="001B6075">
        <w:rPr>
          <w:rFonts w:ascii="Arial" w:eastAsia="Calibri" w:hAnsi="Arial" w:cs="Arial"/>
          <w:noProof/>
          <w:sz w:val="20"/>
        </w:rPr>
        <w:t>а</w:t>
      </w:r>
      <w:r w:rsidR="005E236E" w:rsidRPr="001B6075">
        <w:rPr>
          <w:rFonts w:ascii="Arial" w:eastAsia="Calibri" w:hAnsi="Arial" w:cs="Arial"/>
          <w:noProof/>
          <w:sz w:val="20"/>
        </w:rPr>
        <w:t xml:space="preserve"> към устойчива хранителна верига и трансформиране на начина, по който произвеждаме, разпространяваме и консумираме храна”</w:t>
      </w:r>
      <w:r w:rsidR="002F4335" w:rsidRPr="001B6075">
        <w:rPr>
          <w:rFonts w:ascii="Arial" w:eastAsia="Calibri" w:hAnsi="Arial" w:cs="Arial"/>
          <w:noProof/>
          <w:sz w:val="20"/>
        </w:rPr>
        <w:t>,</w:t>
      </w:r>
      <w:r w:rsidR="005E236E" w:rsidRPr="001B6075">
        <w:rPr>
          <w:rFonts w:ascii="Arial" w:eastAsia="Calibri" w:hAnsi="Arial" w:cs="Arial"/>
          <w:noProof/>
          <w:sz w:val="20"/>
        </w:rPr>
        <w:t xml:space="preserve"> допълни тя. Това ще превърне хранителната система на ЕС в движеща сила за устойчивост в световен мащаб. Целта е селското стопанство и хранително-вкусовата промишленост на ЕС да станат лидери за промяна в глобалния преход. Еврокомисарят по здравеопазване припо</w:t>
      </w:r>
      <w:r w:rsidR="002F4335" w:rsidRPr="001B6075">
        <w:rPr>
          <w:rFonts w:ascii="Arial" w:eastAsia="Calibri" w:hAnsi="Arial" w:cs="Arial"/>
          <w:noProof/>
          <w:sz w:val="20"/>
        </w:rPr>
        <w:t>мни някои от основните цели включително</w:t>
      </w:r>
      <w:r w:rsidR="005E236E" w:rsidRPr="001B6075">
        <w:rPr>
          <w:rFonts w:ascii="Arial" w:eastAsia="Calibri" w:hAnsi="Arial" w:cs="Arial"/>
          <w:noProof/>
          <w:sz w:val="20"/>
        </w:rPr>
        <w:t xml:space="preserve"> 50% намаление на употребата и риска от пестициди и продажбата на антимикробни средства, използвани в селското стопанство и аквакултурите, 20% намаление на използването на торове и 25% от земеделските земи в ЕС да се използват за биологично земеделие (всички до 2030 г.). </w:t>
      </w:r>
      <w:r w:rsidR="002F4335" w:rsidRPr="001B6075">
        <w:rPr>
          <w:rFonts w:ascii="Arial" w:eastAsia="Calibri" w:hAnsi="Arial" w:cs="Arial"/>
          <w:noProof/>
          <w:sz w:val="20"/>
        </w:rPr>
        <w:t>По време на видеоконференцията</w:t>
      </w:r>
      <w:r w:rsidR="005E236E" w:rsidRPr="001B6075">
        <w:rPr>
          <w:rFonts w:ascii="Arial" w:eastAsia="Calibri" w:hAnsi="Arial" w:cs="Arial"/>
          <w:noProof/>
          <w:sz w:val="20"/>
        </w:rPr>
        <w:t xml:space="preserve"> Стела Кириакидес подчерта, че ще има мерки за насърчаване на здравословни диети и устойчиво потребление</w:t>
      </w:r>
      <w:r w:rsidR="002F4335" w:rsidRPr="001B6075">
        <w:rPr>
          <w:rFonts w:ascii="Arial" w:eastAsia="Calibri" w:hAnsi="Arial" w:cs="Arial"/>
          <w:noProof/>
          <w:sz w:val="20"/>
        </w:rPr>
        <w:t>,</w:t>
      </w:r>
      <w:r w:rsidR="005E236E" w:rsidRPr="001B6075">
        <w:rPr>
          <w:rFonts w:ascii="Arial" w:eastAsia="Calibri" w:hAnsi="Arial" w:cs="Arial"/>
          <w:noProof/>
          <w:sz w:val="20"/>
        </w:rPr>
        <w:t xml:space="preserve"> със стъпки за осигуряване на по-добра информация за потребителите, действия за намаляване загубата на храни и отпадъци и насърчаване на индустрията за увеличиване </w:t>
      </w:r>
      <w:r w:rsidR="002F4335" w:rsidRPr="001B6075">
        <w:rPr>
          <w:rFonts w:ascii="Arial" w:eastAsia="Calibri" w:hAnsi="Arial" w:cs="Arial"/>
          <w:noProof/>
          <w:sz w:val="20"/>
        </w:rPr>
        <w:t xml:space="preserve">на </w:t>
      </w:r>
      <w:r w:rsidR="005E236E" w:rsidRPr="001B6075">
        <w:rPr>
          <w:rFonts w:ascii="Arial" w:eastAsia="Calibri" w:hAnsi="Arial" w:cs="Arial"/>
          <w:noProof/>
          <w:sz w:val="20"/>
        </w:rPr>
        <w:t>наличността и достъпността на здравословна, устойчива храна</w:t>
      </w:r>
      <w:r w:rsidR="002F4335" w:rsidRPr="001B6075">
        <w:rPr>
          <w:rFonts w:ascii="Arial" w:eastAsia="Calibri" w:hAnsi="Arial" w:cs="Arial"/>
          <w:noProof/>
          <w:sz w:val="20"/>
        </w:rPr>
        <w:t>л Включени са</w:t>
      </w:r>
      <w:r w:rsidR="005E236E" w:rsidRPr="001B6075">
        <w:rPr>
          <w:rFonts w:ascii="Arial" w:eastAsia="Calibri" w:hAnsi="Arial" w:cs="Arial"/>
          <w:noProof/>
          <w:sz w:val="20"/>
        </w:rPr>
        <w:t xml:space="preserve"> инициативи </w:t>
      </w:r>
      <w:r w:rsidR="002F4335" w:rsidRPr="001B6075">
        <w:rPr>
          <w:rFonts w:ascii="Arial" w:eastAsia="Calibri" w:hAnsi="Arial" w:cs="Arial"/>
          <w:noProof/>
          <w:sz w:val="20"/>
        </w:rPr>
        <w:t>за</w:t>
      </w:r>
      <w:r w:rsidR="005E236E" w:rsidRPr="001B6075">
        <w:rPr>
          <w:rFonts w:ascii="Arial" w:eastAsia="Calibri" w:hAnsi="Arial" w:cs="Arial"/>
          <w:noProof/>
          <w:sz w:val="20"/>
        </w:rPr>
        <w:t xml:space="preserve"> хуманното отношение към животните и </w:t>
      </w:r>
      <w:r w:rsidR="002F4335" w:rsidRPr="001B6075">
        <w:rPr>
          <w:rFonts w:ascii="Arial" w:eastAsia="Calibri" w:hAnsi="Arial" w:cs="Arial"/>
          <w:noProof/>
          <w:sz w:val="20"/>
        </w:rPr>
        <w:t xml:space="preserve">справяне с </w:t>
      </w:r>
      <w:r w:rsidR="005E236E" w:rsidRPr="001B6075">
        <w:rPr>
          <w:rFonts w:ascii="Arial" w:eastAsia="Calibri" w:hAnsi="Arial" w:cs="Arial"/>
          <w:noProof/>
          <w:sz w:val="20"/>
        </w:rPr>
        <w:t xml:space="preserve">измамите с храни. Очаква се първата досега законодателна рамка за устойчиви хранителни системи да бъде внесена до края на 2023 г. Еврокомисарят по здравеопазването заяви, че пандемията COVID-19 „е </w:t>
      </w:r>
      <w:r w:rsidR="002F4335" w:rsidRPr="001B6075">
        <w:rPr>
          <w:rFonts w:ascii="Arial" w:eastAsia="Calibri" w:hAnsi="Arial" w:cs="Arial"/>
          <w:noProof/>
          <w:sz w:val="20"/>
        </w:rPr>
        <w:t>създала</w:t>
      </w:r>
      <w:r w:rsidR="005E236E" w:rsidRPr="001B6075">
        <w:rPr>
          <w:rFonts w:ascii="Arial" w:eastAsia="Calibri" w:hAnsi="Arial" w:cs="Arial"/>
          <w:noProof/>
          <w:sz w:val="20"/>
        </w:rPr>
        <w:t xml:space="preserve"> големи предизвикателства през последните няколко месеца и силно напомня, че Европа се нуждае от стабилни и устойчиви системи</w:t>
      </w:r>
      <w:r w:rsidR="002F4335" w:rsidRPr="001B6075">
        <w:rPr>
          <w:rFonts w:ascii="Arial" w:eastAsia="Calibri" w:hAnsi="Arial" w:cs="Arial"/>
          <w:noProof/>
          <w:sz w:val="20"/>
        </w:rPr>
        <w:t>“</w:t>
      </w:r>
      <w:r w:rsidR="005E236E" w:rsidRPr="001B6075">
        <w:rPr>
          <w:rFonts w:ascii="Arial" w:eastAsia="Calibri" w:hAnsi="Arial" w:cs="Arial"/>
          <w:noProof/>
          <w:sz w:val="20"/>
        </w:rPr>
        <w:t xml:space="preserve"> Тя посочи</w:t>
      </w:r>
      <w:r w:rsidR="002F4335" w:rsidRPr="001B6075">
        <w:rPr>
          <w:rFonts w:ascii="Arial" w:eastAsia="Calibri" w:hAnsi="Arial" w:cs="Arial"/>
          <w:noProof/>
          <w:sz w:val="20"/>
        </w:rPr>
        <w:t>, че</w:t>
      </w:r>
      <w:r w:rsidR="005E236E" w:rsidRPr="001B6075">
        <w:rPr>
          <w:rFonts w:ascii="Arial" w:eastAsia="Calibri" w:hAnsi="Arial" w:cs="Arial"/>
          <w:noProof/>
          <w:sz w:val="20"/>
        </w:rPr>
        <w:t xml:space="preserve"> общите политики в областта на селското стопанство и рибарството </w:t>
      </w:r>
      <w:r w:rsidR="002F4335" w:rsidRPr="001B6075">
        <w:rPr>
          <w:rFonts w:ascii="Arial" w:eastAsia="Calibri" w:hAnsi="Arial" w:cs="Arial"/>
          <w:noProof/>
          <w:sz w:val="20"/>
        </w:rPr>
        <w:t>са</w:t>
      </w:r>
      <w:r w:rsidR="005E236E" w:rsidRPr="001B6075">
        <w:rPr>
          <w:rFonts w:ascii="Arial" w:eastAsia="Calibri" w:hAnsi="Arial" w:cs="Arial"/>
          <w:noProof/>
          <w:sz w:val="20"/>
        </w:rPr>
        <w:t xml:space="preserve"> основни инструменти за подкрепа, но също така и за научни изследвания и иновации за разработване на иновативни решения с повече от 10 милиарда евро, предназначени за селскостопанска</w:t>
      </w:r>
      <w:r w:rsidR="002F4335" w:rsidRPr="001B6075">
        <w:rPr>
          <w:rFonts w:ascii="Arial" w:eastAsia="Calibri" w:hAnsi="Arial" w:cs="Arial"/>
          <w:noProof/>
          <w:sz w:val="20"/>
        </w:rPr>
        <w:t>та</w:t>
      </w:r>
      <w:r w:rsidR="005E236E" w:rsidRPr="001B6075">
        <w:rPr>
          <w:rFonts w:ascii="Arial" w:eastAsia="Calibri" w:hAnsi="Arial" w:cs="Arial"/>
          <w:noProof/>
          <w:sz w:val="20"/>
        </w:rPr>
        <w:t xml:space="preserve"> и хранително-вкусова</w:t>
      </w:r>
      <w:r w:rsidR="002F4335" w:rsidRPr="001B6075">
        <w:rPr>
          <w:rFonts w:ascii="Arial" w:eastAsia="Calibri" w:hAnsi="Arial" w:cs="Arial"/>
          <w:noProof/>
          <w:sz w:val="20"/>
        </w:rPr>
        <w:t>та</w:t>
      </w:r>
      <w:r w:rsidR="005E236E" w:rsidRPr="001B6075">
        <w:rPr>
          <w:rFonts w:ascii="Arial" w:eastAsia="Calibri" w:hAnsi="Arial" w:cs="Arial"/>
          <w:noProof/>
          <w:sz w:val="20"/>
        </w:rPr>
        <w:t xml:space="preserve"> </w:t>
      </w:r>
      <w:r w:rsidR="002F4335" w:rsidRPr="001B6075">
        <w:rPr>
          <w:rFonts w:ascii="Arial" w:eastAsia="Calibri" w:hAnsi="Arial" w:cs="Arial"/>
          <w:noProof/>
          <w:sz w:val="20"/>
        </w:rPr>
        <w:t>област</w:t>
      </w:r>
      <w:r w:rsidR="005E236E" w:rsidRPr="001B6075">
        <w:rPr>
          <w:rFonts w:ascii="Arial" w:eastAsia="Calibri" w:hAnsi="Arial" w:cs="Arial"/>
          <w:noProof/>
          <w:sz w:val="20"/>
        </w:rPr>
        <w:t>, пригодени консултантски услуги и по-добър достъп до дигитализация.</w:t>
      </w:r>
      <w:r w:rsidR="005E236E" w:rsidRPr="001B6075">
        <w:rPr>
          <w:rFonts w:ascii="Arial" w:eastAsia="Calibri" w:hAnsi="Arial" w:cs="Arial"/>
          <w:b/>
          <w:noProof/>
          <w:sz w:val="20"/>
        </w:rPr>
        <w:t xml:space="preserve"> </w:t>
      </w:r>
      <w:r w:rsidR="005E236E" w:rsidRPr="001B6075">
        <w:rPr>
          <w:rFonts w:ascii="Arial" w:eastAsia="Calibri" w:hAnsi="Arial" w:cs="Arial"/>
          <w:noProof/>
          <w:sz w:val="20"/>
        </w:rPr>
        <w:t>По отношение на допустимите отклонения при внос на пестициди</w:t>
      </w:r>
      <w:r w:rsidR="002F4335" w:rsidRPr="001B6075">
        <w:rPr>
          <w:rFonts w:ascii="Arial" w:eastAsia="Calibri" w:hAnsi="Arial" w:cs="Arial"/>
          <w:noProof/>
          <w:sz w:val="20"/>
        </w:rPr>
        <w:t>, които са</w:t>
      </w:r>
      <w:r w:rsidR="005E236E" w:rsidRPr="001B6075">
        <w:rPr>
          <w:rFonts w:ascii="Arial" w:eastAsia="Calibri" w:hAnsi="Arial" w:cs="Arial"/>
          <w:noProof/>
          <w:sz w:val="20"/>
        </w:rPr>
        <w:t xml:space="preserve"> основна грижа за вносителите и износителите</w:t>
      </w:r>
      <w:r w:rsidR="002F4335" w:rsidRPr="001B6075">
        <w:rPr>
          <w:rFonts w:ascii="Arial" w:eastAsia="Calibri" w:hAnsi="Arial" w:cs="Arial"/>
          <w:noProof/>
          <w:sz w:val="20"/>
        </w:rPr>
        <w:t>,</w:t>
      </w:r>
      <w:r w:rsidR="005E236E" w:rsidRPr="001B6075">
        <w:rPr>
          <w:rFonts w:ascii="Arial" w:eastAsia="Calibri" w:hAnsi="Arial" w:cs="Arial"/>
          <w:noProof/>
          <w:sz w:val="20"/>
        </w:rPr>
        <w:t xml:space="preserve">тя каза, че стратегията „определя как ЕС може да работи в глобален мащаб при оформянето на нова програма за устойчивост и да насърчава равни условия“. Комисията „ще вземе предвид екологичните аспекти, когато оценява исканията за допустими отклонения </w:t>
      </w:r>
      <w:r w:rsidR="002F4335" w:rsidRPr="001B6075">
        <w:rPr>
          <w:rFonts w:ascii="Arial" w:eastAsia="Calibri" w:hAnsi="Arial" w:cs="Arial"/>
          <w:noProof/>
          <w:sz w:val="20"/>
        </w:rPr>
        <w:t>при</w:t>
      </w:r>
      <w:r w:rsidR="005E236E" w:rsidRPr="001B6075">
        <w:rPr>
          <w:rFonts w:ascii="Arial" w:eastAsia="Calibri" w:hAnsi="Arial" w:cs="Arial"/>
          <w:noProof/>
          <w:sz w:val="20"/>
        </w:rPr>
        <w:t xml:space="preserve"> внос на вещества, които вече не са одобрени в ЕС“, като например намаляването на опрашителите или натрупването на вещества, които са устойчиви, био натрупващи  и токсични. </w:t>
      </w:r>
      <w:r w:rsidR="004F2608" w:rsidRPr="001B6075">
        <w:rPr>
          <w:rFonts w:ascii="Arial" w:eastAsia="Calibri" w:hAnsi="Arial" w:cs="Arial"/>
          <w:noProof/>
          <w:sz w:val="20"/>
        </w:rPr>
        <w:t>Посланието беше ясно, еврокомисарят по здравеопазване настоя, „искаме да насърчим постепенно преминаване към използването на по-безопасни продукти за растителна защита“, докато създателите на политики са готови да преразгледат допустимите отклонения за внос на вещества, които отговарят на „критериите за намаляване“ и  представляват високо ниво на риск за здравето на човека (в съответствие с правилата на СТО и след оценка на риска).</w:t>
      </w:r>
      <w:r w:rsidR="005E236E" w:rsidRPr="001B6075">
        <w:rPr>
          <w:rFonts w:ascii="Arial" w:eastAsia="Calibri" w:hAnsi="Arial" w:cs="Arial"/>
          <w:noProof/>
          <w:sz w:val="20"/>
        </w:rPr>
        <w:t xml:space="preserve"> В отговор на зададените въпросите по време на видеоконферентната връзка, Кириакидес поясни, че „всички правно обвързващи цели ще бъдат определени в законодателството след това“, добавяйки, че те ще бъдат „предшествани от пълна оценка на въздействието“. </w:t>
      </w:r>
      <w:r w:rsidR="00184A6F" w:rsidRPr="001B6075">
        <w:rPr>
          <w:rFonts w:ascii="Arial" w:eastAsia="Calibri" w:hAnsi="Arial" w:cs="Arial"/>
          <w:noProof/>
          <w:sz w:val="20"/>
        </w:rPr>
        <w:t>Тя добави, че т</w:t>
      </w:r>
      <w:r w:rsidR="005E236E" w:rsidRPr="001B6075">
        <w:rPr>
          <w:rFonts w:ascii="Arial" w:eastAsia="Calibri" w:hAnsi="Arial" w:cs="Arial"/>
          <w:noProof/>
          <w:sz w:val="20"/>
        </w:rPr>
        <w:t xml:space="preserve">рябва да </w:t>
      </w:r>
      <w:r w:rsidR="00184A6F" w:rsidRPr="001B6075">
        <w:rPr>
          <w:rFonts w:ascii="Arial" w:eastAsia="Calibri" w:hAnsi="Arial" w:cs="Arial"/>
          <w:noProof/>
          <w:sz w:val="20"/>
        </w:rPr>
        <w:t xml:space="preserve">се работи с </w:t>
      </w:r>
      <w:r w:rsidR="005E236E" w:rsidRPr="001B6075">
        <w:rPr>
          <w:rFonts w:ascii="Arial" w:eastAsia="Calibri" w:hAnsi="Arial" w:cs="Arial"/>
          <w:noProof/>
          <w:sz w:val="20"/>
        </w:rPr>
        <w:t>международни</w:t>
      </w:r>
      <w:r w:rsidR="00184A6F" w:rsidRPr="001B6075">
        <w:rPr>
          <w:rFonts w:ascii="Arial" w:eastAsia="Calibri" w:hAnsi="Arial" w:cs="Arial"/>
          <w:noProof/>
          <w:sz w:val="20"/>
        </w:rPr>
        <w:t>те</w:t>
      </w:r>
      <w:r w:rsidR="005E236E" w:rsidRPr="001B6075">
        <w:rPr>
          <w:rFonts w:ascii="Arial" w:eastAsia="Calibri" w:hAnsi="Arial" w:cs="Arial"/>
          <w:noProof/>
          <w:sz w:val="20"/>
        </w:rPr>
        <w:t xml:space="preserve"> партньори за повишаване на стандарт</w:t>
      </w:r>
      <w:r w:rsidR="00184A6F" w:rsidRPr="001B6075">
        <w:rPr>
          <w:rFonts w:ascii="Arial" w:eastAsia="Calibri" w:hAnsi="Arial" w:cs="Arial"/>
          <w:noProof/>
          <w:sz w:val="20"/>
        </w:rPr>
        <w:t>ите в световен мащаб.</w:t>
      </w:r>
    </w:p>
    <w:p w14:paraId="4CE3F1D7" w14:textId="77777777" w:rsidR="001B1430" w:rsidRPr="001B6075" w:rsidRDefault="001B1430" w:rsidP="001B60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noProof/>
          <w:color w:val="000000"/>
          <w:sz w:val="20"/>
        </w:rPr>
      </w:pPr>
    </w:p>
    <w:tbl>
      <w:tblPr>
        <w:tblW w:w="10159" w:type="dxa"/>
        <w:tblInd w:w="108" w:type="dxa"/>
        <w:tblLook w:val="01E0" w:firstRow="1" w:lastRow="1" w:firstColumn="1" w:lastColumn="1" w:noHBand="0" w:noVBand="0"/>
      </w:tblPr>
      <w:tblGrid>
        <w:gridCol w:w="9923"/>
        <w:gridCol w:w="236"/>
      </w:tblGrid>
      <w:tr w:rsidR="001B1430" w:rsidRPr="001B6075" w14:paraId="78C08047" w14:textId="77777777" w:rsidTr="00F73636">
        <w:tc>
          <w:tcPr>
            <w:tcW w:w="9923" w:type="dxa"/>
            <w:shd w:val="clear" w:color="auto" w:fill="C0C0C0"/>
            <w:hideMark/>
          </w:tcPr>
          <w:p w14:paraId="236B6B09" w14:textId="77777777" w:rsidR="001B1430" w:rsidRPr="001B6075" w:rsidRDefault="001B1430" w:rsidP="001B6075">
            <w:pPr>
              <w:jc w:val="both"/>
              <w:rPr>
                <w:rStyle w:val="longtext"/>
                <w:rFonts w:ascii="Arial" w:hAnsi="Arial" w:cs="Arial"/>
                <w:b/>
                <w:i/>
                <w:noProof/>
                <w:sz w:val="20"/>
              </w:rPr>
            </w:pPr>
            <w:r w:rsidRPr="001B6075">
              <w:rPr>
                <w:rStyle w:val="longtext"/>
                <w:rFonts w:ascii="Arial" w:hAnsi="Arial" w:cs="Arial"/>
                <w:b/>
                <w:i/>
                <w:noProof/>
                <w:sz w:val="20"/>
              </w:rPr>
              <w:t>Още от ЕС и света</w:t>
            </w:r>
          </w:p>
        </w:tc>
        <w:tc>
          <w:tcPr>
            <w:tcW w:w="236" w:type="dxa"/>
          </w:tcPr>
          <w:p w14:paraId="6AF5F4E2" w14:textId="77777777" w:rsidR="001B1430" w:rsidRPr="001B6075" w:rsidRDefault="001B1430" w:rsidP="001B6075">
            <w:pPr>
              <w:jc w:val="both"/>
              <w:rPr>
                <w:rStyle w:val="longtext"/>
                <w:rFonts w:ascii="Arial" w:hAnsi="Arial" w:cs="Arial"/>
                <w:b/>
                <w:noProof/>
                <w:sz w:val="20"/>
              </w:rPr>
            </w:pPr>
          </w:p>
        </w:tc>
      </w:tr>
    </w:tbl>
    <w:p w14:paraId="0C061F81" w14:textId="77777777" w:rsidR="001B1430" w:rsidRPr="001B6075" w:rsidRDefault="001B1430" w:rsidP="001B60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14:paraId="61F34724" w14:textId="77777777" w:rsidR="004F2608" w:rsidRPr="001B6075" w:rsidRDefault="005E2229" w:rsidP="001B6075">
      <w:pPr>
        <w:jc w:val="both"/>
        <w:rPr>
          <w:rStyle w:val="Hyperlink"/>
          <w:rFonts w:ascii="Arial" w:hAnsi="Arial" w:cs="Arial"/>
          <w:noProof/>
          <w:sz w:val="20"/>
        </w:rPr>
      </w:pPr>
      <w:r w:rsidRPr="00C45C51">
        <w:rPr>
          <w:rStyle w:val="longtext"/>
          <w:rFonts w:ascii="Arial" w:hAnsi="Arial" w:cs="Arial"/>
          <w:b/>
          <w:noProof/>
          <w:sz w:val="20"/>
          <w:lang w:val="ru-RU"/>
        </w:rPr>
        <w:t>8</w:t>
      </w:r>
      <w:r w:rsidR="002A2BBE" w:rsidRPr="001B6075">
        <w:rPr>
          <w:rStyle w:val="longtext"/>
          <w:rFonts w:ascii="Arial" w:hAnsi="Arial" w:cs="Arial"/>
          <w:b/>
          <w:noProof/>
          <w:sz w:val="20"/>
        </w:rPr>
        <w:t>.</w:t>
      </w:r>
      <w:r w:rsidR="004F2608" w:rsidRPr="001B6075">
        <w:rPr>
          <w:rStyle w:val="longtext"/>
          <w:rFonts w:ascii="Arial" w:hAnsi="Arial" w:cs="Arial"/>
          <w:b/>
          <w:noProof/>
          <w:sz w:val="20"/>
        </w:rPr>
        <w:t xml:space="preserve"> </w:t>
      </w:r>
      <w:r w:rsidR="004F2608" w:rsidRPr="001B6075">
        <w:rPr>
          <w:rFonts w:ascii="Arial" w:hAnsi="Arial" w:cs="Arial"/>
          <w:b/>
          <w:noProof/>
          <w:sz w:val="20"/>
        </w:rPr>
        <w:t xml:space="preserve">Индустриализираното селско стопанство е отговорно за намаляването на насекомите в световен мащаб, според новия Атлас на насекомите за 2020 г., изготвен от европейски неправителствени организации. </w:t>
      </w:r>
      <w:r w:rsidR="004F2608" w:rsidRPr="001B6075">
        <w:rPr>
          <w:rFonts w:ascii="Arial" w:hAnsi="Arial" w:cs="Arial"/>
          <w:noProof/>
          <w:sz w:val="20"/>
        </w:rPr>
        <w:t xml:space="preserve">Докато отглеждането на 75% от най-важните култури зависи от опрашването, броят на насекомите в световен мащаб намалява, вследствие на индустриалното селско стопанство и значителната употреба на пестициди, </w:t>
      </w:r>
      <w:r w:rsidR="00CB5F66" w:rsidRPr="001B6075">
        <w:rPr>
          <w:rFonts w:ascii="Arial" w:hAnsi="Arial" w:cs="Arial"/>
          <w:noProof/>
          <w:sz w:val="20"/>
        </w:rPr>
        <w:t>се посочва в</w:t>
      </w:r>
      <w:r w:rsidR="004F2608" w:rsidRPr="001B6075">
        <w:rPr>
          <w:rFonts w:ascii="Arial" w:hAnsi="Arial" w:cs="Arial"/>
          <w:noProof/>
          <w:sz w:val="20"/>
        </w:rPr>
        <w:t xml:space="preserve"> Атлас на насекомите за 2020г. , публикуван на 9 юни от две неправителствени организации – фондация „Heinrich-Böll“ и „Приятели на земята“ (европейски офис). По-конкретно, докато се отбелязва спад на броя при 41% процента от видовете насекоми, 1/3 от видовете са заплашени от пълно изчезване. Под директна заплаха са опрашващите насекоми, които допринасят за 1/3 от световното производство на храни, като в Европа, в такава ситуация се намира поне един от десет вида пчели или пеперуди. За да бъдат спасени опрашващите насекоми, двете неправителствени организации считат, че Европейския</w:t>
      </w:r>
      <w:r w:rsidR="00CB5F66" w:rsidRPr="001B6075">
        <w:rPr>
          <w:rFonts w:ascii="Arial" w:hAnsi="Arial" w:cs="Arial"/>
          <w:noProof/>
          <w:sz w:val="20"/>
        </w:rPr>
        <w:t>т парламент и Съветът</w:t>
      </w:r>
      <w:r w:rsidR="004F2608" w:rsidRPr="001B6075">
        <w:rPr>
          <w:rFonts w:ascii="Arial" w:hAnsi="Arial" w:cs="Arial"/>
          <w:noProof/>
          <w:sz w:val="20"/>
        </w:rPr>
        <w:t xml:space="preserve"> на ЕС трябва да предприемат спешни действия, за да бъдат постигнати целите, които се предлагат в тази посока от европейската стратегия „От фермата до трапезата“. Предложенията на двете организации включват:  намаляване с 80% на употребата на синтетични пестициди в селското стопанство до 2030 г., като се осигури възможност за справедлив преход за фермерите; поне 50% от бюджета на ОСП след 2020 г. да бъде специално заделен за постигане на цели, свързани с околната </w:t>
      </w:r>
      <w:r w:rsidR="004F2608" w:rsidRPr="001B6075">
        <w:rPr>
          <w:rFonts w:ascii="Arial" w:hAnsi="Arial" w:cs="Arial"/>
          <w:noProof/>
          <w:sz w:val="20"/>
        </w:rPr>
        <w:lastRenderedPageBreak/>
        <w:t>среда, природата и климата, както и да се подпомогнат фермерите в преход към агро-екология; да бъдат постепенно преустановени селскостопански</w:t>
      </w:r>
      <w:r w:rsidR="00CB5F66" w:rsidRPr="001B6075">
        <w:rPr>
          <w:rFonts w:ascii="Arial" w:hAnsi="Arial" w:cs="Arial"/>
          <w:noProof/>
          <w:sz w:val="20"/>
        </w:rPr>
        <w:t>те</w:t>
      </w:r>
      <w:r w:rsidR="004F2608" w:rsidRPr="001B6075">
        <w:rPr>
          <w:rFonts w:ascii="Arial" w:hAnsi="Arial" w:cs="Arial"/>
          <w:noProof/>
          <w:sz w:val="20"/>
        </w:rPr>
        <w:t xml:space="preserve"> практики, които водят до увеличена употреба на пестициди (нап</w:t>
      </w:r>
      <w:r w:rsidR="00CB5F66" w:rsidRPr="001B6075">
        <w:rPr>
          <w:rFonts w:ascii="Arial" w:hAnsi="Arial" w:cs="Arial"/>
          <w:noProof/>
          <w:sz w:val="20"/>
        </w:rPr>
        <w:t xml:space="preserve">р. отглеждане на ГМО култури); </w:t>
      </w:r>
      <w:r w:rsidR="004F2608" w:rsidRPr="001B6075">
        <w:rPr>
          <w:rFonts w:ascii="Arial" w:hAnsi="Arial" w:cs="Arial"/>
          <w:noProof/>
          <w:sz w:val="20"/>
        </w:rPr>
        <w:t>опазване на горски</w:t>
      </w:r>
      <w:r w:rsidR="00CB5F66" w:rsidRPr="001B6075">
        <w:rPr>
          <w:rFonts w:ascii="Arial" w:hAnsi="Arial" w:cs="Arial"/>
          <w:noProof/>
          <w:sz w:val="20"/>
        </w:rPr>
        <w:t>те</w:t>
      </w:r>
      <w:r w:rsidR="004F2608" w:rsidRPr="001B6075">
        <w:rPr>
          <w:rFonts w:ascii="Arial" w:hAnsi="Arial" w:cs="Arial"/>
          <w:noProof/>
          <w:sz w:val="20"/>
        </w:rPr>
        <w:t xml:space="preserve"> площи, застрашени от обезлесяване</w:t>
      </w:r>
      <w:r w:rsidR="00CB5F66" w:rsidRPr="001B6075">
        <w:rPr>
          <w:rFonts w:ascii="Arial" w:hAnsi="Arial" w:cs="Arial"/>
          <w:noProof/>
          <w:sz w:val="20"/>
        </w:rPr>
        <w:t>,</w:t>
      </w:r>
      <w:r w:rsidR="004F2608" w:rsidRPr="001B6075">
        <w:rPr>
          <w:rFonts w:ascii="Arial" w:hAnsi="Arial" w:cs="Arial"/>
          <w:noProof/>
          <w:sz w:val="20"/>
        </w:rPr>
        <w:t xml:space="preserve"> с оглед осигуряване на обработваеми площи. Информация относно Атлас на насекомите за 2020г., може да намерите на следната връзка: </w:t>
      </w:r>
      <w:hyperlink r:id="rId10" w:history="1">
        <w:r w:rsidR="004F2608" w:rsidRPr="001B6075">
          <w:rPr>
            <w:rStyle w:val="Hyperlink"/>
            <w:rFonts w:ascii="Arial" w:hAnsi="Arial" w:cs="Arial"/>
            <w:noProof/>
            <w:sz w:val="20"/>
          </w:rPr>
          <w:t>https://www.boell.de/en/insectatlas</w:t>
        </w:r>
      </w:hyperlink>
      <w:r w:rsidR="00624C14" w:rsidRPr="001B6075">
        <w:rPr>
          <w:rStyle w:val="Hyperlink"/>
          <w:rFonts w:ascii="Arial" w:hAnsi="Arial" w:cs="Arial"/>
          <w:noProof/>
          <w:sz w:val="20"/>
        </w:rPr>
        <w:t>.</w:t>
      </w:r>
    </w:p>
    <w:p w14:paraId="4CFD2185" w14:textId="77777777" w:rsidR="00624C14" w:rsidRPr="001B6075" w:rsidRDefault="00624C14" w:rsidP="001B6075">
      <w:pPr>
        <w:jc w:val="both"/>
        <w:rPr>
          <w:rStyle w:val="Hyperlink"/>
          <w:rFonts w:ascii="Arial" w:hAnsi="Arial" w:cs="Arial"/>
          <w:noProof/>
          <w:sz w:val="20"/>
        </w:rPr>
      </w:pPr>
    </w:p>
    <w:p w14:paraId="25FBC54F" w14:textId="77777777" w:rsidR="00624C14" w:rsidRPr="001B6075" w:rsidRDefault="002A4692" w:rsidP="001B6075">
      <w:pPr>
        <w:shd w:val="clear" w:color="auto" w:fill="FFFFFF"/>
        <w:jc w:val="both"/>
        <w:rPr>
          <w:rFonts w:ascii="Arial" w:hAnsi="Arial" w:cs="Arial"/>
          <w:b/>
          <w:noProof/>
          <w:sz w:val="20"/>
        </w:rPr>
      </w:pPr>
      <w:r w:rsidRPr="00C45C51">
        <w:rPr>
          <w:rStyle w:val="longtext"/>
          <w:rFonts w:ascii="Arial" w:hAnsi="Arial" w:cs="Arial"/>
          <w:b/>
          <w:noProof/>
          <w:sz w:val="20"/>
          <w:lang w:val="ru-RU"/>
        </w:rPr>
        <w:t>9</w:t>
      </w:r>
      <w:r w:rsidR="00624C14" w:rsidRPr="001B6075">
        <w:rPr>
          <w:rStyle w:val="longtext"/>
          <w:rFonts w:ascii="Arial" w:hAnsi="Arial" w:cs="Arial"/>
          <w:b/>
          <w:noProof/>
          <w:sz w:val="20"/>
        </w:rPr>
        <w:t>.</w:t>
      </w:r>
      <w:r w:rsidR="00624C14" w:rsidRPr="001B6075">
        <w:rPr>
          <w:rFonts w:ascii="Arial" w:hAnsi="Arial" w:cs="Arial"/>
          <w:noProof/>
          <w:color w:val="000000"/>
          <w:sz w:val="20"/>
        </w:rPr>
        <w:t xml:space="preserve"> </w:t>
      </w:r>
      <w:r w:rsidR="00624C14" w:rsidRPr="001B6075">
        <w:rPr>
          <w:rFonts w:ascii="Arial" w:hAnsi="Arial" w:cs="Arial"/>
          <w:b/>
          <w:noProof/>
          <w:color w:val="000000"/>
          <w:sz w:val="20"/>
        </w:rPr>
        <w:t>Докладчиците в сянка на Комисията по околна среда, обществено здраве и безопасност на храните  (ENVI) са решили да се оттеглят от съвместна</w:t>
      </w:r>
      <w:r w:rsidR="00BA6827" w:rsidRPr="001B6075">
        <w:rPr>
          <w:rFonts w:ascii="Arial" w:hAnsi="Arial" w:cs="Arial"/>
          <w:b/>
          <w:noProof/>
          <w:color w:val="000000"/>
          <w:sz w:val="20"/>
        </w:rPr>
        <w:t>та</w:t>
      </w:r>
      <w:r w:rsidR="00624C14" w:rsidRPr="001B6075">
        <w:rPr>
          <w:rFonts w:ascii="Arial" w:hAnsi="Arial" w:cs="Arial"/>
          <w:b/>
          <w:noProof/>
          <w:color w:val="000000"/>
          <w:sz w:val="20"/>
        </w:rPr>
        <w:t xml:space="preserve"> работа с </w:t>
      </w:r>
      <w:r w:rsidR="00624C14" w:rsidRPr="001B6075">
        <w:rPr>
          <w:rFonts w:ascii="Arial" w:hAnsi="Arial" w:cs="Arial"/>
          <w:b/>
          <w:noProof/>
          <w:color w:val="1E1E1F"/>
          <w:sz w:val="20"/>
          <w:shd w:val="clear" w:color="auto" w:fill="FFFFFF"/>
        </w:rPr>
        <w:t>Комисията по земеделие и развитие на селските райони</w:t>
      </w:r>
      <w:r w:rsidR="00624C14" w:rsidRPr="001B6075">
        <w:rPr>
          <w:rFonts w:ascii="Arial" w:hAnsi="Arial" w:cs="Arial"/>
          <w:b/>
          <w:noProof/>
          <w:color w:val="000000"/>
          <w:sz w:val="20"/>
        </w:rPr>
        <w:t xml:space="preserve"> (AGRI)</w:t>
      </w:r>
      <w:r w:rsidR="00BA6827" w:rsidRPr="001B6075">
        <w:rPr>
          <w:rFonts w:ascii="Arial" w:hAnsi="Arial" w:cs="Arial"/>
          <w:b/>
          <w:noProof/>
          <w:color w:val="000000"/>
          <w:sz w:val="20"/>
        </w:rPr>
        <w:t xml:space="preserve"> по Р</w:t>
      </w:r>
      <w:r w:rsidR="00624C14" w:rsidRPr="001B6075">
        <w:rPr>
          <w:rFonts w:ascii="Arial" w:hAnsi="Arial" w:cs="Arial"/>
          <w:b/>
          <w:noProof/>
          <w:color w:val="000000"/>
          <w:sz w:val="20"/>
        </w:rPr>
        <w:t>егламента за стратегическите планове на ОСП, стана ясно на заседанието на координаторите на 11 юни, тъй като техните коментари не са били взети предвид.</w:t>
      </w:r>
      <w:r w:rsidR="00624C14" w:rsidRPr="001B6075">
        <w:rPr>
          <w:rFonts w:ascii="Arial" w:hAnsi="Arial" w:cs="Arial"/>
          <w:noProof/>
          <w:color w:val="000000"/>
          <w:sz w:val="20"/>
        </w:rPr>
        <w:t xml:space="preserve"> Според някои източници, изненадващият ход за напускане на преговори</w:t>
      </w:r>
      <w:r w:rsidR="00BA6827" w:rsidRPr="001B6075">
        <w:rPr>
          <w:rFonts w:ascii="Arial" w:hAnsi="Arial" w:cs="Arial"/>
          <w:noProof/>
          <w:color w:val="000000"/>
          <w:sz w:val="20"/>
        </w:rPr>
        <w:t>те</w:t>
      </w:r>
      <w:r w:rsidR="00624C14" w:rsidRPr="001B6075">
        <w:rPr>
          <w:rFonts w:ascii="Arial" w:hAnsi="Arial" w:cs="Arial"/>
          <w:noProof/>
          <w:color w:val="000000"/>
          <w:sz w:val="20"/>
        </w:rPr>
        <w:t xml:space="preserve">, където те имат "асоцииран статус", е бил подтикнат от групата на Европейския парламент </w:t>
      </w:r>
      <w:r w:rsidR="00624C14" w:rsidRPr="001B6075">
        <w:rPr>
          <w:rFonts w:ascii="Arial" w:hAnsi="Arial" w:cs="Arial"/>
          <w:bCs/>
          <w:noProof/>
          <w:color w:val="000000"/>
          <w:sz w:val="20"/>
        </w:rPr>
        <w:t>„Обнови Европа“</w:t>
      </w:r>
      <w:r w:rsidR="00624C14" w:rsidRPr="001B6075">
        <w:rPr>
          <w:rFonts w:ascii="Arial" w:hAnsi="Arial" w:cs="Arial"/>
          <w:noProof/>
          <w:color w:val="000000"/>
          <w:sz w:val="20"/>
        </w:rPr>
        <w:t xml:space="preserve"> (RE). Но членовете на </w:t>
      </w:r>
      <w:r w:rsidR="00BA6827" w:rsidRPr="001B6075">
        <w:rPr>
          <w:rFonts w:ascii="Arial" w:hAnsi="Arial" w:cs="Arial"/>
          <w:noProof/>
          <w:color w:val="000000"/>
          <w:sz w:val="20"/>
        </w:rPr>
        <w:t>Комисията по земеделие</w:t>
      </w:r>
      <w:r w:rsidR="00624C14" w:rsidRPr="001B6075">
        <w:rPr>
          <w:rFonts w:ascii="Arial" w:hAnsi="Arial" w:cs="Arial"/>
          <w:noProof/>
          <w:color w:val="000000"/>
          <w:sz w:val="20"/>
        </w:rPr>
        <w:t xml:space="preserve"> от </w:t>
      </w:r>
      <w:r w:rsidR="00BA6827" w:rsidRPr="001B6075">
        <w:rPr>
          <w:rFonts w:ascii="Arial" w:hAnsi="Arial" w:cs="Arial"/>
          <w:noProof/>
          <w:color w:val="000000"/>
          <w:sz w:val="20"/>
        </w:rPr>
        <w:t>„Обнови Европа“</w:t>
      </w:r>
      <w:r w:rsidR="00624C14" w:rsidRPr="001B6075">
        <w:rPr>
          <w:rFonts w:ascii="Arial" w:hAnsi="Arial" w:cs="Arial"/>
          <w:noProof/>
          <w:color w:val="000000"/>
          <w:sz w:val="20"/>
        </w:rPr>
        <w:t xml:space="preserve"> не са застанали срещу решението. Паскал Канфин (председател на ENVI), в послание до председателя на </w:t>
      </w:r>
      <w:r w:rsidR="00BA6827" w:rsidRPr="001B6075">
        <w:rPr>
          <w:rFonts w:ascii="Arial" w:hAnsi="Arial" w:cs="Arial"/>
          <w:noProof/>
          <w:color w:val="000000"/>
          <w:sz w:val="20"/>
        </w:rPr>
        <w:t>Комисията по земеделие</w:t>
      </w:r>
      <w:r w:rsidR="00624C14" w:rsidRPr="001B6075">
        <w:rPr>
          <w:rFonts w:ascii="Arial" w:hAnsi="Arial" w:cs="Arial"/>
          <w:noProof/>
          <w:color w:val="000000"/>
          <w:sz w:val="20"/>
        </w:rPr>
        <w:t xml:space="preserve"> Норберт Линс заявява</w:t>
      </w:r>
      <w:r w:rsidR="00BA6827" w:rsidRPr="001B6075">
        <w:rPr>
          <w:rFonts w:ascii="Arial" w:hAnsi="Arial" w:cs="Arial"/>
          <w:noProof/>
          <w:color w:val="000000"/>
          <w:sz w:val="20"/>
        </w:rPr>
        <w:t>,</w:t>
      </w:r>
      <w:r w:rsidR="00624C14" w:rsidRPr="001B6075">
        <w:rPr>
          <w:rFonts w:ascii="Arial" w:hAnsi="Arial" w:cs="Arial"/>
          <w:noProof/>
          <w:color w:val="000000"/>
          <w:sz w:val="20"/>
        </w:rPr>
        <w:t xml:space="preserve"> че колегите му от </w:t>
      </w:r>
      <w:r w:rsidR="00BA6827" w:rsidRPr="001B6075">
        <w:rPr>
          <w:rFonts w:ascii="Arial" w:hAnsi="Arial" w:cs="Arial"/>
          <w:noProof/>
          <w:color w:val="000000"/>
          <w:sz w:val="20"/>
        </w:rPr>
        <w:t>Комисията по околна среда</w:t>
      </w:r>
      <w:r w:rsidR="00624C14" w:rsidRPr="001B6075">
        <w:rPr>
          <w:rFonts w:ascii="Arial" w:hAnsi="Arial" w:cs="Arial"/>
          <w:noProof/>
          <w:color w:val="000000"/>
          <w:sz w:val="20"/>
        </w:rPr>
        <w:t xml:space="preserve"> „смятат, че разработването на компромисни изменения, особено по членовете, свързани със „Зелената архитектура“, трябва да бъде процес, ръководен единствено от политическите групировки.“ Последните „ще бъдат и тези, които внасят разработените компромисни изменения на пленарното заседание“. Канфин прикани Линс да „информира съответно екипа и службите за преговори на </w:t>
      </w:r>
      <w:r w:rsidR="004D2574" w:rsidRPr="001B6075">
        <w:rPr>
          <w:rFonts w:ascii="Arial" w:hAnsi="Arial" w:cs="Arial"/>
          <w:noProof/>
          <w:color w:val="000000"/>
          <w:sz w:val="20"/>
        </w:rPr>
        <w:t>Комисията по земеделие</w:t>
      </w:r>
      <w:r w:rsidR="00624C14" w:rsidRPr="001B6075">
        <w:rPr>
          <w:rFonts w:ascii="Arial" w:hAnsi="Arial" w:cs="Arial"/>
          <w:noProof/>
          <w:color w:val="000000"/>
          <w:sz w:val="20"/>
        </w:rPr>
        <w:t xml:space="preserve">, че настоящата работна структура ще бъде спряна, както на техническо, така и на политическо ниво, с незабавен ефект“. </w:t>
      </w:r>
      <w:r w:rsidR="004D2574" w:rsidRPr="001B6075">
        <w:rPr>
          <w:rFonts w:ascii="Arial" w:hAnsi="Arial" w:cs="Arial"/>
          <w:noProof/>
          <w:color w:val="000000"/>
          <w:sz w:val="20"/>
        </w:rPr>
        <w:t xml:space="preserve"> </w:t>
      </w:r>
      <w:r w:rsidR="00624C14" w:rsidRPr="001B6075">
        <w:rPr>
          <w:rFonts w:ascii="Arial" w:hAnsi="Arial" w:cs="Arial"/>
          <w:noProof/>
          <w:color w:val="000000"/>
          <w:sz w:val="20"/>
        </w:rPr>
        <w:t>Според координатор</w:t>
      </w:r>
      <w:r w:rsidR="004D2574" w:rsidRPr="001B6075">
        <w:rPr>
          <w:rFonts w:ascii="Arial" w:hAnsi="Arial" w:cs="Arial"/>
          <w:noProof/>
          <w:color w:val="000000"/>
          <w:sz w:val="20"/>
        </w:rPr>
        <w:t>а за Комисията по земеделие</w:t>
      </w:r>
      <w:r w:rsidR="00624C14" w:rsidRPr="001B6075">
        <w:rPr>
          <w:rFonts w:ascii="Arial" w:hAnsi="Arial" w:cs="Arial"/>
          <w:noProof/>
          <w:color w:val="000000"/>
          <w:sz w:val="20"/>
        </w:rPr>
        <w:t xml:space="preserve"> на групата на зелените и заместник-прeдседател на </w:t>
      </w:r>
      <w:r w:rsidR="004D2574" w:rsidRPr="001B6075">
        <w:rPr>
          <w:rFonts w:ascii="Arial" w:hAnsi="Arial" w:cs="Arial"/>
          <w:noProof/>
          <w:color w:val="000000"/>
          <w:sz w:val="20"/>
        </w:rPr>
        <w:t xml:space="preserve">Комисията по околна среда, </w:t>
      </w:r>
      <w:r w:rsidR="00624C14" w:rsidRPr="001B6075">
        <w:rPr>
          <w:rFonts w:ascii="Arial" w:hAnsi="Arial" w:cs="Arial"/>
          <w:noProof/>
          <w:color w:val="000000"/>
          <w:sz w:val="20"/>
        </w:rPr>
        <w:t>евродепутат</w:t>
      </w:r>
      <w:r w:rsidR="004D2574" w:rsidRPr="001B6075">
        <w:rPr>
          <w:rFonts w:ascii="Arial" w:hAnsi="Arial" w:cs="Arial"/>
          <w:noProof/>
          <w:color w:val="000000"/>
          <w:sz w:val="20"/>
        </w:rPr>
        <w:t>а</w:t>
      </w:r>
      <w:r w:rsidR="00624C14" w:rsidRPr="001B6075">
        <w:rPr>
          <w:rFonts w:ascii="Arial" w:hAnsi="Arial" w:cs="Arial"/>
          <w:noProof/>
          <w:color w:val="000000"/>
          <w:sz w:val="20"/>
        </w:rPr>
        <w:t xml:space="preserve"> Мартин Хойзлинг,  </w:t>
      </w:r>
      <w:r w:rsidR="004D2574" w:rsidRPr="001B6075">
        <w:rPr>
          <w:rFonts w:ascii="Arial" w:hAnsi="Arial" w:cs="Arial"/>
          <w:noProof/>
          <w:color w:val="000000"/>
          <w:sz w:val="20"/>
        </w:rPr>
        <w:t>Комисията по околна среда (ENVI)</w:t>
      </w:r>
      <w:r w:rsidR="00624C14" w:rsidRPr="001B6075">
        <w:rPr>
          <w:rFonts w:ascii="Arial" w:hAnsi="Arial" w:cs="Arial"/>
          <w:noProof/>
          <w:color w:val="000000"/>
          <w:sz w:val="20"/>
        </w:rPr>
        <w:t xml:space="preserve"> има право да прекрати разговорите със своите колеги по земеделие относно реформата на ОСП</w:t>
      </w:r>
      <w:r w:rsidR="004D2574" w:rsidRPr="001B6075">
        <w:rPr>
          <w:rFonts w:ascii="Arial" w:hAnsi="Arial" w:cs="Arial"/>
          <w:noProof/>
          <w:color w:val="000000"/>
          <w:sz w:val="20"/>
        </w:rPr>
        <w:t xml:space="preserve">, </w:t>
      </w:r>
      <w:r w:rsidR="00624C14" w:rsidRPr="001B6075">
        <w:rPr>
          <w:rFonts w:ascii="Arial" w:hAnsi="Arial" w:cs="Arial"/>
          <w:noProof/>
          <w:color w:val="000000"/>
          <w:sz w:val="20"/>
        </w:rPr>
        <w:t>тъй като предложението не отчита в достатъчна степен необходимостта от подобряване на биоразнообразието, климата и опазването на околната среда и хуманното отношение към животните при реформата на земеделската политика.</w:t>
      </w:r>
      <w:r w:rsidR="004D2574" w:rsidRPr="001B6075">
        <w:rPr>
          <w:rFonts w:ascii="Arial" w:hAnsi="Arial" w:cs="Arial"/>
          <w:noProof/>
          <w:color w:val="000000"/>
          <w:sz w:val="20"/>
        </w:rPr>
        <w:t xml:space="preserve"> </w:t>
      </w:r>
      <w:r w:rsidR="00624C14" w:rsidRPr="001B6075">
        <w:rPr>
          <w:rFonts w:ascii="Arial" w:hAnsi="Arial" w:cs="Arial"/>
          <w:noProof/>
          <w:color w:val="000000"/>
          <w:sz w:val="20"/>
        </w:rPr>
        <w:t xml:space="preserve">След решението на ENVI да прекрати преговорите с AGRI, Парламентът ще трябва да вземе решение по тези важни въпроси. Докато някои членове на </w:t>
      </w:r>
      <w:r w:rsidR="004D2574" w:rsidRPr="001B6075">
        <w:rPr>
          <w:rFonts w:ascii="Arial" w:hAnsi="Arial" w:cs="Arial"/>
          <w:noProof/>
          <w:color w:val="000000"/>
          <w:sz w:val="20"/>
        </w:rPr>
        <w:t xml:space="preserve">Комисията по земеделие </w:t>
      </w:r>
      <w:r w:rsidR="00624C14" w:rsidRPr="001B6075">
        <w:rPr>
          <w:rFonts w:ascii="Arial" w:hAnsi="Arial" w:cs="Arial"/>
          <w:noProof/>
          <w:color w:val="000000"/>
          <w:sz w:val="20"/>
        </w:rPr>
        <w:t xml:space="preserve">се придържат към обичайния подход „бизнес като всеки друг бизнес“, по-напредничавата  позиция на членовете на ЕП от </w:t>
      </w:r>
      <w:r w:rsidR="004D2574" w:rsidRPr="001B6075">
        <w:rPr>
          <w:rFonts w:ascii="Arial" w:hAnsi="Arial" w:cs="Arial"/>
          <w:noProof/>
          <w:color w:val="000000"/>
          <w:sz w:val="20"/>
        </w:rPr>
        <w:t>Комисията по околна среда</w:t>
      </w:r>
      <w:r w:rsidR="00624C14" w:rsidRPr="001B6075">
        <w:rPr>
          <w:rFonts w:ascii="Arial" w:hAnsi="Arial" w:cs="Arial"/>
          <w:noProof/>
          <w:color w:val="000000"/>
          <w:sz w:val="20"/>
        </w:rPr>
        <w:t xml:space="preserve"> беше „до голяма степен игнорирана“, заяви Хойзлинг. Мненията на </w:t>
      </w:r>
      <w:r w:rsidR="004D2574" w:rsidRPr="001B6075">
        <w:rPr>
          <w:rFonts w:ascii="Arial" w:hAnsi="Arial" w:cs="Arial"/>
          <w:noProof/>
          <w:color w:val="000000"/>
          <w:sz w:val="20"/>
        </w:rPr>
        <w:t>Комисията по околна среда</w:t>
      </w:r>
      <w:r w:rsidR="00624C14" w:rsidRPr="001B6075">
        <w:rPr>
          <w:rFonts w:ascii="Arial" w:hAnsi="Arial" w:cs="Arial"/>
          <w:noProof/>
          <w:color w:val="000000"/>
          <w:sz w:val="20"/>
        </w:rPr>
        <w:t xml:space="preserve"> вече могат да бъдат гласувани едно по едно на пленарно заседание, посочи той, като това дава шанс на всички членове на ЕП да се изкажат в подкрепа на по-силна защита на околната среда. В същото време никой евродепутат няма да може да се скрие зад политиците, специализирани в селското стопанство и да твърд</w:t>
      </w:r>
      <w:r w:rsidR="009C5FCB" w:rsidRPr="001B6075">
        <w:rPr>
          <w:rFonts w:ascii="Arial" w:hAnsi="Arial" w:cs="Arial"/>
          <w:noProof/>
          <w:color w:val="000000"/>
          <w:sz w:val="20"/>
        </w:rPr>
        <w:t>и</w:t>
      </w:r>
      <w:r w:rsidR="00624C14" w:rsidRPr="001B6075">
        <w:rPr>
          <w:rFonts w:ascii="Arial" w:hAnsi="Arial" w:cs="Arial"/>
          <w:noProof/>
          <w:color w:val="000000"/>
          <w:sz w:val="20"/>
        </w:rPr>
        <w:t xml:space="preserve">, че няма влияние върху засилването на опазването на околната среда </w:t>
      </w:r>
      <w:r w:rsidR="009C5FCB" w:rsidRPr="001B6075">
        <w:rPr>
          <w:rFonts w:ascii="Arial" w:hAnsi="Arial" w:cs="Arial"/>
          <w:noProof/>
          <w:color w:val="000000"/>
          <w:sz w:val="20"/>
        </w:rPr>
        <w:t>по</w:t>
      </w:r>
      <w:r w:rsidR="00624C14" w:rsidRPr="001B6075">
        <w:rPr>
          <w:rFonts w:ascii="Arial" w:hAnsi="Arial" w:cs="Arial"/>
          <w:noProof/>
          <w:color w:val="000000"/>
          <w:sz w:val="20"/>
        </w:rPr>
        <w:t xml:space="preserve"> ОСП. Хойслинг обвини "социалдемократите и либералите", че са предизвикали прекъсването в разговорите между двете комисии, поради "напълно различните позиции относно бъдещата селскостопанска политика" в техните политически групи.</w:t>
      </w:r>
    </w:p>
    <w:p w14:paraId="46CD20F2" w14:textId="77777777" w:rsidR="002A2BBE" w:rsidRPr="001B6075" w:rsidRDefault="002A2BBE" w:rsidP="001B60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14:paraId="4675B510" w14:textId="77777777" w:rsidR="001B1430" w:rsidRPr="001B6075" w:rsidRDefault="001173C3" w:rsidP="001B6075">
      <w:pPr>
        <w:jc w:val="center"/>
        <w:rPr>
          <w:rStyle w:val="longtext"/>
          <w:rFonts w:ascii="Arial" w:hAnsi="Arial" w:cs="Arial"/>
          <w:noProof/>
          <w:sz w:val="20"/>
        </w:rPr>
      </w:pPr>
      <w:r w:rsidRPr="001B6075">
        <w:rPr>
          <w:rStyle w:val="longtext"/>
          <w:rFonts w:ascii="Arial" w:hAnsi="Arial" w:cs="Arial"/>
          <w:b/>
          <w:noProof/>
          <w:sz w:val="20"/>
        </w:rPr>
        <w:tab/>
      </w:r>
      <w:r w:rsidRPr="001B6075">
        <w:rPr>
          <w:rStyle w:val="longtext"/>
          <w:rFonts w:ascii="Arial" w:hAnsi="Arial" w:cs="Arial"/>
          <w:b/>
          <w:noProof/>
          <w:sz w:val="20"/>
        </w:rPr>
        <w:tab/>
      </w:r>
      <w:r w:rsidRPr="001B6075">
        <w:rPr>
          <w:rStyle w:val="longtext"/>
          <w:rFonts w:ascii="Arial" w:hAnsi="Arial" w:cs="Arial"/>
          <w:b/>
          <w:noProof/>
          <w:sz w:val="20"/>
        </w:rPr>
        <w:tab/>
      </w:r>
      <w:r w:rsidRPr="001B6075">
        <w:rPr>
          <w:rStyle w:val="longtext"/>
          <w:rFonts w:ascii="Arial" w:hAnsi="Arial" w:cs="Arial"/>
          <w:b/>
          <w:noProof/>
          <w:sz w:val="20"/>
        </w:rPr>
        <w:tab/>
      </w:r>
    </w:p>
    <w:p w14:paraId="2CAFF5CA" w14:textId="77777777" w:rsidR="0001496E" w:rsidRPr="001B6075" w:rsidRDefault="0001496E" w:rsidP="001B6075">
      <w:pPr>
        <w:jc w:val="both"/>
        <w:rPr>
          <w:rStyle w:val="longtext"/>
          <w:rFonts w:ascii="Arial" w:hAnsi="Arial" w:cs="Arial"/>
          <w:noProof/>
          <w:sz w:val="20"/>
        </w:rPr>
      </w:pPr>
    </w:p>
    <w:p w14:paraId="75750B17" w14:textId="77777777" w:rsidR="005E236E" w:rsidRPr="00C45C51" w:rsidRDefault="005E236E" w:rsidP="001B6075">
      <w:pPr>
        <w:jc w:val="both"/>
        <w:rPr>
          <w:rStyle w:val="longtext"/>
          <w:rFonts w:ascii="Arial" w:hAnsi="Arial" w:cs="Arial"/>
          <w:noProof/>
          <w:sz w:val="20"/>
          <w:lang w:val="ru-RU"/>
        </w:rPr>
      </w:pPr>
    </w:p>
    <w:p w14:paraId="263760DA" w14:textId="77777777" w:rsidR="002A4692" w:rsidRPr="00C45C51" w:rsidRDefault="002A4692" w:rsidP="001B6075">
      <w:pPr>
        <w:jc w:val="both"/>
        <w:rPr>
          <w:rStyle w:val="longtext"/>
          <w:rFonts w:ascii="Arial" w:hAnsi="Arial" w:cs="Arial"/>
          <w:noProof/>
          <w:sz w:val="20"/>
          <w:lang w:val="ru-RU"/>
        </w:rPr>
      </w:pPr>
    </w:p>
    <w:p w14:paraId="358B4976" w14:textId="77777777" w:rsidR="002A4692" w:rsidRPr="00C45C51" w:rsidRDefault="002A4692" w:rsidP="001B6075">
      <w:pPr>
        <w:jc w:val="both"/>
        <w:rPr>
          <w:rStyle w:val="longtext"/>
          <w:rFonts w:ascii="Arial" w:hAnsi="Arial" w:cs="Arial"/>
          <w:noProof/>
          <w:sz w:val="20"/>
          <w:lang w:val="ru-RU"/>
        </w:rPr>
      </w:pPr>
    </w:p>
    <w:p w14:paraId="3B8E0B89" w14:textId="77777777" w:rsidR="002A4692" w:rsidRPr="00C45C51" w:rsidRDefault="002A4692" w:rsidP="001B6075">
      <w:pPr>
        <w:jc w:val="both"/>
        <w:rPr>
          <w:rStyle w:val="longtext"/>
          <w:rFonts w:ascii="Arial" w:hAnsi="Arial" w:cs="Arial"/>
          <w:noProof/>
          <w:sz w:val="20"/>
          <w:lang w:val="ru-RU"/>
        </w:rPr>
      </w:pPr>
    </w:p>
    <w:p w14:paraId="535D4E2D" w14:textId="77777777" w:rsidR="002A4692" w:rsidRPr="00C45C51" w:rsidRDefault="002A4692" w:rsidP="001B6075">
      <w:pPr>
        <w:jc w:val="both"/>
        <w:rPr>
          <w:rStyle w:val="longtext"/>
          <w:rFonts w:ascii="Arial" w:hAnsi="Arial" w:cs="Arial"/>
          <w:noProof/>
          <w:sz w:val="20"/>
          <w:lang w:val="ru-RU"/>
        </w:rPr>
      </w:pPr>
    </w:p>
    <w:p w14:paraId="3D8CF229" w14:textId="77777777" w:rsidR="002A4692" w:rsidRPr="00C45C51" w:rsidRDefault="002A4692" w:rsidP="001B6075">
      <w:pPr>
        <w:jc w:val="both"/>
        <w:rPr>
          <w:rStyle w:val="longtext"/>
          <w:rFonts w:ascii="Arial" w:hAnsi="Arial" w:cs="Arial"/>
          <w:noProof/>
          <w:sz w:val="20"/>
          <w:lang w:val="ru-RU"/>
        </w:rPr>
      </w:pPr>
    </w:p>
    <w:p w14:paraId="6332D241" w14:textId="77777777" w:rsidR="002A4692" w:rsidRPr="00C45C51" w:rsidRDefault="002A4692" w:rsidP="001B6075">
      <w:pPr>
        <w:jc w:val="both"/>
        <w:rPr>
          <w:rStyle w:val="longtext"/>
          <w:rFonts w:ascii="Arial" w:hAnsi="Arial" w:cs="Arial"/>
          <w:noProof/>
          <w:sz w:val="20"/>
          <w:lang w:val="ru-RU"/>
        </w:rPr>
      </w:pPr>
    </w:p>
    <w:p w14:paraId="2FB8ECC5" w14:textId="77777777" w:rsidR="002A4692" w:rsidRPr="00C45C51" w:rsidRDefault="002A4692" w:rsidP="001B6075">
      <w:pPr>
        <w:jc w:val="both"/>
        <w:rPr>
          <w:rStyle w:val="longtext"/>
          <w:rFonts w:ascii="Arial" w:hAnsi="Arial" w:cs="Arial"/>
          <w:noProof/>
          <w:sz w:val="20"/>
          <w:lang w:val="ru-RU"/>
        </w:rPr>
      </w:pPr>
    </w:p>
    <w:p w14:paraId="645FFD48" w14:textId="77777777" w:rsidR="005E236E" w:rsidRPr="00C45C51" w:rsidRDefault="005E236E" w:rsidP="001B6075">
      <w:pPr>
        <w:jc w:val="both"/>
        <w:rPr>
          <w:rStyle w:val="longtext"/>
          <w:rFonts w:ascii="Arial" w:hAnsi="Arial" w:cs="Arial"/>
          <w:noProof/>
          <w:sz w:val="20"/>
          <w:lang w:val="ru-RU"/>
        </w:rPr>
      </w:pPr>
    </w:p>
    <w:p w14:paraId="5184AA71" w14:textId="77777777" w:rsidR="002A4692" w:rsidRPr="00C45C51" w:rsidRDefault="002A4692" w:rsidP="001B6075">
      <w:pPr>
        <w:jc w:val="both"/>
        <w:rPr>
          <w:rStyle w:val="longtext"/>
          <w:rFonts w:ascii="Arial" w:hAnsi="Arial" w:cs="Arial"/>
          <w:noProof/>
          <w:sz w:val="20"/>
          <w:lang w:val="ru-RU"/>
        </w:rPr>
      </w:pPr>
    </w:p>
    <w:p w14:paraId="698B917B" w14:textId="77777777" w:rsidR="002A4692" w:rsidRPr="00C45C51" w:rsidRDefault="002A4692" w:rsidP="001B6075">
      <w:pPr>
        <w:jc w:val="both"/>
        <w:rPr>
          <w:rStyle w:val="longtext"/>
          <w:rFonts w:ascii="Arial" w:hAnsi="Arial" w:cs="Arial"/>
          <w:noProof/>
          <w:sz w:val="20"/>
          <w:lang w:val="ru-RU"/>
        </w:rPr>
      </w:pPr>
    </w:p>
    <w:p w14:paraId="2A59131F" w14:textId="77777777" w:rsidR="00F671A9" w:rsidRDefault="00F671A9" w:rsidP="001B6075">
      <w:pPr>
        <w:jc w:val="both"/>
        <w:rPr>
          <w:rStyle w:val="longtext"/>
          <w:rFonts w:ascii="Arial" w:hAnsi="Arial" w:cs="Arial"/>
          <w:noProof/>
          <w:sz w:val="20"/>
        </w:rPr>
      </w:pPr>
    </w:p>
    <w:p w14:paraId="363F5445" w14:textId="77777777" w:rsidR="007578F8" w:rsidRPr="001B6075" w:rsidRDefault="007578F8" w:rsidP="001B6075">
      <w:pPr>
        <w:jc w:val="both"/>
        <w:rPr>
          <w:rStyle w:val="longtext"/>
          <w:rFonts w:ascii="Arial" w:hAnsi="Arial" w:cs="Arial"/>
          <w:noProof/>
          <w:sz w:val="20"/>
        </w:rPr>
      </w:pPr>
    </w:p>
    <w:p w14:paraId="3690A3E6" w14:textId="77777777" w:rsidR="00F671A9" w:rsidRPr="001B6075" w:rsidRDefault="00F671A9" w:rsidP="001B6075">
      <w:pPr>
        <w:jc w:val="both"/>
        <w:rPr>
          <w:rStyle w:val="longtext"/>
          <w:rFonts w:ascii="Arial" w:hAnsi="Arial" w:cs="Arial"/>
          <w:noProof/>
          <w:sz w:val="20"/>
        </w:rPr>
      </w:pPr>
    </w:p>
    <w:p w14:paraId="65EC774F" w14:textId="77777777" w:rsidR="00F671A9" w:rsidRPr="001B6075" w:rsidRDefault="00F671A9" w:rsidP="001B6075">
      <w:pPr>
        <w:jc w:val="both"/>
        <w:rPr>
          <w:rStyle w:val="longtext"/>
          <w:rFonts w:ascii="Arial" w:hAnsi="Arial" w:cs="Arial"/>
          <w:noProof/>
          <w:sz w:val="20"/>
        </w:rPr>
      </w:pPr>
    </w:p>
    <w:p w14:paraId="3BA9F9DA" w14:textId="77777777" w:rsidR="00F671A9" w:rsidRPr="001B6075" w:rsidRDefault="00F671A9" w:rsidP="001B6075">
      <w:pPr>
        <w:jc w:val="both"/>
        <w:rPr>
          <w:rStyle w:val="longtext"/>
          <w:rFonts w:ascii="Arial" w:hAnsi="Arial" w:cs="Arial"/>
          <w:noProof/>
          <w:sz w:val="20"/>
        </w:rPr>
      </w:pPr>
    </w:p>
    <w:p w14:paraId="02E2E61C" w14:textId="77777777" w:rsidR="002A4692" w:rsidRPr="00C45C51" w:rsidRDefault="002A4692" w:rsidP="001B6075">
      <w:pPr>
        <w:ind w:left="7920"/>
        <w:jc w:val="both"/>
        <w:rPr>
          <w:rFonts w:ascii="Arial" w:hAnsi="Arial" w:cs="Arial"/>
          <w:b/>
          <w:i/>
          <w:noProof/>
          <w:sz w:val="20"/>
          <w:lang w:val="ru-RU"/>
        </w:rPr>
      </w:pPr>
    </w:p>
    <w:p w14:paraId="55A25F57" w14:textId="77777777" w:rsidR="002204F2" w:rsidRDefault="002204F2" w:rsidP="001B6075">
      <w:pPr>
        <w:ind w:left="7920"/>
        <w:jc w:val="both"/>
        <w:rPr>
          <w:rFonts w:ascii="Arial" w:hAnsi="Arial" w:cs="Arial"/>
          <w:b/>
          <w:i/>
          <w:noProof/>
          <w:sz w:val="20"/>
        </w:rPr>
      </w:pPr>
    </w:p>
    <w:p w14:paraId="51307C07" w14:textId="77777777" w:rsidR="005E236E" w:rsidRPr="00C45C51" w:rsidRDefault="005E236E" w:rsidP="001B6075">
      <w:pPr>
        <w:ind w:left="7920"/>
        <w:jc w:val="both"/>
        <w:rPr>
          <w:rFonts w:ascii="Arial" w:hAnsi="Arial" w:cs="Arial"/>
          <w:b/>
          <w:i/>
          <w:noProof/>
          <w:sz w:val="20"/>
          <w:lang w:val="ru-RU"/>
        </w:rPr>
      </w:pPr>
      <w:r w:rsidRPr="001B6075">
        <w:rPr>
          <w:rFonts w:ascii="Arial" w:hAnsi="Arial" w:cs="Arial"/>
          <w:b/>
          <w:i/>
          <w:noProof/>
          <w:sz w:val="20"/>
        </w:rPr>
        <w:t>Приложение 1</w:t>
      </w:r>
    </w:p>
    <w:p w14:paraId="4C12E6D8" w14:textId="77777777" w:rsidR="000D6813" w:rsidRPr="001B6075" w:rsidRDefault="000D6813" w:rsidP="001B6075">
      <w:pPr>
        <w:jc w:val="both"/>
        <w:rPr>
          <w:rFonts w:ascii="Arial" w:hAnsi="Arial" w:cs="Arial"/>
          <w:b/>
          <w:noProof/>
          <w:sz w:val="20"/>
        </w:rPr>
      </w:pPr>
    </w:p>
    <w:p w14:paraId="0C2EBF31" w14:textId="77777777" w:rsidR="000D6813" w:rsidRPr="001B6075" w:rsidRDefault="000D6813" w:rsidP="001B6075">
      <w:pPr>
        <w:jc w:val="center"/>
        <w:rPr>
          <w:rFonts w:ascii="Arial" w:hAnsi="Arial" w:cs="Arial"/>
          <w:i/>
          <w:noProof/>
          <w:sz w:val="20"/>
        </w:rPr>
      </w:pPr>
      <w:r w:rsidRPr="001B6075">
        <w:rPr>
          <w:rFonts w:ascii="Arial" w:hAnsi="Arial" w:cs="Arial"/>
          <w:b/>
          <w:noProof/>
          <w:sz w:val="20"/>
        </w:rPr>
        <w:t>О</w:t>
      </w:r>
      <w:r w:rsidRPr="00C45C51">
        <w:rPr>
          <w:rFonts w:ascii="Arial" w:hAnsi="Arial" w:cs="Arial"/>
          <w:b/>
          <w:noProof/>
          <w:sz w:val="20"/>
          <w:lang w:val="ru-RU"/>
        </w:rPr>
        <w:t xml:space="preserve">бмен </w:t>
      </w:r>
      <w:r w:rsidRPr="001B6075">
        <w:rPr>
          <w:rFonts w:ascii="Arial" w:hAnsi="Arial" w:cs="Arial"/>
          <w:b/>
          <w:noProof/>
          <w:sz w:val="20"/>
        </w:rPr>
        <w:t xml:space="preserve">на </w:t>
      </w:r>
      <w:r w:rsidRPr="00C45C51">
        <w:rPr>
          <w:rFonts w:ascii="Arial" w:hAnsi="Arial" w:cs="Arial"/>
          <w:b/>
          <w:noProof/>
          <w:sz w:val="20"/>
          <w:lang w:val="ru-RU"/>
        </w:rPr>
        <w:t xml:space="preserve">мнения </w:t>
      </w:r>
      <w:r w:rsidRPr="001B6075">
        <w:rPr>
          <w:rFonts w:ascii="Arial" w:hAnsi="Arial" w:cs="Arial"/>
          <w:b/>
          <w:noProof/>
          <w:sz w:val="20"/>
        </w:rPr>
        <w:t xml:space="preserve">на видеоконферента среща на високо ниво на 8 юни </w:t>
      </w:r>
      <w:r w:rsidRPr="00C45C51">
        <w:rPr>
          <w:rFonts w:ascii="Arial" w:hAnsi="Arial" w:cs="Arial"/>
          <w:b/>
          <w:noProof/>
          <w:sz w:val="20"/>
          <w:lang w:val="ru-RU"/>
        </w:rPr>
        <w:t>относно Стратегията „От фермата до трапезата“ и Стратегията за биологичното разнообразие</w:t>
      </w:r>
    </w:p>
    <w:p w14:paraId="786982A7" w14:textId="77777777" w:rsidR="000D6813" w:rsidRPr="001B6075" w:rsidRDefault="000D6813" w:rsidP="001B6075">
      <w:pPr>
        <w:jc w:val="both"/>
        <w:rPr>
          <w:rFonts w:ascii="Arial" w:hAnsi="Arial" w:cs="Arial"/>
          <w:noProof/>
          <w:sz w:val="20"/>
        </w:rPr>
      </w:pPr>
    </w:p>
    <w:p w14:paraId="02C6484B" w14:textId="2181BDA6" w:rsidR="000D6813" w:rsidRDefault="00374D6A" w:rsidP="00C45C51">
      <w:pPr>
        <w:spacing w:after="120"/>
        <w:jc w:val="both"/>
        <w:rPr>
          <w:rFonts w:ascii="Arial" w:eastAsia="Calibri" w:hAnsi="Arial" w:cs="Arial"/>
          <w:noProof/>
          <w:sz w:val="20"/>
        </w:rPr>
      </w:pPr>
      <w:r w:rsidRPr="001B6075">
        <w:rPr>
          <w:rFonts w:ascii="Arial" w:eastAsia="Calibri" w:hAnsi="Arial" w:cs="Arial"/>
          <w:noProof/>
          <w:sz w:val="20"/>
        </w:rPr>
        <w:t>Хърватското председателство откри видеоконферентната среща, като в своето слово министърът на земедел</w:t>
      </w:r>
      <w:r w:rsidR="009B62F0">
        <w:rPr>
          <w:rFonts w:ascii="Arial" w:eastAsia="Calibri" w:hAnsi="Arial" w:cs="Arial"/>
          <w:noProof/>
          <w:sz w:val="20"/>
        </w:rPr>
        <w:t>ието Мария Вучкович отбеляза,че във фокуса на обсъждането са</w:t>
      </w:r>
      <w:r w:rsidRPr="001B6075">
        <w:rPr>
          <w:rFonts w:ascii="Arial" w:eastAsia="Calibri" w:hAnsi="Arial" w:cs="Arial"/>
          <w:noProof/>
          <w:sz w:val="20"/>
        </w:rPr>
        <w:t xml:space="preserve"> двете стратегии „От Фермата до трапезата“ и </w:t>
      </w:r>
      <w:r w:rsidR="006D0175">
        <w:rPr>
          <w:rFonts w:ascii="Arial" w:eastAsia="Calibri" w:hAnsi="Arial" w:cs="Arial"/>
          <w:noProof/>
          <w:sz w:val="20"/>
        </w:rPr>
        <w:t xml:space="preserve">за </w:t>
      </w:r>
      <w:r w:rsidRPr="001B6075">
        <w:rPr>
          <w:rFonts w:ascii="Arial" w:eastAsia="Calibri" w:hAnsi="Arial" w:cs="Arial"/>
          <w:noProof/>
          <w:sz w:val="20"/>
        </w:rPr>
        <w:t>биологичното разнообразие, публикувани от Комисията на 20 май. Двата документа включват значителни промени и изискват действия през следващото десетилетие. Стратегията „От Фермата до трапезата“ надгражда подхода, по който се произвежда храна и дава възможност на потребителите да правят информиран избор. Борбата с измамите с храни и намаляваване</w:t>
      </w:r>
      <w:r w:rsidR="004A175F">
        <w:rPr>
          <w:rFonts w:ascii="Arial" w:eastAsia="Calibri" w:hAnsi="Arial" w:cs="Arial"/>
          <w:noProof/>
          <w:sz w:val="20"/>
        </w:rPr>
        <w:t>то</w:t>
      </w:r>
      <w:r w:rsidRPr="001B6075">
        <w:rPr>
          <w:rFonts w:ascii="Arial" w:eastAsia="Calibri" w:hAnsi="Arial" w:cs="Arial"/>
          <w:noProof/>
          <w:sz w:val="20"/>
        </w:rPr>
        <w:t xml:space="preserve"> на </w:t>
      </w:r>
      <w:r w:rsidR="004A175F">
        <w:rPr>
          <w:rFonts w:ascii="Arial" w:eastAsia="Calibri" w:hAnsi="Arial" w:cs="Arial"/>
          <w:noProof/>
          <w:sz w:val="20"/>
        </w:rPr>
        <w:t xml:space="preserve">хранителните </w:t>
      </w:r>
      <w:r w:rsidRPr="001B6075">
        <w:rPr>
          <w:rFonts w:ascii="Arial" w:eastAsia="Calibri" w:hAnsi="Arial" w:cs="Arial"/>
          <w:noProof/>
          <w:sz w:val="20"/>
        </w:rPr>
        <w:t xml:space="preserve">отпадъци са също </w:t>
      </w:r>
      <w:r w:rsidR="004A175F">
        <w:rPr>
          <w:rFonts w:ascii="Arial" w:eastAsia="Calibri" w:hAnsi="Arial" w:cs="Arial"/>
          <w:noProof/>
          <w:sz w:val="20"/>
        </w:rPr>
        <w:t>основни теми на</w:t>
      </w:r>
      <w:r w:rsidRPr="001B6075">
        <w:rPr>
          <w:rFonts w:ascii="Arial" w:eastAsia="Calibri" w:hAnsi="Arial" w:cs="Arial"/>
          <w:noProof/>
          <w:sz w:val="20"/>
        </w:rPr>
        <w:t xml:space="preserve"> стратегията. </w:t>
      </w:r>
      <w:r w:rsidR="004A175F">
        <w:rPr>
          <w:rFonts w:ascii="Arial" w:eastAsia="Calibri" w:hAnsi="Arial" w:cs="Arial"/>
          <w:noProof/>
          <w:sz w:val="20"/>
        </w:rPr>
        <w:t>С</w:t>
      </w:r>
      <w:r w:rsidRPr="001B6075">
        <w:rPr>
          <w:rFonts w:ascii="Arial" w:eastAsia="Calibri" w:hAnsi="Arial" w:cs="Arial"/>
          <w:noProof/>
          <w:sz w:val="20"/>
        </w:rPr>
        <w:t xml:space="preserve">ъдържат </w:t>
      </w:r>
      <w:r w:rsidR="004A175F">
        <w:rPr>
          <w:rFonts w:ascii="Arial" w:eastAsia="Calibri" w:hAnsi="Arial" w:cs="Arial"/>
          <w:noProof/>
          <w:sz w:val="20"/>
        </w:rPr>
        <w:t xml:space="preserve">се и </w:t>
      </w:r>
      <w:r w:rsidRPr="001B6075">
        <w:rPr>
          <w:rFonts w:ascii="Arial" w:eastAsia="Calibri" w:hAnsi="Arial" w:cs="Arial"/>
          <w:noProof/>
          <w:sz w:val="20"/>
        </w:rPr>
        <w:t xml:space="preserve">конкретни цели за намаляване на употребата на пестициди, антимикробни средства и торове. „Биологичното земеделие трябва да бъде засилено“, подчерта Мария Вучкович, а „хуманното отношение към животните трябва да се подобри на всички етапи на производстводство“. </w:t>
      </w:r>
      <w:r w:rsidR="000D6813" w:rsidRPr="001B6075">
        <w:rPr>
          <w:rFonts w:ascii="Arial" w:eastAsia="Calibri" w:hAnsi="Arial" w:cs="Arial"/>
          <w:noProof/>
          <w:sz w:val="20"/>
        </w:rPr>
        <w:t xml:space="preserve">Министрите на земеделието на ЕС като цяло приветстваха двете стратегии, но </w:t>
      </w:r>
      <w:r w:rsidR="00DA5DC0" w:rsidRPr="001B6075">
        <w:rPr>
          <w:rFonts w:ascii="Arial" w:eastAsia="Calibri" w:hAnsi="Arial" w:cs="Arial"/>
          <w:noProof/>
          <w:sz w:val="20"/>
        </w:rPr>
        <w:t xml:space="preserve">много от тях поискаха  </w:t>
      </w:r>
      <w:r w:rsidR="000D6813" w:rsidRPr="001B6075">
        <w:rPr>
          <w:rFonts w:ascii="Arial" w:eastAsia="Calibri" w:hAnsi="Arial" w:cs="Arial"/>
          <w:noProof/>
          <w:sz w:val="20"/>
        </w:rPr>
        <w:t xml:space="preserve">подробна оценка на въздействието. Редица министри изразиха опасения относно вноса на селскостопански храни от трети държави, с по-ниски стандарти и настояха, че целите трябва да вземат предвид това, което отделните държави-членки вече са постигнали. </w:t>
      </w:r>
      <w:r w:rsidR="006851E5" w:rsidRPr="001B6075">
        <w:rPr>
          <w:rFonts w:ascii="Arial" w:eastAsia="Calibri" w:hAnsi="Arial" w:cs="Arial"/>
          <w:noProof/>
          <w:sz w:val="20"/>
        </w:rPr>
        <w:t>Много министри</w:t>
      </w:r>
      <w:r w:rsidR="000D6813" w:rsidRPr="001B6075">
        <w:rPr>
          <w:rFonts w:ascii="Arial" w:eastAsia="Calibri" w:hAnsi="Arial" w:cs="Arial"/>
          <w:noProof/>
          <w:sz w:val="20"/>
        </w:rPr>
        <w:t xml:space="preserve"> поискаха да се увеличат средства</w:t>
      </w:r>
      <w:r w:rsidR="004A175F">
        <w:rPr>
          <w:rFonts w:ascii="Arial" w:eastAsia="Calibri" w:hAnsi="Arial" w:cs="Arial"/>
          <w:noProof/>
          <w:sz w:val="20"/>
        </w:rPr>
        <w:t>та</w:t>
      </w:r>
      <w:r w:rsidR="000D6813" w:rsidRPr="001B6075">
        <w:rPr>
          <w:rFonts w:ascii="Arial" w:eastAsia="Calibri" w:hAnsi="Arial" w:cs="Arial"/>
          <w:noProof/>
          <w:sz w:val="20"/>
        </w:rPr>
        <w:t xml:space="preserve"> </w:t>
      </w:r>
      <w:r w:rsidR="006851E5" w:rsidRPr="001B6075">
        <w:rPr>
          <w:rFonts w:ascii="Arial" w:eastAsia="Calibri" w:hAnsi="Arial" w:cs="Arial"/>
          <w:noProof/>
          <w:sz w:val="20"/>
        </w:rPr>
        <w:t>по</w:t>
      </w:r>
      <w:r w:rsidR="000D6813" w:rsidRPr="001B6075">
        <w:rPr>
          <w:rFonts w:ascii="Arial" w:eastAsia="Calibri" w:hAnsi="Arial" w:cs="Arial"/>
          <w:noProof/>
          <w:sz w:val="20"/>
        </w:rPr>
        <w:t xml:space="preserve"> ОСП за възнаграждения на земеделските стопани. По време на 4-часовия неформален дебат министърът на </w:t>
      </w:r>
      <w:r w:rsidR="000D6813" w:rsidRPr="001B6075">
        <w:rPr>
          <w:rFonts w:ascii="Arial" w:eastAsia="Calibri" w:hAnsi="Arial" w:cs="Arial"/>
          <w:b/>
          <w:bCs/>
          <w:noProof/>
          <w:sz w:val="20"/>
        </w:rPr>
        <w:t>Дания</w:t>
      </w:r>
      <w:r w:rsidR="000D6813" w:rsidRPr="001B6075">
        <w:rPr>
          <w:rFonts w:ascii="Arial" w:eastAsia="Calibri" w:hAnsi="Arial" w:cs="Arial"/>
          <w:noProof/>
          <w:sz w:val="20"/>
        </w:rPr>
        <w:t> приветства и двата проекта, както заяви, че те задават амбициозната посока за зелената трансформация на хранителни</w:t>
      </w:r>
      <w:r w:rsidR="004A175F">
        <w:rPr>
          <w:rFonts w:ascii="Arial" w:eastAsia="Calibri" w:hAnsi="Arial" w:cs="Arial"/>
          <w:noProof/>
          <w:sz w:val="20"/>
        </w:rPr>
        <w:t>те</w:t>
      </w:r>
      <w:r w:rsidR="000D6813" w:rsidRPr="001B6075">
        <w:rPr>
          <w:rFonts w:ascii="Arial" w:eastAsia="Calibri" w:hAnsi="Arial" w:cs="Arial"/>
          <w:noProof/>
          <w:sz w:val="20"/>
        </w:rPr>
        <w:t xml:space="preserve"> системи. Дания има вече национални цели за намаляване на пестицидите и антибиотиците. Страната подкрепя амбициозния пазарен подход в областта на биологичното земеделие и по отношение на хранителните вещества има опит </w:t>
      </w:r>
      <w:r w:rsidR="001C17F8">
        <w:rPr>
          <w:rFonts w:ascii="Arial" w:eastAsia="Calibri" w:hAnsi="Arial" w:cs="Arial"/>
          <w:noProof/>
          <w:sz w:val="20"/>
        </w:rPr>
        <w:t>в</w:t>
      </w:r>
      <w:r w:rsidR="000D6813" w:rsidRPr="001B6075">
        <w:rPr>
          <w:rFonts w:ascii="Arial" w:eastAsia="Calibri" w:hAnsi="Arial" w:cs="Arial"/>
          <w:noProof/>
          <w:sz w:val="20"/>
        </w:rPr>
        <w:t xml:space="preserve"> управлението им на ниво стопанство и пилотни проекти за прецизно земеделие. Дания очаква с нетърпение повече подробности от Комисията относно целите и данните, използвани за изчисляване на напредъка. По отношение на хуманното отношение към животните, страната приветства плана за тр</w:t>
      </w:r>
      <w:r w:rsidR="001C17F8">
        <w:rPr>
          <w:rFonts w:ascii="Arial" w:eastAsia="Calibri" w:hAnsi="Arial" w:cs="Arial"/>
          <w:noProof/>
          <w:sz w:val="20"/>
        </w:rPr>
        <w:t>анспортиране</w:t>
      </w:r>
      <w:r w:rsidR="000D6813" w:rsidRPr="001B6075">
        <w:rPr>
          <w:rFonts w:ascii="Arial" w:eastAsia="Calibri" w:hAnsi="Arial" w:cs="Arial"/>
          <w:noProof/>
          <w:sz w:val="20"/>
        </w:rPr>
        <w:t xml:space="preserve"> на животни</w:t>
      </w:r>
      <w:r w:rsidR="001C17F8">
        <w:rPr>
          <w:rFonts w:ascii="Arial" w:eastAsia="Calibri" w:hAnsi="Arial" w:cs="Arial"/>
          <w:noProof/>
          <w:sz w:val="20"/>
        </w:rPr>
        <w:t>те</w:t>
      </w:r>
      <w:r w:rsidR="000D6813" w:rsidRPr="001B6075">
        <w:rPr>
          <w:rFonts w:ascii="Arial" w:eastAsia="Calibri" w:hAnsi="Arial" w:cs="Arial"/>
          <w:noProof/>
          <w:sz w:val="20"/>
        </w:rPr>
        <w:t xml:space="preserve">. </w:t>
      </w:r>
      <w:r w:rsidR="000D6813" w:rsidRPr="001B6075">
        <w:rPr>
          <w:rFonts w:ascii="Arial" w:eastAsia="Calibri" w:hAnsi="Arial" w:cs="Arial"/>
          <w:b/>
          <w:bCs/>
          <w:noProof/>
          <w:sz w:val="20"/>
        </w:rPr>
        <w:t>Полша</w:t>
      </w:r>
      <w:r w:rsidR="000D6813" w:rsidRPr="001B6075">
        <w:rPr>
          <w:rFonts w:ascii="Arial" w:eastAsia="Calibri" w:hAnsi="Arial" w:cs="Arial"/>
          <w:noProof/>
          <w:sz w:val="20"/>
        </w:rPr>
        <w:t xml:space="preserve"> подчерта в своето изказване, че дебатът трябва да разглежда връзките между земеделието, икономиката и обществото. Продоволствената сигурност продължава да бъде най- важна</w:t>
      </w:r>
      <w:r w:rsidR="00D13A57">
        <w:rPr>
          <w:rFonts w:ascii="Arial" w:eastAsia="Calibri" w:hAnsi="Arial" w:cs="Arial"/>
          <w:noProof/>
          <w:sz w:val="20"/>
        </w:rPr>
        <w:t>та</w:t>
      </w:r>
      <w:r w:rsidR="000D6813" w:rsidRPr="001B6075">
        <w:rPr>
          <w:rFonts w:ascii="Arial" w:eastAsia="Calibri" w:hAnsi="Arial" w:cs="Arial"/>
          <w:noProof/>
          <w:sz w:val="20"/>
        </w:rPr>
        <w:t xml:space="preserve"> услуга, оказана от земеделските производители. Селското стопанство успя да осигури достатъчно храна на потребителите по време на пандемията.  Полша е убедена, че стратегиите, като част от Зелената сделка, вървят в правилна посока и като цяло ги поддържа. „Въпреки това те ще имат огромно влияние върху европейското земеделие и Полша трябва да е сигурна, че няма да го унищожи”. </w:t>
      </w:r>
      <w:r w:rsidR="000D6813" w:rsidRPr="001B6075">
        <w:rPr>
          <w:rFonts w:ascii="Arial" w:eastAsia="Calibri" w:hAnsi="Arial" w:cs="Arial"/>
          <w:b/>
          <w:bCs/>
          <w:noProof/>
          <w:sz w:val="20"/>
        </w:rPr>
        <w:t>Ирландия</w:t>
      </w:r>
      <w:r w:rsidR="000D6813" w:rsidRPr="001B6075">
        <w:rPr>
          <w:rFonts w:ascii="Arial" w:eastAsia="Calibri" w:hAnsi="Arial" w:cs="Arial"/>
          <w:noProof/>
          <w:sz w:val="20"/>
        </w:rPr>
        <w:t xml:space="preserve"> приветства двете стратегии, но подчерта, че е необходим задълбочен анализ под формата на оценки на въздействието и широки консултации, за да се гарантира, че конкурентоспособността и финансовата жизнеспособност на системите за производство на храни във всички държави</w:t>
      </w:r>
      <w:r w:rsidR="00D13A57">
        <w:rPr>
          <w:rFonts w:ascii="Arial" w:eastAsia="Calibri" w:hAnsi="Arial" w:cs="Arial"/>
          <w:noProof/>
          <w:sz w:val="20"/>
        </w:rPr>
        <w:t>-</w:t>
      </w:r>
      <w:r w:rsidR="000D6813" w:rsidRPr="001B6075">
        <w:rPr>
          <w:rFonts w:ascii="Arial" w:eastAsia="Calibri" w:hAnsi="Arial" w:cs="Arial"/>
          <w:noProof/>
          <w:sz w:val="20"/>
        </w:rPr>
        <w:t xml:space="preserve"> членки се поддържат и засилват. Страната счита, че </w:t>
      </w:r>
      <w:r w:rsidR="0015302B">
        <w:rPr>
          <w:rFonts w:ascii="Arial" w:eastAsia="Calibri" w:hAnsi="Arial" w:cs="Arial"/>
          <w:noProof/>
          <w:sz w:val="20"/>
        </w:rPr>
        <w:t xml:space="preserve">трябва да се ускори </w:t>
      </w:r>
      <w:r w:rsidR="000D6813" w:rsidRPr="001B6075">
        <w:rPr>
          <w:rFonts w:ascii="Arial" w:eastAsia="Calibri" w:hAnsi="Arial" w:cs="Arial"/>
          <w:noProof/>
          <w:sz w:val="20"/>
        </w:rPr>
        <w:t>законодателно</w:t>
      </w:r>
      <w:r w:rsidR="0015302B">
        <w:rPr>
          <w:rFonts w:ascii="Arial" w:eastAsia="Calibri" w:hAnsi="Arial" w:cs="Arial"/>
          <w:noProof/>
          <w:sz w:val="20"/>
        </w:rPr>
        <w:t>то предложение за рамка н</w:t>
      </w:r>
      <w:r w:rsidR="000D6813" w:rsidRPr="001B6075">
        <w:rPr>
          <w:rFonts w:ascii="Arial" w:eastAsia="Calibri" w:hAnsi="Arial" w:cs="Arial"/>
          <w:noProof/>
          <w:sz w:val="20"/>
        </w:rPr>
        <w:t>а устойчиви</w:t>
      </w:r>
      <w:r w:rsidR="0015302B">
        <w:rPr>
          <w:rFonts w:ascii="Arial" w:eastAsia="Calibri" w:hAnsi="Arial" w:cs="Arial"/>
          <w:noProof/>
          <w:sz w:val="20"/>
        </w:rPr>
        <w:t>те</w:t>
      </w:r>
      <w:r w:rsidR="000D6813" w:rsidRPr="001B6075">
        <w:rPr>
          <w:rFonts w:ascii="Arial" w:eastAsia="Calibri" w:hAnsi="Arial" w:cs="Arial"/>
          <w:noProof/>
          <w:sz w:val="20"/>
        </w:rPr>
        <w:t xml:space="preserve"> хранителни системи.</w:t>
      </w:r>
      <w:r w:rsidR="0015302B">
        <w:rPr>
          <w:rFonts w:ascii="Arial" w:eastAsia="Calibri" w:hAnsi="Arial" w:cs="Arial"/>
          <w:noProof/>
          <w:sz w:val="20"/>
        </w:rPr>
        <w:t xml:space="preserve"> Необходима е </w:t>
      </w:r>
      <w:r w:rsidR="000D6813" w:rsidRPr="001B6075">
        <w:rPr>
          <w:rFonts w:ascii="Arial" w:eastAsia="Calibri" w:hAnsi="Arial" w:cs="Arial"/>
          <w:noProof/>
          <w:sz w:val="20"/>
        </w:rPr>
        <w:t>съгласуваност на политиките на европейско равнище</w:t>
      </w:r>
      <w:r w:rsidR="0015302B">
        <w:rPr>
          <w:rFonts w:ascii="Arial" w:eastAsia="Calibri" w:hAnsi="Arial" w:cs="Arial"/>
          <w:noProof/>
          <w:sz w:val="20"/>
        </w:rPr>
        <w:t xml:space="preserve">, като </w:t>
      </w:r>
      <w:r w:rsidR="000D6813" w:rsidRPr="001B6075">
        <w:rPr>
          <w:rFonts w:ascii="Arial" w:eastAsia="Calibri" w:hAnsi="Arial" w:cs="Arial"/>
          <w:noProof/>
          <w:sz w:val="20"/>
        </w:rPr>
        <w:t>например между селското стопанство и търговската политика</w:t>
      </w:r>
      <w:r w:rsidR="0015302B">
        <w:rPr>
          <w:rFonts w:ascii="Arial" w:eastAsia="Calibri" w:hAnsi="Arial" w:cs="Arial"/>
          <w:noProof/>
          <w:sz w:val="20"/>
        </w:rPr>
        <w:t>, както и</w:t>
      </w:r>
      <w:r w:rsidR="000D6813" w:rsidRPr="001B6075">
        <w:rPr>
          <w:rFonts w:ascii="Arial" w:eastAsia="Calibri" w:hAnsi="Arial" w:cs="Arial"/>
          <w:noProof/>
          <w:sz w:val="20"/>
        </w:rPr>
        <w:t xml:space="preserve"> в други </w:t>
      </w:r>
      <w:r w:rsidR="0015302B">
        <w:rPr>
          <w:rFonts w:ascii="Arial" w:eastAsia="Calibri" w:hAnsi="Arial" w:cs="Arial"/>
          <w:noProof/>
          <w:sz w:val="20"/>
        </w:rPr>
        <w:t>области, засягащи резултатите за</w:t>
      </w:r>
      <w:r w:rsidR="000D6813" w:rsidRPr="001B6075">
        <w:rPr>
          <w:rFonts w:ascii="Arial" w:eastAsia="Calibri" w:hAnsi="Arial" w:cs="Arial"/>
          <w:noProof/>
          <w:sz w:val="20"/>
        </w:rPr>
        <w:t xml:space="preserve"> околната среда. </w:t>
      </w:r>
      <w:r w:rsidR="000D6813" w:rsidRPr="001B6075">
        <w:rPr>
          <w:rFonts w:ascii="Arial" w:eastAsia="Calibri" w:hAnsi="Arial" w:cs="Arial"/>
          <w:b/>
          <w:noProof/>
          <w:sz w:val="20"/>
        </w:rPr>
        <w:t>Унгария</w:t>
      </w:r>
      <w:r w:rsidR="000D6813" w:rsidRPr="001B6075">
        <w:rPr>
          <w:rFonts w:ascii="Arial" w:eastAsia="Calibri" w:hAnsi="Arial" w:cs="Arial"/>
          <w:noProof/>
          <w:sz w:val="20"/>
        </w:rPr>
        <w:t> подчерта, че селскостопанският сектор трябва да допринесе за Зелената сделка, тъй като биоразнообразието е изключително важно за селското стопанство. Унгария се надява, че Зелената сделка ще бъде възможност, а не тежест за земеделските стопани и собствениците на горите. Производителите трябва да бъдат възнаградени и да не бъдат санкционирани  за постиженията си в поддържането на продоволствената сигурност по време на пандемията. Страната счита изпълнението на някои от предложените прагове за невъзможо, по-специално 50-процентното намаление на общата употреба на химически пестициди. „Такива цели не би трябвало да бъдат дефинирани без оценка на възможното въздействие върху селското стопанство." </w:t>
      </w:r>
      <w:r w:rsidR="000D6813" w:rsidRPr="001B6075">
        <w:rPr>
          <w:rFonts w:ascii="Arial" w:eastAsia="Calibri" w:hAnsi="Arial" w:cs="Arial"/>
          <w:b/>
          <w:bCs/>
          <w:noProof/>
          <w:sz w:val="20"/>
        </w:rPr>
        <w:t xml:space="preserve">Австрия </w:t>
      </w:r>
      <w:r w:rsidR="0015302B">
        <w:rPr>
          <w:rFonts w:ascii="Arial" w:eastAsia="Calibri" w:hAnsi="Arial" w:cs="Arial"/>
          <w:noProof/>
          <w:sz w:val="20"/>
        </w:rPr>
        <w:t>заяви, че двете с</w:t>
      </w:r>
      <w:r w:rsidR="000D6813" w:rsidRPr="001B6075">
        <w:rPr>
          <w:rFonts w:ascii="Arial" w:eastAsia="Calibri" w:hAnsi="Arial" w:cs="Arial"/>
          <w:noProof/>
          <w:sz w:val="20"/>
        </w:rPr>
        <w:t xml:space="preserve">тратегии биха имали </w:t>
      </w:r>
      <w:r w:rsidR="007023FB">
        <w:rPr>
          <w:rFonts w:ascii="Arial" w:eastAsia="Calibri" w:hAnsi="Arial" w:cs="Arial"/>
          <w:noProof/>
          <w:sz w:val="20"/>
        </w:rPr>
        <w:t>голямо</w:t>
      </w:r>
      <w:r w:rsidR="000D6813" w:rsidRPr="001B6075">
        <w:rPr>
          <w:rFonts w:ascii="Arial" w:eastAsia="Calibri" w:hAnsi="Arial" w:cs="Arial"/>
          <w:noProof/>
          <w:sz w:val="20"/>
        </w:rPr>
        <w:t xml:space="preserve"> въздействие върху селското стопанство. Земеделските стопани и земеделските стопанства се нуж</w:t>
      </w:r>
      <w:r w:rsidR="007023FB">
        <w:rPr>
          <w:rFonts w:ascii="Arial" w:eastAsia="Calibri" w:hAnsi="Arial" w:cs="Arial"/>
          <w:noProof/>
          <w:sz w:val="20"/>
        </w:rPr>
        <w:t>даят от правна</w:t>
      </w:r>
      <w:r w:rsidR="000D6813" w:rsidRPr="001B6075">
        <w:rPr>
          <w:rFonts w:ascii="Arial" w:eastAsia="Calibri" w:hAnsi="Arial" w:cs="Arial"/>
          <w:noProof/>
          <w:sz w:val="20"/>
        </w:rPr>
        <w:t xml:space="preserve"> сигурност. Австрия призова Комисията да не затрупва предложението </w:t>
      </w:r>
      <w:r w:rsidR="009C6056">
        <w:rPr>
          <w:rFonts w:ascii="Arial" w:eastAsia="Calibri" w:hAnsi="Arial" w:cs="Arial"/>
          <w:noProof/>
          <w:sz w:val="20"/>
        </w:rPr>
        <w:t>з</w:t>
      </w:r>
      <w:r w:rsidR="000D6813" w:rsidRPr="001B6075">
        <w:rPr>
          <w:rFonts w:ascii="Arial" w:eastAsia="Calibri" w:hAnsi="Arial" w:cs="Arial"/>
          <w:noProof/>
          <w:sz w:val="20"/>
        </w:rPr>
        <w:t xml:space="preserve">а ОСП с </w:t>
      </w:r>
      <w:r w:rsidR="009C6056">
        <w:rPr>
          <w:rFonts w:ascii="Arial" w:eastAsia="Calibri" w:hAnsi="Arial" w:cs="Arial"/>
          <w:noProof/>
          <w:sz w:val="20"/>
        </w:rPr>
        <w:t>нови изисквания. „Предложените с</w:t>
      </w:r>
      <w:r w:rsidR="000D6813" w:rsidRPr="001B6075">
        <w:rPr>
          <w:rFonts w:ascii="Arial" w:eastAsia="Calibri" w:hAnsi="Arial" w:cs="Arial"/>
          <w:noProof/>
          <w:sz w:val="20"/>
        </w:rPr>
        <w:t xml:space="preserve">тратегии </w:t>
      </w:r>
      <w:r w:rsidR="009C6056">
        <w:rPr>
          <w:rFonts w:ascii="Arial" w:eastAsia="Calibri" w:hAnsi="Arial" w:cs="Arial"/>
          <w:noProof/>
          <w:sz w:val="20"/>
        </w:rPr>
        <w:t>създават</w:t>
      </w:r>
      <w:r w:rsidR="000D6813" w:rsidRPr="001B6075">
        <w:rPr>
          <w:rFonts w:ascii="Arial" w:eastAsia="Calibri" w:hAnsi="Arial" w:cs="Arial"/>
          <w:noProof/>
          <w:sz w:val="20"/>
        </w:rPr>
        <w:t xml:space="preserve"> допълнителна тежест за земеделските стопани, която трябва да бъде компенсирана адекватно“, заяви Елизабет Костингер, подчертавайки, че промените „не трябва да водят до аутсорсинг на селскостопанско производство </w:t>
      </w:r>
      <w:r w:rsidR="009C6056">
        <w:rPr>
          <w:rFonts w:ascii="Arial" w:eastAsia="Calibri" w:hAnsi="Arial" w:cs="Arial"/>
          <w:noProof/>
          <w:sz w:val="20"/>
        </w:rPr>
        <w:t>към</w:t>
      </w:r>
      <w:r w:rsidR="000D6813" w:rsidRPr="001B6075">
        <w:rPr>
          <w:rFonts w:ascii="Arial" w:eastAsia="Calibri" w:hAnsi="Arial" w:cs="Arial"/>
          <w:noProof/>
          <w:sz w:val="20"/>
        </w:rPr>
        <w:t xml:space="preserve"> трети страни страни, които могат да последват по-ниски стандарти.” Около 25% от земеделските земи на Австрия са </w:t>
      </w:r>
      <w:r w:rsidR="009C6056">
        <w:rPr>
          <w:rFonts w:ascii="Arial" w:eastAsia="Calibri" w:hAnsi="Arial" w:cs="Arial"/>
          <w:noProof/>
          <w:sz w:val="20"/>
        </w:rPr>
        <w:t>биологични</w:t>
      </w:r>
      <w:r w:rsidR="000D6813" w:rsidRPr="001B6075">
        <w:rPr>
          <w:rFonts w:ascii="Arial" w:eastAsia="Calibri" w:hAnsi="Arial" w:cs="Arial"/>
          <w:noProof/>
          <w:sz w:val="20"/>
        </w:rPr>
        <w:t xml:space="preserve"> и тези усилия трябва да бъдат взети предвид, настоя тя. </w:t>
      </w:r>
      <w:r w:rsidR="000D6813" w:rsidRPr="001B6075">
        <w:rPr>
          <w:rFonts w:ascii="Arial" w:eastAsia="Calibri" w:hAnsi="Arial" w:cs="Arial"/>
          <w:b/>
          <w:bCs/>
          <w:noProof/>
          <w:sz w:val="20"/>
        </w:rPr>
        <w:t>Френският</w:t>
      </w:r>
      <w:r w:rsidR="000D6813" w:rsidRPr="001B6075">
        <w:rPr>
          <w:rFonts w:ascii="Arial" w:eastAsia="Calibri" w:hAnsi="Arial" w:cs="Arial"/>
          <w:noProof/>
          <w:sz w:val="20"/>
        </w:rPr>
        <w:t> министър на земеделието приветства и двете пътни карти, като каза, че „вървят в правилна</w:t>
      </w:r>
      <w:r w:rsidR="009C6056">
        <w:rPr>
          <w:rFonts w:ascii="Arial" w:eastAsia="Calibri" w:hAnsi="Arial" w:cs="Arial"/>
          <w:noProof/>
          <w:sz w:val="20"/>
        </w:rPr>
        <w:t>та</w:t>
      </w:r>
      <w:r w:rsidR="000D6813" w:rsidRPr="001B6075">
        <w:rPr>
          <w:rFonts w:ascii="Arial" w:eastAsia="Calibri" w:hAnsi="Arial" w:cs="Arial"/>
          <w:noProof/>
          <w:sz w:val="20"/>
        </w:rPr>
        <w:t xml:space="preserve"> посока." </w:t>
      </w:r>
      <w:r w:rsidR="009C6056">
        <w:rPr>
          <w:rFonts w:ascii="Arial" w:eastAsia="Calibri" w:hAnsi="Arial" w:cs="Arial"/>
          <w:noProof/>
          <w:sz w:val="20"/>
        </w:rPr>
        <w:t>Франция</w:t>
      </w:r>
      <w:r w:rsidR="000D6813" w:rsidRPr="001B6075">
        <w:rPr>
          <w:rFonts w:ascii="Arial" w:eastAsia="Calibri" w:hAnsi="Arial" w:cs="Arial"/>
          <w:noProof/>
          <w:sz w:val="20"/>
        </w:rPr>
        <w:t xml:space="preserve"> като цяло „споделя целите, както и тяхната амбиция за опазване на околната среда. Френският министър приветства факта, че „тези стратегии отразяват волята за действие на европейско равнище“. Това беше съществено за засилване на икономическата амбиция на</w:t>
      </w:r>
      <w:r w:rsidR="009C6056">
        <w:rPr>
          <w:rFonts w:ascii="Arial" w:eastAsia="Calibri" w:hAnsi="Arial" w:cs="Arial"/>
          <w:noProof/>
          <w:sz w:val="20"/>
        </w:rPr>
        <w:t xml:space="preserve"> стратегията </w:t>
      </w:r>
      <w:r w:rsidR="000D6813" w:rsidRPr="001B6075">
        <w:rPr>
          <w:rFonts w:ascii="Arial" w:eastAsia="Calibri" w:hAnsi="Arial" w:cs="Arial"/>
          <w:noProof/>
          <w:sz w:val="20"/>
        </w:rPr>
        <w:t xml:space="preserve">“От фермата до трапезата“, тъй като фермерите трябва да имат достатъчно финансова подкрепа, за да се ангажират </w:t>
      </w:r>
      <w:r w:rsidR="009C6056">
        <w:rPr>
          <w:rFonts w:ascii="Arial" w:eastAsia="Calibri" w:hAnsi="Arial" w:cs="Arial"/>
          <w:noProof/>
          <w:sz w:val="20"/>
        </w:rPr>
        <w:t>за</w:t>
      </w:r>
      <w:r w:rsidR="000D6813" w:rsidRPr="001B6075">
        <w:rPr>
          <w:rFonts w:ascii="Arial" w:eastAsia="Calibri" w:hAnsi="Arial" w:cs="Arial"/>
          <w:noProof/>
          <w:sz w:val="20"/>
        </w:rPr>
        <w:t xml:space="preserve"> прехода, настоя той</w:t>
      </w:r>
      <w:r w:rsidR="009C6056">
        <w:rPr>
          <w:rFonts w:ascii="Arial" w:eastAsia="Calibri" w:hAnsi="Arial" w:cs="Arial"/>
          <w:noProof/>
          <w:sz w:val="20"/>
        </w:rPr>
        <w:t xml:space="preserve"> и продължи</w:t>
      </w:r>
      <w:r w:rsidR="000D6813" w:rsidRPr="001B6075">
        <w:rPr>
          <w:rFonts w:ascii="Arial" w:eastAsia="Calibri" w:hAnsi="Arial" w:cs="Arial"/>
          <w:noProof/>
          <w:sz w:val="20"/>
        </w:rPr>
        <w:t xml:space="preserve">, че </w:t>
      </w:r>
      <w:r w:rsidR="000D6813" w:rsidRPr="001B6075">
        <w:rPr>
          <w:rFonts w:ascii="Arial" w:eastAsia="Calibri" w:hAnsi="Arial" w:cs="Arial"/>
          <w:noProof/>
          <w:sz w:val="20"/>
        </w:rPr>
        <w:lastRenderedPageBreak/>
        <w:t xml:space="preserve">„хранителният суверенитет трябва да бъде нашето виждане“. </w:t>
      </w:r>
      <w:r w:rsidR="00FF5109">
        <w:rPr>
          <w:rFonts w:ascii="Arial" w:eastAsia="Calibri" w:hAnsi="Arial" w:cs="Arial"/>
          <w:noProof/>
          <w:sz w:val="20"/>
        </w:rPr>
        <w:t>Министърът</w:t>
      </w:r>
      <w:r w:rsidR="000D6813" w:rsidRPr="001B6075">
        <w:rPr>
          <w:rFonts w:ascii="Arial" w:eastAsia="Calibri" w:hAnsi="Arial" w:cs="Arial"/>
          <w:noProof/>
          <w:sz w:val="20"/>
        </w:rPr>
        <w:t xml:space="preserve"> заяви, че Франция иска нов пакет </w:t>
      </w:r>
      <w:r w:rsidR="00FF5109">
        <w:rPr>
          <w:rFonts w:ascii="Arial" w:eastAsia="Calibri" w:hAnsi="Arial" w:cs="Arial"/>
          <w:noProof/>
          <w:sz w:val="20"/>
        </w:rPr>
        <w:t xml:space="preserve">за подпомагане </w:t>
      </w:r>
      <w:r w:rsidR="000D6813" w:rsidRPr="001B6075">
        <w:rPr>
          <w:rFonts w:ascii="Arial" w:eastAsia="Calibri" w:hAnsi="Arial" w:cs="Arial"/>
          <w:noProof/>
          <w:sz w:val="20"/>
        </w:rPr>
        <w:t>от Комисията, </w:t>
      </w:r>
      <w:r w:rsidR="000D6813" w:rsidRPr="001B6075">
        <w:rPr>
          <w:rFonts w:ascii="Arial" w:eastAsia="Calibri" w:hAnsi="Arial" w:cs="Arial"/>
          <w:i/>
          <w:iCs/>
          <w:noProof/>
          <w:sz w:val="20"/>
        </w:rPr>
        <w:t>вкл</w:t>
      </w:r>
      <w:r w:rsidR="000D6813" w:rsidRPr="001B6075">
        <w:rPr>
          <w:rFonts w:ascii="Arial" w:eastAsia="Calibri" w:hAnsi="Arial" w:cs="Arial"/>
          <w:noProof/>
          <w:sz w:val="20"/>
        </w:rPr>
        <w:t> . </w:t>
      </w:r>
      <w:r w:rsidR="00FF5109">
        <w:rPr>
          <w:rFonts w:ascii="Arial" w:eastAsia="Calibri" w:hAnsi="Arial" w:cs="Arial"/>
          <w:noProof/>
          <w:sz w:val="20"/>
        </w:rPr>
        <w:t xml:space="preserve">за </w:t>
      </w:r>
      <w:r w:rsidR="000D6813" w:rsidRPr="001B6075">
        <w:rPr>
          <w:rFonts w:ascii="Arial" w:eastAsia="Calibri" w:hAnsi="Arial" w:cs="Arial"/>
          <w:noProof/>
          <w:sz w:val="20"/>
        </w:rPr>
        <w:t>склад</w:t>
      </w:r>
      <w:r w:rsidR="00FF5109">
        <w:rPr>
          <w:rFonts w:ascii="Arial" w:eastAsia="Calibri" w:hAnsi="Arial" w:cs="Arial"/>
          <w:noProof/>
          <w:sz w:val="20"/>
        </w:rPr>
        <w:t>иране з</w:t>
      </w:r>
      <w:r w:rsidR="000D6813" w:rsidRPr="001B6075">
        <w:rPr>
          <w:rFonts w:ascii="Arial" w:eastAsia="Calibri" w:hAnsi="Arial" w:cs="Arial"/>
          <w:noProof/>
          <w:sz w:val="20"/>
        </w:rPr>
        <w:t>а телешко, свинско месо и козе месо, вече  замразен</w:t>
      </w:r>
      <w:r w:rsidR="00FF5109">
        <w:rPr>
          <w:rFonts w:ascii="Arial" w:eastAsia="Calibri" w:hAnsi="Arial" w:cs="Arial"/>
          <w:noProof/>
          <w:sz w:val="20"/>
        </w:rPr>
        <w:t>и</w:t>
      </w:r>
      <w:r w:rsidR="000D6813" w:rsidRPr="001B6075">
        <w:rPr>
          <w:rFonts w:ascii="Arial" w:eastAsia="Calibri" w:hAnsi="Arial" w:cs="Arial"/>
          <w:noProof/>
          <w:sz w:val="20"/>
        </w:rPr>
        <w:t>. </w:t>
      </w:r>
      <w:r w:rsidR="000D6813" w:rsidRPr="001B6075">
        <w:rPr>
          <w:rFonts w:ascii="Arial" w:eastAsia="Calibri" w:hAnsi="Arial" w:cs="Arial"/>
          <w:b/>
          <w:bCs/>
          <w:noProof/>
          <w:sz w:val="20"/>
        </w:rPr>
        <w:t>Финландия</w:t>
      </w:r>
      <w:r w:rsidR="00FF5109">
        <w:rPr>
          <w:rFonts w:ascii="Arial" w:eastAsia="Calibri" w:hAnsi="Arial" w:cs="Arial"/>
          <w:b/>
          <w:bCs/>
          <w:noProof/>
          <w:sz w:val="20"/>
        </w:rPr>
        <w:t xml:space="preserve"> </w:t>
      </w:r>
      <w:r w:rsidR="000D6813" w:rsidRPr="001B6075">
        <w:rPr>
          <w:rFonts w:ascii="Arial" w:eastAsia="Calibri" w:hAnsi="Arial" w:cs="Arial"/>
          <w:noProof/>
          <w:sz w:val="20"/>
        </w:rPr>
        <w:t>приветства двете стратегии, като заяви, че те са навременни и всеобхватни. </w:t>
      </w:r>
      <w:r w:rsidR="00FF5109">
        <w:rPr>
          <w:rFonts w:ascii="Arial" w:eastAsia="Calibri" w:hAnsi="Arial" w:cs="Arial"/>
          <w:noProof/>
          <w:sz w:val="20"/>
        </w:rPr>
        <w:t>Финландия</w:t>
      </w:r>
      <w:r w:rsidR="000D6813" w:rsidRPr="001B6075">
        <w:rPr>
          <w:rFonts w:ascii="Arial" w:eastAsia="Calibri" w:hAnsi="Arial" w:cs="Arial"/>
          <w:noProof/>
          <w:sz w:val="20"/>
        </w:rPr>
        <w:t xml:space="preserve"> работи дълго време за устойчивото производство на храни, </w:t>
      </w:r>
      <w:r w:rsidR="000D6813" w:rsidRPr="00FF5109">
        <w:rPr>
          <w:rFonts w:ascii="Arial" w:eastAsia="Calibri" w:hAnsi="Arial" w:cs="Arial"/>
          <w:iCs/>
          <w:noProof/>
          <w:sz w:val="20"/>
        </w:rPr>
        <w:t>вкл</w:t>
      </w:r>
      <w:r w:rsidR="000D6813" w:rsidRPr="001B6075">
        <w:rPr>
          <w:rFonts w:ascii="Arial" w:eastAsia="Calibri" w:hAnsi="Arial" w:cs="Arial"/>
          <w:i/>
          <w:iCs/>
          <w:noProof/>
          <w:sz w:val="20"/>
        </w:rPr>
        <w:t>. </w:t>
      </w:r>
      <w:r w:rsidR="00FF5109" w:rsidRPr="00FF5109">
        <w:rPr>
          <w:rFonts w:ascii="Arial" w:eastAsia="Calibri" w:hAnsi="Arial" w:cs="Arial"/>
          <w:iCs/>
          <w:noProof/>
          <w:sz w:val="20"/>
        </w:rPr>
        <w:t xml:space="preserve">за </w:t>
      </w:r>
      <w:r w:rsidR="000D6813" w:rsidRPr="001B6075">
        <w:rPr>
          <w:rFonts w:ascii="Arial" w:eastAsia="Calibri" w:hAnsi="Arial" w:cs="Arial"/>
          <w:noProof/>
          <w:sz w:val="20"/>
        </w:rPr>
        <w:t>намаляване на използването на антибиотици за животни в продължение на 30 години. Хуманното отношение към животните е на първо място във финландския дневен ред. </w:t>
      </w:r>
      <w:r w:rsidR="00FF5109">
        <w:rPr>
          <w:rFonts w:ascii="Arial" w:eastAsia="Calibri" w:hAnsi="Arial" w:cs="Arial"/>
          <w:noProof/>
          <w:sz w:val="20"/>
        </w:rPr>
        <w:t>Страната</w:t>
      </w:r>
      <w:r w:rsidR="000D6813" w:rsidRPr="001B6075">
        <w:rPr>
          <w:rFonts w:ascii="Arial" w:eastAsia="Calibri" w:hAnsi="Arial" w:cs="Arial"/>
          <w:noProof/>
          <w:sz w:val="20"/>
        </w:rPr>
        <w:t xml:space="preserve"> е напълно ангажирана да насърчава развитието на устойчива хранителна система в целия ЕС. </w:t>
      </w:r>
      <w:r w:rsidR="00FF5109">
        <w:rPr>
          <w:rFonts w:ascii="Arial" w:eastAsia="Calibri" w:hAnsi="Arial" w:cs="Arial"/>
          <w:noProof/>
          <w:sz w:val="20"/>
        </w:rPr>
        <w:t>Финландия</w:t>
      </w:r>
      <w:r w:rsidR="000D6813" w:rsidRPr="001B6075">
        <w:rPr>
          <w:rFonts w:ascii="Arial" w:eastAsia="Calibri" w:hAnsi="Arial" w:cs="Arial"/>
          <w:noProof/>
          <w:sz w:val="20"/>
        </w:rPr>
        <w:t xml:space="preserve"> може да направи още повече, за да подобри положението на производителите в хранителната верига…</w:t>
      </w:r>
      <w:r w:rsidR="00FF5109">
        <w:rPr>
          <w:rFonts w:ascii="Arial" w:eastAsia="Calibri" w:hAnsi="Arial" w:cs="Arial"/>
          <w:noProof/>
          <w:sz w:val="20"/>
        </w:rPr>
        <w:t>,</w:t>
      </w:r>
      <w:r w:rsidR="000D6813" w:rsidRPr="001B6075">
        <w:rPr>
          <w:rFonts w:ascii="Arial" w:eastAsia="Calibri" w:hAnsi="Arial" w:cs="Arial"/>
          <w:noProof/>
          <w:sz w:val="20"/>
        </w:rPr>
        <w:t xml:space="preserve"> тъй като сигурността на доставките с</w:t>
      </w:r>
      <w:r w:rsidR="00FF5109">
        <w:rPr>
          <w:rFonts w:ascii="Arial" w:eastAsia="Calibri" w:hAnsi="Arial" w:cs="Arial"/>
          <w:noProof/>
          <w:sz w:val="20"/>
        </w:rPr>
        <w:t>е</w:t>
      </w:r>
      <w:r w:rsidR="000D6813" w:rsidRPr="001B6075">
        <w:rPr>
          <w:rFonts w:ascii="Arial" w:eastAsia="Calibri" w:hAnsi="Arial" w:cs="Arial"/>
          <w:noProof/>
          <w:sz w:val="20"/>
        </w:rPr>
        <w:t xml:space="preserve"> основава </w:t>
      </w:r>
      <w:r w:rsidR="00FF5109">
        <w:rPr>
          <w:rFonts w:ascii="Arial" w:eastAsia="Calibri" w:hAnsi="Arial" w:cs="Arial"/>
          <w:noProof/>
          <w:sz w:val="20"/>
        </w:rPr>
        <w:t xml:space="preserve">на фермите. </w:t>
      </w:r>
      <w:r w:rsidR="000D6813" w:rsidRPr="001B6075">
        <w:rPr>
          <w:rFonts w:ascii="Arial" w:eastAsia="Calibri" w:hAnsi="Arial" w:cs="Arial"/>
          <w:noProof/>
          <w:sz w:val="20"/>
        </w:rPr>
        <w:t xml:space="preserve">Финландия приветства </w:t>
      </w:r>
      <w:r w:rsidR="00FF5109">
        <w:rPr>
          <w:rFonts w:ascii="Arial" w:eastAsia="Calibri" w:hAnsi="Arial" w:cs="Arial"/>
          <w:noProof/>
          <w:sz w:val="20"/>
        </w:rPr>
        <w:t>стъпките</w:t>
      </w:r>
      <w:r w:rsidR="000D6813" w:rsidRPr="001B6075">
        <w:rPr>
          <w:rFonts w:ascii="Arial" w:eastAsia="Calibri" w:hAnsi="Arial" w:cs="Arial"/>
          <w:noProof/>
          <w:sz w:val="20"/>
        </w:rPr>
        <w:t xml:space="preserve"> за подобряване на етикетирането и подпомагането на потребителите да </w:t>
      </w:r>
      <w:r w:rsidR="00FF5109">
        <w:rPr>
          <w:rFonts w:ascii="Arial" w:eastAsia="Calibri" w:hAnsi="Arial" w:cs="Arial"/>
          <w:noProof/>
          <w:sz w:val="20"/>
        </w:rPr>
        <w:t>на</w:t>
      </w:r>
      <w:r w:rsidR="000D6813" w:rsidRPr="001B6075">
        <w:rPr>
          <w:rFonts w:ascii="Arial" w:eastAsia="Calibri" w:hAnsi="Arial" w:cs="Arial"/>
          <w:noProof/>
          <w:sz w:val="20"/>
        </w:rPr>
        <w:t>правят информиран избор. Относно конкретните цели, Финландия подчерта, че различните позиции и свършената работа в държавите</w:t>
      </w:r>
      <w:r w:rsidR="00FF5109">
        <w:rPr>
          <w:rFonts w:ascii="Arial" w:eastAsia="Calibri" w:hAnsi="Arial" w:cs="Arial"/>
          <w:noProof/>
          <w:sz w:val="20"/>
        </w:rPr>
        <w:t xml:space="preserve"> </w:t>
      </w:r>
      <w:r w:rsidR="000D6813" w:rsidRPr="001B6075">
        <w:rPr>
          <w:rFonts w:ascii="Arial" w:eastAsia="Calibri" w:hAnsi="Arial" w:cs="Arial"/>
          <w:noProof/>
          <w:sz w:val="20"/>
        </w:rPr>
        <w:t xml:space="preserve">членки трябва да бъдат взети </w:t>
      </w:r>
      <w:r w:rsidR="00FF5109">
        <w:rPr>
          <w:rFonts w:ascii="Arial" w:eastAsia="Calibri" w:hAnsi="Arial" w:cs="Arial"/>
          <w:noProof/>
          <w:sz w:val="20"/>
        </w:rPr>
        <w:t>предвид</w:t>
      </w:r>
      <w:r w:rsidR="000D6813" w:rsidRPr="001B6075">
        <w:rPr>
          <w:rFonts w:ascii="Arial" w:eastAsia="Calibri" w:hAnsi="Arial" w:cs="Arial"/>
          <w:noProof/>
          <w:sz w:val="20"/>
        </w:rPr>
        <w:t>. </w:t>
      </w:r>
      <w:r w:rsidR="000D6813" w:rsidRPr="001B6075">
        <w:rPr>
          <w:rFonts w:ascii="Arial" w:eastAsia="Calibri" w:hAnsi="Arial" w:cs="Arial"/>
          <w:b/>
          <w:bCs/>
          <w:noProof/>
          <w:sz w:val="20"/>
        </w:rPr>
        <w:t xml:space="preserve">Италия </w:t>
      </w:r>
      <w:r w:rsidR="000D6813" w:rsidRPr="001B6075">
        <w:rPr>
          <w:rFonts w:ascii="Arial" w:eastAsia="Calibri" w:hAnsi="Arial" w:cs="Arial"/>
          <w:bCs/>
          <w:noProof/>
          <w:sz w:val="20"/>
        </w:rPr>
        <w:t>като цяло</w:t>
      </w:r>
      <w:r w:rsidR="000D6813" w:rsidRPr="001B6075">
        <w:rPr>
          <w:rFonts w:ascii="Arial" w:eastAsia="Calibri" w:hAnsi="Arial" w:cs="Arial"/>
          <w:b/>
          <w:bCs/>
          <w:noProof/>
          <w:sz w:val="20"/>
        </w:rPr>
        <w:t xml:space="preserve"> </w:t>
      </w:r>
      <w:r w:rsidR="000D6813" w:rsidRPr="001B6075">
        <w:rPr>
          <w:rFonts w:ascii="Arial" w:eastAsia="Calibri" w:hAnsi="Arial" w:cs="Arial"/>
          <w:noProof/>
          <w:sz w:val="20"/>
        </w:rPr>
        <w:t>подкрепи целите за устойчивост и биоразнообразие</w:t>
      </w:r>
      <w:r w:rsidR="003D4D18">
        <w:rPr>
          <w:rFonts w:ascii="Arial" w:eastAsia="Calibri" w:hAnsi="Arial" w:cs="Arial"/>
          <w:noProof/>
          <w:sz w:val="20"/>
        </w:rPr>
        <w:t>, но</w:t>
      </w:r>
      <w:r w:rsidR="000D6813" w:rsidRPr="001B6075">
        <w:rPr>
          <w:rFonts w:ascii="Arial" w:eastAsia="Calibri" w:hAnsi="Arial" w:cs="Arial"/>
          <w:noProof/>
          <w:sz w:val="20"/>
        </w:rPr>
        <w:t xml:space="preserve"> заяв</w:t>
      </w:r>
      <w:r w:rsidR="003D4D18">
        <w:rPr>
          <w:rFonts w:ascii="Arial" w:eastAsia="Calibri" w:hAnsi="Arial" w:cs="Arial"/>
          <w:noProof/>
          <w:sz w:val="20"/>
        </w:rPr>
        <w:t>и</w:t>
      </w:r>
      <w:r w:rsidR="000D6813" w:rsidRPr="001B6075">
        <w:rPr>
          <w:rFonts w:ascii="Arial" w:eastAsia="Calibri" w:hAnsi="Arial" w:cs="Arial"/>
          <w:noProof/>
          <w:sz w:val="20"/>
        </w:rPr>
        <w:t xml:space="preserve">, че решението да се направи етикетирането на хранителните вещества задължително е непоследователно и изискванията за етикетиране на произхода са твърде общи. Италия </w:t>
      </w:r>
      <w:r w:rsidR="003D4D18">
        <w:rPr>
          <w:rFonts w:ascii="Arial" w:eastAsia="Calibri" w:hAnsi="Arial" w:cs="Arial"/>
          <w:noProof/>
          <w:sz w:val="20"/>
        </w:rPr>
        <w:t>поиска информация</w:t>
      </w:r>
      <w:r w:rsidR="000D6813" w:rsidRPr="001B6075">
        <w:rPr>
          <w:rFonts w:ascii="Arial" w:eastAsia="Calibri" w:hAnsi="Arial" w:cs="Arial"/>
          <w:noProof/>
          <w:sz w:val="20"/>
        </w:rPr>
        <w:t xml:space="preserve"> как Комисията възнамерява да постигне глобална хармонизация на стандартите, за да се избегнат „опасните“</w:t>
      </w:r>
      <w:r w:rsidR="003D4D18">
        <w:rPr>
          <w:rFonts w:ascii="Arial" w:eastAsia="Calibri" w:hAnsi="Arial" w:cs="Arial"/>
          <w:noProof/>
          <w:sz w:val="20"/>
        </w:rPr>
        <w:t xml:space="preserve"> и </w:t>
      </w:r>
      <w:r w:rsidR="000D6813" w:rsidRPr="001B6075">
        <w:rPr>
          <w:rFonts w:ascii="Arial" w:eastAsia="Calibri" w:hAnsi="Arial" w:cs="Arial"/>
          <w:noProof/>
          <w:sz w:val="20"/>
        </w:rPr>
        <w:t>„вредни</w:t>
      </w:r>
      <w:r w:rsidR="003D4D18">
        <w:rPr>
          <w:rFonts w:ascii="Arial" w:eastAsia="Calibri" w:hAnsi="Arial" w:cs="Arial"/>
          <w:noProof/>
          <w:sz w:val="20"/>
        </w:rPr>
        <w:t>те</w:t>
      </w:r>
      <w:r w:rsidR="000D6813" w:rsidRPr="001B6075">
        <w:rPr>
          <w:rFonts w:ascii="Arial" w:eastAsia="Calibri" w:hAnsi="Arial" w:cs="Arial"/>
          <w:noProof/>
          <w:sz w:val="20"/>
        </w:rPr>
        <w:t xml:space="preserve"> практики“, ако посочването на произхода на</w:t>
      </w:r>
      <w:r w:rsidR="003D4D18">
        <w:rPr>
          <w:rFonts w:ascii="Arial" w:eastAsia="Calibri" w:hAnsi="Arial" w:cs="Arial"/>
          <w:noProof/>
          <w:sz w:val="20"/>
        </w:rPr>
        <w:t xml:space="preserve"> суровините не е задължително. </w:t>
      </w:r>
      <w:r w:rsidR="000D6813" w:rsidRPr="001B6075">
        <w:rPr>
          <w:rFonts w:ascii="Arial" w:eastAsia="Calibri" w:hAnsi="Arial" w:cs="Arial"/>
          <w:b/>
          <w:bCs/>
          <w:noProof/>
          <w:sz w:val="20"/>
        </w:rPr>
        <w:t>Словакия</w:t>
      </w:r>
      <w:r w:rsidR="000D6813" w:rsidRPr="001B6075">
        <w:rPr>
          <w:rFonts w:ascii="Arial" w:eastAsia="Calibri" w:hAnsi="Arial" w:cs="Arial"/>
          <w:noProof/>
          <w:sz w:val="20"/>
        </w:rPr>
        <w:t> подчерта, че „без гори нито една от тези големи цели не може да бъде постигната“.  </w:t>
      </w:r>
      <w:r w:rsidR="000D6813" w:rsidRPr="001B6075">
        <w:rPr>
          <w:rFonts w:ascii="Arial" w:eastAsia="Calibri" w:hAnsi="Arial" w:cs="Arial"/>
          <w:b/>
          <w:bCs/>
          <w:noProof/>
          <w:sz w:val="20"/>
        </w:rPr>
        <w:t>Литва</w:t>
      </w:r>
      <w:r w:rsidR="000D6813" w:rsidRPr="001B6075">
        <w:rPr>
          <w:rFonts w:ascii="Arial" w:eastAsia="Calibri" w:hAnsi="Arial" w:cs="Arial"/>
          <w:noProof/>
          <w:sz w:val="20"/>
        </w:rPr>
        <w:t> призова</w:t>
      </w:r>
      <w:r w:rsidR="003D4D18">
        <w:rPr>
          <w:rFonts w:ascii="Arial" w:eastAsia="Calibri" w:hAnsi="Arial" w:cs="Arial"/>
          <w:noProof/>
          <w:sz w:val="20"/>
        </w:rPr>
        <w:t xml:space="preserve"> за „е</w:t>
      </w:r>
      <w:r w:rsidR="000D6813" w:rsidRPr="001B6075">
        <w:rPr>
          <w:rFonts w:ascii="Arial" w:eastAsia="Calibri" w:hAnsi="Arial" w:cs="Arial"/>
          <w:noProof/>
          <w:sz w:val="20"/>
        </w:rPr>
        <w:t>вропейска хранителна система, която е здравословна и устойчива“.  </w:t>
      </w:r>
      <w:r w:rsidR="003D4D18">
        <w:rPr>
          <w:rFonts w:ascii="Arial" w:eastAsia="Calibri" w:hAnsi="Arial" w:cs="Arial"/>
          <w:noProof/>
          <w:sz w:val="20"/>
        </w:rPr>
        <w:t>Н</w:t>
      </w:r>
      <w:r w:rsidR="000D6813" w:rsidRPr="001B6075">
        <w:rPr>
          <w:rFonts w:ascii="Arial" w:eastAsia="Calibri" w:hAnsi="Arial" w:cs="Arial"/>
          <w:noProof/>
          <w:sz w:val="20"/>
        </w:rPr>
        <w:t>астоя</w:t>
      </w:r>
      <w:r w:rsidR="003D4D18">
        <w:rPr>
          <w:rFonts w:ascii="Arial" w:eastAsia="Calibri" w:hAnsi="Arial" w:cs="Arial"/>
          <w:noProof/>
          <w:sz w:val="20"/>
        </w:rPr>
        <w:t xml:space="preserve"> за предварителна </w:t>
      </w:r>
      <w:r w:rsidR="000D6813" w:rsidRPr="001B6075">
        <w:rPr>
          <w:rFonts w:ascii="Arial" w:eastAsia="Calibri" w:hAnsi="Arial" w:cs="Arial"/>
          <w:noProof/>
          <w:sz w:val="20"/>
        </w:rPr>
        <w:t>оценка на въздействието.</w:t>
      </w:r>
      <w:r w:rsidR="003D4D18">
        <w:rPr>
          <w:rFonts w:ascii="Arial" w:eastAsia="Calibri" w:hAnsi="Arial" w:cs="Arial"/>
          <w:noProof/>
          <w:sz w:val="20"/>
        </w:rPr>
        <w:t xml:space="preserve"> </w:t>
      </w:r>
      <w:r w:rsidR="000D6813" w:rsidRPr="001B6075">
        <w:rPr>
          <w:rFonts w:ascii="Arial" w:eastAsia="Calibri" w:hAnsi="Arial" w:cs="Arial"/>
          <w:b/>
          <w:bCs/>
          <w:noProof/>
          <w:sz w:val="20"/>
        </w:rPr>
        <w:t>Румънският министър на земеделието</w:t>
      </w:r>
      <w:r w:rsidR="000D6813" w:rsidRPr="001B6075">
        <w:rPr>
          <w:rFonts w:ascii="Arial" w:eastAsia="Calibri" w:hAnsi="Arial" w:cs="Arial"/>
          <w:noProof/>
          <w:sz w:val="20"/>
        </w:rPr>
        <w:t xml:space="preserve"> определи целите като „адекватни, стига да се осигурят значителни финансови ресурси за подпомагане на земеделските производители.  Румъния </w:t>
      </w:r>
      <w:r w:rsidR="003D4D18">
        <w:rPr>
          <w:rFonts w:ascii="Arial" w:eastAsia="Calibri" w:hAnsi="Arial" w:cs="Arial"/>
          <w:noProof/>
          <w:sz w:val="20"/>
        </w:rPr>
        <w:t>изрази тревогата си</w:t>
      </w:r>
      <w:r w:rsidR="000D6813" w:rsidRPr="001B6075">
        <w:rPr>
          <w:rFonts w:ascii="Arial" w:eastAsia="Calibri" w:hAnsi="Arial" w:cs="Arial"/>
          <w:noProof/>
          <w:sz w:val="20"/>
        </w:rPr>
        <w:t xml:space="preserve"> от потенциална </w:t>
      </w:r>
      <w:r w:rsidR="003D4D18">
        <w:rPr>
          <w:rFonts w:ascii="Arial" w:eastAsia="Calibri" w:hAnsi="Arial" w:cs="Arial"/>
          <w:noProof/>
          <w:sz w:val="20"/>
        </w:rPr>
        <w:t>необходимост</w:t>
      </w:r>
      <w:r w:rsidR="000D6813" w:rsidRPr="001B6075">
        <w:rPr>
          <w:rFonts w:ascii="Arial" w:eastAsia="Calibri" w:hAnsi="Arial" w:cs="Arial"/>
          <w:noProof/>
          <w:sz w:val="20"/>
        </w:rPr>
        <w:t xml:space="preserve"> от внос на храна, която няма да отговаря на стандартите на ЕС и настоя, че индустрията за пестициди трябва да предложи решения и технологии, които да позволят ефективно управление на болести по растенията и животните. Румънският министър </w:t>
      </w:r>
      <w:r w:rsidR="009F58DD">
        <w:rPr>
          <w:rFonts w:ascii="Arial" w:eastAsia="Calibri" w:hAnsi="Arial" w:cs="Arial"/>
          <w:noProof/>
          <w:sz w:val="20"/>
        </w:rPr>
        <w:t>постави въпрос</w:t>
      </w:r>
      <w:r w:rsidR="000D6813" w:rsidRPr="001B6075">
        <w:rPr>
          <w:rFonts w:ascii="Arial" w:eastAsia="Calibri" w:hAnsi="Arial" w:cs="Arial"/>
          <w:noProof/>
          <w:sz w:val="20"/>
        </w:rPr>
        <w:t xml:space="preserve"> дали потребителите биха желали да плащат повече за </w:t>
      </w:r>
      <w:r w:rsidR="009F58DD">
        <w:rPr>
          <w:rFonts w:ascii="Arial" w:eastAsia="Calibri" w:hAnsi="Arial" w:cs="Arial"/>
          <w:noProof/>
          <w:sz w:val="20"/>
        </w:rPr>
        <w:t>биологична</w:t>
      </w:r>
      <w:r w:rsidR="000D6813" w:rsidRPr="001B6075">
        <w:rPr>
          <w:rFonts w:ascii="Arial" w:eastAsia="Calibri" w:hAnsi="Arial" w:cs="Arial"/>
          <w:noProof/>
          <w:sz w:val="20"/>
        </w:rPr>
        <w:t xml:space="preserve"> храна. </w:t>
      </w:r>
      <w:r w:rsidR="000D6813" w:rsidRPr="001B6075">
        <w:rPr>
          <w:rFonts w:ascii="Arial" w:eastAsia="Calibri" w:hAnsi="Arial" w:cs="Arial"/>
          <w:b/>
          <w:bCs/>
          <w:noProof/>
          <w:sz w:val="20"/>
        </w:rPr>
        <w:t xml:space="preserve">Естония </w:t>
      </w:r>
      <w:r w:rsidR="000D6813" w:rsidRPr="001B6075">
        <w:rPr>
          <w:rFonts w:ascii="Arial" w:eastAsia="Calibri" w:hAnsi="Arial" w:cs="Arial"/>
          <w:noProof/>
          <w:sz w:val="20"/>
        </w:rPr>
        <w:t>приветства стратегиите, като подчерта ключовата роля на информираност на потребителите и системи</w:t>
      </w:r>
      <w:r w:rsidR="00F31485">
        <w:rPr>
          <w:rFonts w:ascii="Arial" w:eastAsia="Calibri" w:hAnsi="Arial" w:cs="Arial"/>
          <w:noProof/>
          <w:sz w:val="20"/>
        </w:rPr>
        <w:t>те</w:t>
      </w:r>
      <w:r w:rsidR="000D6813" w:rsidRPr="001B6075">
        <w:rPr>
          <w:rFonts w:ascii="Arial" w:eastAsia="Calibri" w:hAnsi="Arial" w:cs="Arial"/>
          <w:noProof/>
          <w:sz w:val="20"/>
        </w:rPr>
        <w:t xml:space="preserve"> за етикетиране.  </w:t>
      </w:r>
      <w:r w:rsidR="000D6813" w:rsidRPr="001B6075">
        <w:rPr>
          <w:rFonts w:ascii="Arial" w:eastAsia="Calibri" w:hAnsi="Arial" w:cs="Arial"/>
          <w:b/>
          <w:bCs/>
          <w:noProof/>
          <w:sz w:val="20"/>
        </w:rPr>
        <w:t>Латвия</w:t>
      </w:r>
      <w:r w:rsidR="000D6813" w:rsidRPr="001B6075">
        <w:rPr>
          <w:rFonts w:ascii="Arial" w:eastAsia="Calibri" w:hAnsi="Arial" w:cs="Arial"/>
          <w:noProof/>
          <w:sz w:val="20"/>
        </w:rPr>
        <w:t> заяви, че новите цели за климата и околната среда са много амбициозни и ще имат значително социално и икономическо въздействие върху селскостопанския и хранително-вкусовия сектор. Това ще изисква значителни предварителни инвестиции.</w:t>
      </w:r>
      <w:r w:rsidR="00F31485">
        <w:rPr>
          <w:rFonts w:ascii="Arial" w:eastAsia="Calibri" w:hAnsi="Arial" w:cs="Arial"/>
          <w:noProof/>
          <w:sz w:val="20"/>
        </w:rPr>
        <w:t xml:space="preserve"> </w:t>
      </w:r>
      <w:r w:rsidR="000D6813" w:rsidRPr="001B6075">
        <w:rPr>
          <w:rFonts w:ascii="Arial" w:eastAsia="Calibri" w:hAnsi="Arial" w:cs="Arial"/>
          <w:b/>
          <w:bCs/>
          <w:noProof/>
          <w:sz w:val="20"/>
        </w:rPr>
        <w:t>Испания</w:t>
      </w:r>
      <w:r w:rsidR="00F31485">
        <w:rPr>
          <w:rFonts w:ascii="Arial" w:eastAsia="Calibri" w:hAnsi="Arial" w:cs="Arial"/>
          <w:noProof/>
          <w:sz w:val="20"/>
        </w:rPr>
        <w:t> </w:t>
      </w:r>
      <w:r w:rsidR="000D6813" w:rsidRPr="001B6075">
        <w:rPr>
          <w:rFonts w:ascii="Arial" w:eastAsia="Calibri" w:hAnsi="Arial" w:cs="Arial"/>
          <w:noProof/>
          <w:sz w:val="20"/>
        </w:rPr>
        <w:t xml:space="preserve">приветства стратегиите. Относно количественото определяне на конкретните цели, очаква Комисията да предостави в близко бъдеще собствена оценка на икономическото въздействие. Испания заяви, че за изпълнение на стратегиите са необходими три неща - бюджетни средства, време и гъвкавост. </w:t>
      </w:r>
      <w:r w:rsidR="000D6813" w:rsidRPr="001B6075">
        <w:rPr>
          <w:rFonts w:ascii="Arial" w:eastAsia="Calibri" w:hAnsi="Arial" w:cs="Arial"/>
          <w:b/>
          <w:bCs/>
          <w:noProof/>
          <w:sz w:val="20"/>
        </w:rPr>
        <w:t>Словакия</w:t>
      </w:r>
      <w:r w:rsidR="000D6813" w:rsidRPr="001B6075">
        <w:rPr>
          <w:rFonts w:ascii="Arial" w:eastAsia="Calibri" w:hAnsi="Arial" w:cs="Arial"/>
          <w:noProof/>
          <w:sz w:val="20"/>
        </w:rPr>
        <w:t> сподел</w:t>
      </w:r>
      <w:r w:rsidR="00F31485">
        <w:rPr>
          <w:rFonts w:ascii="Arial" w:eastAsia="Calibri" w:hAnsi="Arial" w:cs="Arial"/>
          <w:noProof/>
          <w:sz w:val="20"/>
        </w:rPr>
        <w:t>и</w:t>
      </w:r>
      <w:r w:rsidR="000D6813" w:rsidRPr="001B6075">
        <w:rPr>
          <w:rFonts w:ascii="Arial" w:eastAsia="Calibri" w:hAnsi="Arial" w:cs="Arial"/>
          <w:noProof/>
          <w:sz w:val="20"/>
        </w:rPr>
        <w:t xml:space="preserve"> мнението на председателството, че е необходима  дискусия относно поставените предизвикателства и бъдещите стъпки. При преследването на амбициозни цели е изключително важно да се постигне баланс между основната задача на селскостопанския сектор</w:t>
      </w:r>
      <w:r w:rsidR="00F31485">
        <w:rPr>
          <w:rFonts w:ascii="Arial" w:eastAsia="Calibri" w:hAnsi="Arial" w:cs="Arial"/>
          <w:noProof/>
          <w:sz w:val="20"/>
        </w:rPr>
        <w:t>за</w:t>
      </w:r>
      <w:r w:rsidR="000D6813" w:rsidRPr="001B6075">
        <w:rPr>
          <w:rFonts w:ascii="Arial" w:eastAsia="Calibri" w:hAnsi="Arial" w:cs="Arial"/>
          <w:noProof/>
          <w:sz w:val="20"/>
        </w:rPr>
        <w:t xml:space="preserve"> осигурява</w:t>
      </w:r>
      <w:r w:rsidR="00F31485">
        <w:rPr>
          <w:rFonts w:ascii="Arial" w:eastAsia="Calibri" w:hAnsi="Arial" w:cs="Arial"/>
          <w:noProof/>
          <w:sz w:val="20"/>
        </w:rPr>
        <w:t>не на</w:t>
      </w:r>
      <w:r w:rsidR="000D6813" w:rsidRPr="001B6075">
        <w:rPr>
          <w:rFonts w:ascii="Arial" w:eastAsia="Calibri" w:hAnsi="Arial" w:cs="Arial"/>
          <w:noProof/>
          <w:sz w:val="20"/>
        </w:rPr>
        <w:t xml:space="preserve"> продоволствената сигурност и легитимното очакване относно необходимия преход. Стратегията трябва да бъде придружена от оценка на въздействието на ключовите сектори, които ще подкрепят прилагането. </w:t>
      </w:r>
      <w:r w:rsidR="00F31485" w:rsidRPr="00F31485">
        <w:rPr>
          <w:rFonts w:ascii="Arial" w:eastAsia="Calibri" w:hAnsi="Arial" w:cs="Arial"/>
          <w:b/>
          <w:noProof/>
          <w:sz w:val="20"/>
        </w:rPr>
        <w:t>М</w:t>
      </w:r>
      <w:r w:rsidR="000D6813" w:rsidRPr="001B6075">
        <w:rPr>
          <w:rFonts w:ascii="Arial" w:eastAsia="Calibri" w:hAnsi="Arial" w:cs="Arial"/>
          <w:b/>
          <w:noProof/>
          <w:sz w:val="20"/>
        </w:rPr>
        <w:t>инистър на земеделието</w:t>
      </w:r>
      <w:r w:rsidR="000D6813" w:rsidRPr="001B6075">
        <w:rPr>
          <w:rFonts w:ascii="Arial" w:eastAsia="Calibri" w:hAnsi="Arial" w:cs="Arial"/>
          <w:noProof/>
          <w:sz w:val="20"/>
        </w:rPr>
        <w:t xml:space="preserve"> </w:t>
      </w:r>
      <w:r w:rsidR="00F31485" w:rsidRPr="00F31485">
        <w:rPr>
          <w:rFonts w:ascii="Arial" w:eastAsia="Calibri" w:hAnsi="Arial" w:cs="Arial"/>
          <w:b/>
          <w:noProof/>
          <w:sz w:val="20"/>
        </w:rPr>
        <w:t>на Кипър</w:t>
      </w:r>
      <w:r w:rsidR="00F31485">
        <w:rPr>
          <w:rFonts w:ascii="Arial" w:eastAsia="Calibri" w:hAnsi="Arial" w:cs="Arial"/>
          <w:noProof/>
          <w:sz w:val="20"/>
        </w:rPr>
        <w:t xml:space="preserve"> </w:t>
      </w:r>
      <w:r w:rsidR="000D6813" w:rsidRPr="001B6075">
        <w:rPr>
          <w:rFonts w:ascii="Arial" w:eastAsia="Calibri" w:hAnsi="Arial" w:cs="Arial"/>
          <w:noProof/>
          <w:sz w:val="20"/>
        </w:rPr>
        <w:t xml:space="preserve">подчерта значението на осигуряването на устойчива хранително-вкусовата промишленост и селскостопански сектор. „Отговорностите, поети от държавите, трябва да бъдат </w:t>
      </w:r>
      <w:r w:rsidR="005971D2">
        <w:rPr>
          <w:rFonts w:ascii="Arial" w:eastAsia="Calibri" w:hAnsi="Arial" w:cs="Arial"/>
          <w:noProof/>
          <w:sz w:val="20"/>
        </w:rPr>
        <w:t>опростени</w:t>
      </w:r>
      <w:r w:rsidR="000D6813" w:rsidRPr="001B6075">
        <w:rPr>
          <w:rFonts w:ascii="Arial" w:eastAsia="Calibri" w:hAnsi="Arial" w:cs="Arial"/>
          <w:noProof/>
          <w:sz w:val="20"/>
        </w:rPr>
        <w:t>, ясни и практически постижими“, каза той.“ Важно е, че държавите</w:t>
      </w:r>
      <w:r w:rsidR="005971D2">
        <w:rPr>
          <w:rFonts w:ascii="Arial" w:eastAsia="Calibri" w:hAnsi="Arial" w:cs="Arial"/>
          <w:noProof/>
          <w:sz w:val="20"/>
        </w:rPr>
        <w:t xml:space="preserve"> </w:t>
      </w:r>
      <w:r w:rsidR="000D6813" w:rsidRPr="001B6075">
        <w:rPr>
          <w:rFonts w:ascii="Arial" w:eastAsia="Calibri" w:hAnsi="Arial" w:cs="Arial"/>
          <w:noProof/>
          <w:sz w:val="20"/>
        </w:rPr>
        <w:t xml:space="preserve">членки не са </w:t>
      </w:r>
      <w:r w:rsidR="005971D2">
        <w:rPr>
          <w:rFonts w:ascii="Arial" w:eastAsia="Calibri" w:hAnsi="Arial" w:cs="Arial"/>
          <w:noProof/>
          <w:sz w:val="20"/>
        </w:rPr>
        <w:t>с еднаква</w:t>
      </w:r>
      <w:r w:rsidR="000D6813" w:rsidRPr="001B6075">
        <w:rPr>
          <w:rFonts w:ascii="Arial" w:eastAsia="Calibri" w:hAnsi="Arial" w:cs="Arial"/>
          <w:noProof/>
          <w:sz w:val="20"/>
        </w:rPr>
        <w:t xml:space="preserve"> отправна точка“. Той подкрепи целите и стратегиите, но </w:t>
      </w:r>
      <w:r w:rsidR="005971D2">
        <w:rPr>
          <w:rFonts w:ascii="Arial" w:eastAsia="Calibri" w:hAnsi="Arial" w:cs="Arial"/>
          <w:noProof/>
          <w:sz w:val="20"/>
        </w:rPr>
        <w:t>по</w:t>
      </w:r>
      <w:r w:rsidR="000D6813" w:rsidRPr="001B6075">
        <w:rPr>
          <w:rFonts w:ascii="Arial" w:eastAsia="Calibri" w:hAnsi="Arial" w:cs="Arial"/>
          <w:noProof/>
          <w:sz w:val="20"/>
        </w:rPr>
        <w:t>иска да бъде приет „по-реалистичен подход“. </w:t>
      </w:r>
      <w:r w:rsidR="000D6813" w:rsidRPr="001B6075">
        <w:rPr>
          <w:rFonts w:ascii="Arial" w:eastAsia="Calibri" w:hAnsi="Arial" w:cs="Arial"/>
          <w:b/>
          <w:bCs/>
          <w:noProof/>
          <w:sz w:val="20"/>
        </w:rPr>
        <w:t>Гръцкият</w:t>
      </w:r>
      <w:r w:rsidR="000D6813" w:rsidRPr="001B6075">
        <w:rPr>
          <w:rFonts w:ascii="Arial" w:eastAsia="Calibri" w:hAnsi="Arial" w:cs="Arial"/>
          <w:noProof/>
          <w:sz w:val="20"/>
        </w:rPr>
        <w:t> </w:t>
      </w:r>
      <w:r w:rsidR="000D6813" w:rsidRPr="001B6075">
        <w:rPr>
          <w:rFonts w:ascii="Arial" w:eastAsia="Calibri" w:hAnsi="Arial" w:cs="Arial"/>
          <w:b/>
          <w:noProof/>
          <w:sz w:val="20"/>
        </w:rPr>
        <w:t>заместник-министър</w:t>
      </w:r>
      <w:r w:rsidR="000D6813" w:rsidRPr="001B6075">
        <w:rPr>
          <w:rFonts w:ascii="Arial" w:eastAsia="Calibri" w:hAnsi="Arial" w:cs="Arial"/>
          <w:noProof/>
          <w:sz w:val="20"/>
        </w:rPr>
        <w:t xml:space="preserve"> </w:t>
      </w:r>
      <w:r w:rsidR="000D6813" w:rsidRPr="001B6075">
        <w:rPr>
          <w:rFonts w:ascii="Arial" w:eastAsia="Calibri" w:hAnsi="Arial" w:cs="Arial"/>
          <w:b/>
          <w:noProof/>
          <w:sz w:val="20"/>
        </w:rPr>
        <w:t>на земеделието</w:t>
      </w:r>
      <w:r w:rsidR="000D6813" w:rsidRPr="001B6075">
        <w:rPr>
          <w:rFonts w:ascii="Arial" w:eastAsia="Calibri" w:hAnsi="Arial" w:cs="Arial"/>
          <w:noProof/>
          <w:sz w:val="20"/>
        </w:rPr>
        <w:t xml:space="preserve"> заяви, че засиленото предложение за МФР (представено на 27 май) определено е подобрение, но все още е недостатъчно, за да се подкрепи. Той заяви, че</w:t>
      </w:r>
      <w:r w:rsidR="000D6813" w:rsidRPr="001B6075">
        <w:rPr>
          <w:rFonts w:ascii="Arial" w:hAnsi="Arial" w:cs="Arial"/>
          <w:noProof/>
          <w:sz w:val="20"/>
        </w:rPr>
        <w:t xml:space="preserve"> </w:t>
      </w:r>
      <w:r w:rsidR="005971D2">
        <w:rPr>
          <w:rFonts w:ascii="Arial" w:eastAsia="Calibri" w:hAnsi="Arial" w:cs="Arial"/>
          <w:noProof/>
          <w:sz w:val="20"/>
        </w:rPr>
        <w:t xml:space="preserve">възприемането на целите на </w:t>
      </w:r>
      <w:r w:rsidR="000D6813" w:rsidRPr="001B6075">
        <w:rPr>
          <w:rFonts w:ascii="Arial" w:eastAsia="Calibri" w:hAnsi="Arial" w:cs="Arial"/>
          <w:noProof/>
          <w:sz w:val="20"/>
        </w:rPr>
        <w:t xml:space="preserve">Зелената сделка допринасят за „засилената амбиция за опазване на околната среда в бъдещата ОСП“. </w:t>
      </w:r>
      <w:r w:rsidR="000D6813" w:rsidRPr="001B6075">
        <w:rPr>
          <w:rFonts w:ascii="Arial" w:eastAsia="Calibri" w:hAnsi="Arial" w:cs="Arial"/>
          <w:b/>
          <w:bCs/>
          <w:noProof/>
          <w:sz w:val="20"/>
        </w:rPr>
        <w:t>Люксембург</w:t>
      </w:r>
      <w:r w:rsidR="000D6813" w:rsidRPr="001B6075">
        <w:rPr>
          <w:rFonts w:ascii="Arial" w:eastAsia="Calibri" w:hAnsi="Arial" w:cs="Arial"/>
          <w:noProof/>
          <w:sz w:val="20"/>
        </w:rPr>
        <w:t xml:space="preserve"> заяви в своето изказване, че двете стратегии са „важен момент за развитието на ЕС и бъдещето на ОСП. Новата екологична амбиция е „необходимо</w:t>
      </w:r>
      <w:r w:rsidR="005971D2">
        <w:rPr>
          <w:rFonts w:ascii="Arial" w:eastAsia="Calibri" w:hAnsi="Arial" w:cs="Arial"/>
          <w:noProof/>
          <w:sz w:val="20"/>
        </w:rPr>
        <w:t>ст“ и страната подкрепя широко п</w:t>
      </w:r>
      <w:r w:rsidR="000D6813" w:rsidRPr="001B6075">
        <w:rPr>
          <w:rFonts w:ascii="Arial" w:eastAsia="Calibri" w:hAnsi="Arial" w:cs="Arial"/>
          <w:noProof/>
          <w:sz w:val="20"/>
        </w:rPr>
        <w:t xml:space="preserve">лановете на Комисията. </w:t>
      </w:r>
      <w:r w:rsidR="000D6813" w:rsidRPr="001B6075">
        <w:rPr>
          <w:rFonts w:ascii="Arial" w:eastAsia="Calibri" w:hAnsi="Arial" w:cs="Arial"/>
          <w:bCs/>
          <w:noProof/>
          <w:sz w:val="20"/>
        </w:rPr>
        <w:t xml:space="preserve"> </w:t>
      </w:r>
      <w:r w:rsidR="005971D2">
        <w:rPr>
          <w:rFonts w:ascii="Arial" w:eastAsia="Calibri" w:hAnsi="Arial" w:cs="Arial"/>
          <w:bCs/>
          <w:noProof/>
          <w:sz w:val="20"/>
        </w:rPr>
        <w:t>И</w:t>
      </w:r>
      <w:r w:rsidR="000D6813" w:rsidRPr="001B6075">
        <w:rPr>
          <w:rFonts w:ascii="Arial" w:eastAsia="Calibri" w:hAnsi="Arial" w:cs="Arial"/>
          <w:noProof/>
          <w:sz w:val="20"/>
        </w:rPr>
        <w:t xml:space="preserve">зрази съжаление, че определянето на целите не е предшествано от оценка на въздействието. </w:t>
      </w:r>
      <w:r w:rsidR="000D6813" w:rsidRPr="001B6075">
        <w:rPr>
          <w:rFonts w:ascii="Arial" w:eastAsia="Calibri" w:hAnsi="Arial" w:cs="Arial"/>
          <w:b/>
          <w:bCs/>
          <w:noProof/>
          <w:sz w:val="20"/>
        </w:rPr>
        <w:t xml:space="preserve">Холандия </w:t>
      </w:r>
      <w:r w:rsidR="000D6813" w:rsidRPr="001B6075">
        <w:rPr>
          <w:rFonts w:ascii="Arial" w:eastAsia="Calibri" w:hAnsi="Arial" w:cs="Arial"/>
          <w:bCs/>
          <w:noProof/>
          <w:sz w:val="20"/>
        </w:rPr>
        <w:t>подчерта,</w:t>
      </w:r>
      <w:r w:rsidR="000D6813" w:rsidRPr="001B6075">
        <w:rPr>
          <w:rFonts w:ascii="Arial" w:eastAsia="Calibri" w:hAnsi="Arial" w:cs="Arial"/>
          <w:noProof/>
          <w:sz w:val="20"/>
        </w:rPr>
        <w:t xml:space="preserve"> че духът на Зелената сделка е в съответствие с амбициите на страната за кръгово и устойчиво земеделие. Земеделските стопани трябва да бъдат възнаградени, докато потребителите трябва да могат да правят здравословен устойчив избор. Холандия поиска от Комисията повече информация относно методологията, сравнителния анализ и мониторинга на целите. </w:t>
      </w:r>
      <w:r w:rsidR="000D6813" w:rsidRPr="001B6075">
        <w:rPr>
          <w:rFonts w:ascii="Arial" w:eastAsia="Calibri" w:hAnsi="Arial" w:cs="Arial"/>
          <w:b/>
          <w:bCs/>
          <w:noProof/>
          <w:sz w:val="20"/>
        </w:rPr>
        <w:t xml:space="preserve">Португалия </w:t>
      </w:r>
      <w:r w:rsidR="005971D2">
        <w:rPr>
          <w:rFonts w:ascii="Arial" w:eastAsia="Calibri" w:hAnsi="Arial" w:cs="Arial"/>
          <w:noProof/>
          <w:sz w:val="20"/>
        </w:rPr>
        <w:t xml:space="preserve">приветства </w:t>
      </w:r>
      <w:r w:rsidR="000D6813" w:rsidRPr="001B6075">
        <w:rPr>
          <w:rFonts w:ascii="Arial" w:eastAsia="Calibri" w:hAnsi="Arial" w:cs="Arial"/>
          <w:noProof/>
          <w:sz w:val="20"/>
        </w:rPr>
        <w:t>целите за околната среда и климат, добавяйки, че вече има „голям брой мерки с много положителни резултати</w:t>
      </w:r>
      <w:r w:rsidR="005971D2">
        <w:rPr>
          <w:rFonts w:ascii="Arial" w:eastAsia="Calibri" w:hAnsi="Arial" w:cs="Arial"/>
          <w:noProof/>
          <w:sz w:val="20"/>
        </w:rPr>
        <w:t>“</w:t>
      </w:r>
      <w:r w:rsidR="000D6813" w:rsidRPr="001B6075">
        <w:rPr>
          <w:rFonts w:ascii="Arial" w:eastAsia="Calibri" w:hAnsi="Arial" w:cs="Arial"/>
          <w:noProof/>
          <w:sz w:val="20"/>
        </w:rPr>
        <w:t>. Коли</w:t>
      </w:r>
      <w:r w:rsidR="005971D2">
        <w:rPr>
          <w:rFonts w:ascii="Arial" w:eastAsia="Calibri" w:hAnsi="Arial" w:cs="Arial"/>
          <w:noProof/>
          <w:sz w:val="20"/>
        </w:rPr>
        <w:t>чествените цели, определени от с</w:t>
      </w:r>
      <w:r w:rsidR="000D6813" w:rsidRPr="001B6075">
        <w:rPr>
          <w:rFonts w:ascii="Arial" w:eastAsia="Calibri" w:hAnsi="Arial" w:cs="Arial"/>
          <w:noProof/>
          <w:sz w:val="20"/>
        </w:rPr>
        <w:t xml:space="preserve">тратегиите са амбициозни, но те трябва да бъдат подчинени на оценка на въздействието. </w:t>
      </w:r>
      <w:r w:rsidR="000D6813" w:rsidRPr="001B6075">
        <w:rPr>
          <w:rFonts w:ascii="Arial" w:eastAsia="Calibri" w:hAnsi="Arial" w:cs="Arial"/>
          <w:b/>
          <w:bCs/>
          <w:noProof/>
          <w:sz w:val="20"/>
        </w:rPr>
        <w:t>Чешкият</w:t>
      </w:r>
      <w:r w:rsidR="000D6813" w:rsidRPr="001B6075">
        <w:rPr>
          <w:rFonts w:ascii="Arial" w:eastAsia="Calibri" w:hAnsi="Arial" w:cs="Arial"/>
          <w:noProof/>
          <w:sz w:val="20"/>
        </w:rPr>
        <w:t> </w:t>
      </w:r>
      <w:r w:rsidR="000D6813" w:rsidRPr="001B6075">
        <w:rPr>
          <w:rFonts w:ascii="Arial" w:eastAsia="Calibri" w:hAnsi="Arial" w:cs="Arial"/>
          <w:b/>
          <w:noProof/>
          <w:sz w:val="20"/>
        </w:rPr>
        <w:t>министър на земеделието</w:t>
      </w:r>
      <w:r w:rsidR="000D6813" w:rsidRPr="001B6075">
        <w:rPr>
          <w:rFonts w:ascii="Arial" w:eastAsia="Calibri" w:hAnsi="Arial" w:cs="Arial"/>
          <w:noProof/>
          <w:sz w:val="20"/>
        </w:rPr>
        <w:t xml:space="preserve">, заяви че на първо място е необходимо да се направи подробна оценка на въздействието върху селскостопанския хранителен сектор в целия ЕС. </w:t>
      </w:r>
      <w:r w:rsidR="000D6813" w:rsidRPr="001B6075">
        <w:rPr>
          <w:rFonts w:ascii="Arial" w:eastAsia="Calibri" w:hAnsi="Arial" w:cs="Arial"/>
          <w:b/>
          <w:bCs/>
          <w:noProof/>
          <w:sz w:val="20"/>
        </w:rPr>
        <w:t>Швеция</w:t>
      </w:r>
      <w:r w:rsidR="000D6813" w:rsidRPr="001B6075">
        <w:rPr>
          <w:rFonts w:ascii="Arial" w:eastAsia="Calibri" w:hAnsi="Arial" w:cs="Arial"/>
          <w:noProof/>
          <w:sz w:val="20"/>
        </w:rPr>
        <w:t> оцен</w:t>
      </w:r>
      <w:r w:rsidR="00390739">
        <w:rPr>
          <w:rFonts w:ascii="Arial" w:eastAsia="Calibri" w:hAnsi="Arial" w:cs="Arial"/>
          <w:noProof/>
          <w:sz w:val="20"/>
        </w:rPr>
        <w:t>и</w:t>
      </w:r>
      <w:r w:rsidR="000D6813" w:rsidRPr="001B6075">
        <w:rPr>
          <w:rFonts w:ascii="Arial" w:eastAsia="Calibri" w:hAnsi="Arial" w:cs="Arial"/>
          <w:noProof/>
          <w:sz w:val="20"/>
        </w:rPr>
        <w:t xml:space="preserve"> положително </w:t>
      </w:r>
      <w:r w:rsidR="00390739">
        <w:rPr>
          <w:rFonts w:ascii="Arial" w:eastAsia="Calibri" w:hAnsi="Arial" w:cs="Arial"/>
          <w:noProof/>
          <w:sz w:val="20"/>
        </w:rPr>
        <w:t>предложението</w:t>
      </w:r>
      <w:r w:rsidR="000D6813" w:rsidRPr="001B6075">
        <w:rPr>
          <w:rFonts w:ascii="Arial" w:eastAsia="Calibri" w:hAnsi="Arial" w:cs="Arial"/>
          <w:noProof/>
          <w:sz w:val="20"/>
        </w:rPr>
        <w:t xml:space="preserve"> на Комисията за цялостен подход за постигане на взаимодействие между стратегиите. „Всички сме наясно че производството на храни има важна роля за </w:t>
      </w:r>
      <w:r w:rsidR="000D6813" w:rsidRPr="001B6075">
        <w:rPr>
          <w:rFonts w:ascii="Arial" w:eastAsia="Calibri" w:hAnsi="Arial" w:cs="Arial"/>
          <w:noProof/>
          <w:sz w:val="20"/>
        </w:rPr>
        <w:lastRenderedPageBreak/>
        <w:t>прехода към устойчиво общество.” </w:t>
      </w:r>
      <w:r w:rsidR="00390739">
        <w:rPr>
          <w:rFonts w:ascii="Arial" w:eastAsia="Calibri" w:hAnsi="Arial" w:cs="Arial"/>
          <w:noProof/>
          <w:sz w:val="20"/>
        </w:rPr>
        <w:t>Относно</w:t>
      </w:r>
      <w:r w:rsidR="000D6813" w:rsidRPr="001B6075">
        <w:rPr>
          <w:rFonts w:ascii="Arial" w:eastAsia="Calibri" w:hAnsi="Arial" w:cs="Arial"/>
          <w:noProof/>
          <w:sz w:val="20"/>
        </w:rPr>
        <w:t xml:space="preserve"> количествените цели</w:t>
      </w:r>
      <w:r w:rsidR="00390739">
        <w:rPr>
          <w:rFonts w:ascii="Arial" w:eastAsia="Calibri" w:hAnsi="Arial" w:cs="Arial"/>
          <w:noProof/>
          <w:sz w:val="20"/>
        </w:rPr>
        <w:t xml:space="preserve"> </w:t>
      </w:r>
      <w:r w:rsidR="000D6813" w:rsidRPr="001B6075">
        <w:rPr>
          <w:rFonts w:ascii="Arial" w:eastAsia="Calibri" w:hAnsi="Arial" w:cs="Arial"/>
          <w:noProof/>
          <w:sz w:val="20"/>
        </w:rPr>
        <w:t>настоя да се вземе предвид, че има различни условия и различни стартов</w:t>
      </w:r>
      <w:r w:rsidR="00390739">
        <w:rPr>
          <w:rFonts w:ascii="Arial" w:eastAsia="Calibri" w:hAnsi="Arial" w:cs="Arial"/>
          <w:noProof/>
          <w:sz w:val="20"/>
        </w:rPr>
        <w:t>и</w:t>
      </w:r>
      <w:r w:rsidR="000D6813" w:rsidRPr="001B6075">
        <w:rPr>
          <w:rFonts w:ascii="Arial" w:eastAsia="Calibri" w:hAnsi="Arial" w:cs="Arial"/>
          <w:noProof/>
          <w:sz w:val="20"/>
        </w:rPr>
        <w:t xml:space="preserve"> </w:t>
      </w:r>
      <w:r w:rsidR="00390739">
        <w:rPr>
          <w:rFonts w:ascii="Arial" w:eastAsia="Calibri" w:hAnsi="Arial" w:cs="Arial"/>
          <w:noProof/>
          <w:sz w:val="20"/>
        </w:rPr>
        <w:t>точки в държавите членки</w:t>
      </w:r>
      <w:r w:rsidR="000D6813" w:rsidRPr="001B6075">
        <w:rPr>
          <w:rFonts w:ascii="Arial" w:eastAsia="Calibri" w:hAnsi="Arial" w:cs="Arial"/>
          <w:noProof/>
          <w:sz w:val="20"/>
        </w:rPr>
        <w:t>. Трябва да има известна гъвкавост в постигане на устойчивостта.  </w:t>
      </w:r>
      <w:r w:rsidR="000D6813" w:rsidRPr="001B6075">
        <w:rPr>
          <w:rFonts w:ascii="Arial" w:eastAsia="Calibri" w:hAnsi="Arial" w:cs="Arial"/>
          <w:b/>
          <w:bCs/>
          <w:noProof/>
          <w:sz w:val="20"/>
        </w:rPr>
        <w:t>Белгия</w:t>
      </w:r>
      <w:r w:rsidR="000D6813" w:rsidRPr="001B6075">
        <w:rPr>
          <w:rFonts w:ascii="Arial" w:eastAsia="Calibri" w:hAnsi="Arial" w:cs="Arial"/>
          <w:noProof/>
          <w:sz w:val="20"/>
        </w:rPr>
        <w:t>  подкрепи целите и амбициите на двете стратегии, наричайки ги „цялостен подход към единна хранителна система и предизвикателства, свързани с биоразнообразието и екосистемите. Белгия очаква анализ на въздействието на тези цели</w:t>
      </w:r>
      <w:r w:rsidR="00DB607B">
        <w:rPr>
          <w:rFonts w:ascii="Arial" w:eastAsia="Calibri" w:hAnsi="Arial" w:cs="Arial"/>
          <w:noProof/>
          <w:sz w:val="20"/>
        </w:rPr>
        <w:t>. П</w:t>
      </w:r>
      <w:r w:rsidR="000D6813" w:rsidRPr="001B6075">
        <w:rPr>
          <w:rFonts w:ascii="Arial" w:eastAsia="Calibri" w:hAnsi="Arial" w:cs="Arial"/>
          <w:noProof/>
          <w:sz w:val="20"/>
        </w:rPr>
        <w:t>одчерта необходимостта да се гарантира, че вносни</w:t>
      </w:r>
      <w:r w:rsidR="00DB607B">
        <w:rPr>
          <w:rFonts w:ascii="Arial" w:eastAsia="Calibri" w:hAnsi="Arial" w:cs="Arial"/>
          <w:noProof/>
          <w:sz w:val="20"/>
        </w:rPr>
        <w:t>те</w:t>
      </w:r>
      <w:r w:rsidR="000D6813" w:rsidRPr="001B6075">
        <w:rPr>
          <w:rFonts w:ascii="Arial" w:eastAsia="Calibri" w:hAnsi="Arial" w:cs="Arial"/>
          <w:noProof/>
          <w:sz w:val="20"/>
        </w:rPr>
        <w:t xml:space="preserve"> стоки </w:t>
      </w:r>
      <w:r w:rsidR="00DB607B">
        <w:rPr>
          <w:rFonts w:ascii="Arial" w:eastAsia="Calibri" w:hAnsi="Arial" w:cs="Arial"/>
          <w:noProof/>
          <w:sz w:val="20"/>
        </w:rPr>
        <w:t>съответстват на</w:t>
      </w:r>
      <w:r w:rsidR="000D6813" w:rsidRPr="001B6075">
        <w:rPr>
          <w:rFonts w:ascii="Arial" w:eastAsia="Calibri" w:hAnsi="Arial" w:cs="Arial"/>
          <w:noProof/>
          <w:sz w:val="20"/>
        </w:rPr>
        <w:t xml:space="preserve"> европейските </w:t>
      </w:r>
      <w:r w:rsidR="00DB607B">
        <w:rPr>
          <w:rFonts w:ascii="Arial" w:eastAsia="Calibri" w:hAnsi="Arial" w:cs="Arial"/>
          <w:noProof/>
          <w:sz w:val="20"/>
        </w:rPr>
        <w:t>правила</w:t>
      </w:r>
      <w:r w:rsidR="000D6813" w:rsidRPr="001B6075">
        <w:rPr>
          <w:rFonts w:ascii="Arial" w:eastAsia="Calibri" w:hAnsi="Arial" w:cs="Arial"/>
          <w:noProof/>
          <w:sz w:val="20"/>
        </w:rPr>
        <w:t>. </w:t>
      </w:r>
      <w:r w:rsidR="000D6813" w:rsidRPr="001B6075">
        <w:rPr>
          <w:rFonts w:ascii="Arial" w:eastAsia="Calibri" w:hAnsi="Arial" w:cs="Arial"/>
          <w:b/>
          <w:bCs/>
          <w:noProof/>
          <w:sz w:val="20"/>
        </w:rPr>
        <w:t>Малта</w:t>
      </w:r>
      <w:r w:rsidR="000D6813" w:rsidRPr="001B6075">
        <w:rPr>
          <w:rFonts w:ascii="Arial" w:eastAsia="Calibri" w:hAnsi="Arial" w:cs="Arial"/>
          <w:noProof/>
          <w:sz w:val="20"/>
        </w:rPr>
        <w:t> </w:t>
      </w:r>
      <w:r w:rsidR="002B2639">
        <w:rPr>
          <w:rFonts w:ascii="Arial" w:eastAsia="Calibri" w:hAnsi="Arial" w:cs="Arial"/>
          <w:noProof/>
          <w:sz w:val="20"/>
        </w:rPr>
        <w:t>поиска</w:t>
      </w:r>
      <w:r w:rsidR="000D6813" w:rsidRPr="001B6075">
        <w:rPr>
          <w:rFonts w:ascii="Arial" w:eastAsia="Calibri" w:hAnsi="Arial" w:cs="Arial"/>
          <w:noProof/>
          <w:sz w:val="20"/>
        </w:rPr>
        <w:t xml:space="preserve"> повече информация относно това, как Комисията ще прилага и наблюдава мерките, заложени в стратегиите. </w:t>
      </w:r>
      <w:r w:rsidR="000D6813" w:rsidRPr="001B6075">
        <w:rPr>
          <w:rFonts w:ascii="Arial" w:eastAsia="Calibri" w:hAnsi="Arial" w:cs="Arial"/>
          <w:b/>
          <w:noProof/>
          <w:sz w:val="20"/>
        </w:rPr>
        <w:t xml:space="preserve">Федералният министър на Германия </w:t>
      </w:r>
      <w:r w:rsidR="002B2639">
        <w:rPr>
          <w:rFonts w:ascii="Arial" w:eastAsia="Calibri" w:hAnsi="Arial" w:cs="Arial"/>
          <w:noProof/>
          <w:sz w:val="20"/>
        </w:rPr>
        <w:t>Юлия Кль</w:t>
      </w:r>
      <w:r w:rsidR="000D6813" w:rsidRPr="001B6075">
        <w:rPr>
          <w:rFonts w:ascii="Arial" w:eastAsia="Calibri" w:hAnsi="Arial" w:cs="Arial"/>
          <w:noProof/>
          <w:sz w:val="20"/>
        </w:rPr>
        <w:t>окнер</w:t>
      </w:r>
      <w:r w:rsidR="000D6813" w:rsidRPr="001B6075">
        <w:rPr>
          <w:rFonts w:ascii="Arial" w:eastAsia="Calibri" w:hAnsi="Arial" w:cs="Arial"/>
          <w:b/>
          <w:noProof/>
          <w:sz w:val="20"/>
        </w:rPr>
        <w:t xml:space="preserve"> </w:t>
      </w:r>
      <w:r w:rsidR="000D6813" w:rsidRPr="001B6075">
        <w:rPr>
          <w:rFonts w:ascii="Arial" w:eastAsia="Calibri" w:hAnsi="Arial" w:cs="Arial"/>
          <w:noProof/>
          <w:sz w:val="20"/>
        </w:rPr>
        <w:t xml:space="preserve">подчерта, че стратегиите поставят амбициозни цели, по-специално по отношение </w:t>
      </w:r>
      <w:r w:rsidR="002B2639">
        <w:rPr>
          <w:rFonts w:ascii="Arial" w:eastAsia="Calibri" w:hAnsi="Arial" w:cs="Arial"/>
          <w:noProof/>
          <w:sz w:val="20"/>
        </w:rPr>
        <w:t>на</w:t>
      </w:r>
      <w:r w:rsidR="000D6813" w:rsidRPr="001B6075">
        <w:rPr>
          <w:rFonts w:ascii="Arial" w:eastAsia="Calibri" w:hAnsi="Arial" w:cs="Arial"/>
          <w:noProof/>
          <w:sz w:val="20"/>
        </w:rPr>
        <w:t xml:space="preserve"> екологично неутралната хранителна верига, визирайки, целите за намаляване </w:t>
      </w:r>
      <w:r w:rsidR="002B2639">
        <w:rPr>
          <w:rFonts w:ascii="Arial" w:eastAsia="Calibri" w:hAnsi="Arial" w:cs="Arial"/>
          <w:noProof/>
          <w:sz w:val="20"/>
        </w:rPr>
        <w:t xml:space="preserve">на </w:t>
      </w:r>
      <w:r w:rsidR="000D6813" w:rsidRPr="001B6075">
        <w:rPr>
          <w:rFonts w:ascii="Arial" w:eastAsia="Calibri" w:hAnsi="Arial" w:cs="Arial"/>
          <w:noProof/>
          <w:sz w:val="20"/>
        </w:rPr>
        <w:t>употребата на торове, пестициди и увеличаване на площта, заета с биологично земеделие. Тя допълни, че селското стопанство и хранителният сектор ще бъдат изправе</w:t>
      </w:r>
      <w:r w:rsidR="002B2639">
        <w:rPr>
          <w:rFonts w:ascii="Arial" w:eastAsia="Calibri" w:hAnsi="Arial" w:cs="Arial"/>
          <w:noProof/>
          <w:sz w:val="20"/>
        </w:rPr>
        <w:t>ни пред големи предизвикателств. И</w:t>
      </w:r>
      <w:r w:rsidR="000D6813" w:rsidRPr="001B6075">
        <w:rPr>
          <w:rFonts w:ascii="Arial" w:eastAsia="Calibri" w:hAnsi="Arial" w:cs="Arial"/>
          <w:noProof/>
          <w:sz w:val="20"/>
        </w:rPr>
        <w:t xml:space="preserve"> двете стратегии „трябва да бъдат икономически жизнеспособни и полезни за земеделските производители.“</w:t>
      </w:r>
      <w:r w:rsidR="002B2639">
        <w:rPr>
          <w:rFonts w:ascii="Arial" w:eastAsia="Calibri" w:hAnsi="Arial" w:cs="Arial"/>
          <w:noProof/>
          <w:sz w:val="20"/>
        </w:rPr>
        <w:t xml:space="preserve"> </w:t>
      </w:r>
      <w:r w:rsidR="000D6813" w:rsidRPr="001B6075">
        <w:rPr>
          <w:rFonts w:ascii="Arial" w:eastAsia="Calibri" w:hAnsi="Arial" w:cs="Arial"/>
          <w:noProof/>
          <w:sz w:val="20"/>
        </w:rPr>
        <w:t>Новите изисквания трябва да са изпълними за производителите и да бъдат в съответствие с техните практически нужди. Германия поиска да види стимули за фермерите за предоставяне на услуги за околната среда и смекчаване на климата. „За това се нуж</w:t>
      </w:r>
      <w:r w:rsidR="002B2639">
        <w:rPr>
          <w:rFonts w:ascii="Arial" w:eastAsia="Calibri" w:hAnsi="Arial" w:cs="Arial"/>
          <w:noProof/>
          <w:sz w:val="20"/>
        </w:rPr>
        <w:t xml:space="preserve">даем от адекватно финансиране“ и бюджетът за земеделие </w:t>
      </w:r>
      <w:r w:rsidR="000D6813" w:rsidRPr="001B6075">
        <w:rPr>
          <w:rFonts w:ascii="Arial" w:eastAsia="Calibri" w:hAnsi="Arial" w:cs="Arial"/>
          <w:noProof/>
          <w:sz w:val="20"/>
        </w:rPr>
        <w:t>е „наистина важен въпрос." „Трябва да се съсредоточим върху научната основа и върху оценките на въздействието“, добави</w:t>
      </w:r>
      <w:r w:rsidR="000D6813" w:rsidRPr="001B6075">
        <w:rPr>
          <w:rFonts w:ascii="Arial" w:eastAsia="Calibri" w:hAnsi="Arial" w:cs="Arial"/>
          <w:b/>
          <w:noProof/>
          <w:sz w:val="20"/>
        </w:rPr>
        <w:t xml:space="preserve"> </w:t>
      </w:r>
      <w:r w:rsidR="002B2639">
        <w:rPr>
          <w:rFonts w:ascii="Arial" w:eastAsia="Calibri" w:hAnsi="Arial" w:cs="Arial"/>
          <w:noProof/>
          <w:sz w:val="20"/>
        </w:rPr>
        <w:t>Юлия Кль</w:t>
      </w:r>
      <w:r w:rsidR="000D6813" w:rsidRPr="001B6075">
        <w:rPr>
          <w:rFonts w:ascii="Arial" w:eastAsia="Calibri" w:hAnsi="Arial" w:cs="Arial"/>
          <w:noProof/>
          <w:sz w:val="20"/>
        </w:rPr>
        <w:t>окнер.</w:t>
      </w:r>
      <w:r w:rsidR="00C9363D">
        <w:rPr>
          <w:rFonts w:ascii="Arial" w:eastAsia="Calibri" w:hAnsi="Arial" w:cs="Arial"/>
          <w:noProof/>
          <w:sz w:val="20"/>
        </w:rPr>
        <w:t xml:space="preserve"> </w:t>
      </w:r>
      <w:r w:rsidR="000D6813" w:rsidRPr="001B6075">
        <w:rPr>
          <w:rFonts w:ascii="Arial" w:eastAsia="Calibri" w:hAnsi="Arial" w:cs="Arial"/>
          <w:b/>
          <w:noProof/>
          <w:sz w:val="20"/>
        </w:rPr>
        <w:t xml:space="preserve">Комисарят по земеделие </w:t>
      </w:r>
      <w:r w:rsidR="000D6813" w:rsidRPr="001B6075">
        <w:rPr>
          <w:rFonts w:ascii="Arial" w:eastAsia="Calibri" w:hAnsi="Arial" w:cs="Arial"/>
          <w:noProof/>
          <w:sz w:val="20"/>
        </w:rPr>
        <w:t>Януш Войчеховски заяви, че това е време на "много интензивна работа за всички нас" – цитирайки целите </w:t>
      </w:r>
      <w:r w:rsidR="000D6813" w:rsidRPr="00C9363D">
        <w:rPr>
          <w:rFonts w:ascii="Arial" w:eastAsia="Calibri" w:hAnsi="Arial" w:cs="Arial"/>
          <w:iCs/>
          <w:noProof/>
          <w:sz w:val="20"/>
        </w:rPr>
        <w:t>вкл.</w:t>
      </w:r>
      <w:r w:rsidR="000D6813" w:rsidRPr="001B6075">
        <w:rPr>
          <w:rFonts w:ascii="Arial" w:eastAsia="Calibri" w:hAnsi="Arial" w:cs="Arial"/>
          <w:i/>
          <w:iCs/>
          <w:noProof/>
          <w:sz w:val="20"/>
        </w:rPr>
        <w:t> </w:t>
      </w:r>
      <w:r w:rsidR="00C9363D">
        <w:rPr>
          <w:rFonts w:ascii="Arial" w:eastAsia="Calibri" w:hAnsi="Arial" w:cs="Arial"/>
          <w:i/>
          <w:iCs/>
          <w:noProof/>
          <w:sz w:val="20"/>
        </w:rPr>
        <w:t xml:space="preserve">за </w:t>
      </w:r>
      <w:r w:rsidR="000D6813" w:rsidRPr="001B6075">
        <w:rPr>
          <w:rFonts w:ascii="Arial" w:eastAsia="Calibri" w:hAnsi="Arial" w:cs="Arial"/>
          <w:noProof/>
          <w:sz w:val="20"/>
        </w:rPr>
        <w:t xml:space="preserve">поставяне на 25% от земята под биологично земеделие, 10% от земята в характеристики на ландшафта, намаление </w:t>
      </w:r>
      <w:r w:rsidR="00C9363D">
        <w:rPr>
          <w:rFonts w:ascii="Arial" w:eastAsia="Calibri" w:hAnsi="Arial" w:cs="Arial"/>
          <w:noProof/>
          <w:sz w:val="20"/>
        </w:rPr>
        <w:t>на</w:t>
      </w:r>
      <w:r w:rsidR="000D6813" w:rsidRPr="001B6075">
        <w:rPr>
          <w:rFonts w:ascii="Arial" w:eastAsia="Calibri" w:hAnsi="Arial" w:cs="Arial"/>
          <w:noProof/>
          <w:sz w:val="20"/>
        </w:rPr>
        <w:t xml:space="preserve"> употреба</w:t>
      </w:r>
      <w:r w:rsidR="00C9363D">
        <w:rPr>
          <w:rFonts w:ascii="Arial" w:eastAsia="Calibri" w:hAnsi="Arial" w:cs="Arial"/>
          <w:noProof/>
          <w:sz w:val="20"/>
        </w:rPr>
        <w:t>та</w:t>
      </w:r>
      <w:r w:rsidR="000D6813" w:rsidRPr="001B6075">
        <w:rPr>
          <w:rFonts w:ascii="Arial" w:eastAsia="Calibri" w:hAnsi="Arial" w:cs="Arial"/>
          <w:noProof/>
          <w:sz w:val="20"/>
        </w:rPr>
        <w:t xml:space="preserve"> на пестициди и хербици</w:t>
      </w:r>
      <w:r w:rsidR="00C9363D">
        <w:rPr>
          <w:rFonts w:ascii="Arial" w:eastAsia="Calibri" w:hAnsi="Arial" w:cs="Arial"/>
          <w:noProof/>
          <w:sz w:val="20"/>
        </w:rPr>
        <w:t>ди. "Това</w:t>
      </w:r>
      <w:r w:rsidR="000D6813" w:rsidRPr="001B6075">
        <w:rPr>
          <w:rFonts w:ascii="Arial" w:eastAsia="Calibri" w:hAnsi="Arial" w:cs="Arial"/>
          <w:noProof/>
          <w:sz w:val="20"/>
        </w:rPr>
        <w:t xml:space="preserve"> са много амбициозни цели", каза той. „И двете стратегии са повече нужни от преди“. „</w:t>
      </w:r>
      <w:r w:rsidR="00C9363D">
        <w:rPr>
          <w:rFonts w:ascii="Arial" w:eastAsia="Calibri" w:hAnsi="Arial" w:cs="Arial"/>
          <w:noProof/>
          <w:sz w:val="20"/>
        </w:rPr>
        <w:t>Необходимо е</w:t>
      </w:r>
      <w:r w:rsidR="000D6813" w:rsidRPr="001B6075">
        <w:rPr>
          <w:rFonts w:ascii="Arial" w:eastAsia="Calibri" w:hAnsi="Arial" w:cs="Arial"/>
          <w:noProof/>
          <w:sz w:val="20"/>
        </w:rPr>
        <w:t xml:space="preserve"> да помним, че първата задача на Общата селскостопанска политика е да осигури продоволствена</w:t>
      </w:r>
      <w:r w:rsidR="00C9363D">
        <w:rPr>
          <w:rFonts w:ascii="Arial" w:eastAsia="Calibri" w:hAnsi="Arial" w:cs="Arial"/>
          <w:noProof/>
          <w:sz w:val="20"/>
        </w:rPr>
        <w:t>та</w:t>
      </w:r>
      <w:r w:rsidR="000D6813" w:rsidRPr="001B6075">
        <w:rPr>
          <w:rFonts w:ascii="Arial" w:eastAsia="Calibri" w:hAnsi="Arial" w:cs="Arial"/>
          <w:noProof/>
          <w:sz w:val="20"/>
        </w:rPr>
        <w:t xml:space="preserve"> сигурност, заяви еврокомисарят по земеделие. „Имаме продоволствена сигурност благодарение на наш</w:t>
      </w:r>
      <w:r w:rsidR="00C9363D">
        <w:rPr>
          <w:rFonts w:ascii="Arial" w:eastAsia="Calibri" w:hAnsi="Arial" w:cs="Arial"/>
          <w:noProof/>
          <w:sz w:val="20"/>
        </w:rPr>
        <w:t>ите</w:t>
      </w:r>
      <w:r w:rsidR="000D6813" w:rsidRPr="001B6075">
        <w:rPr>
          <w:rFonts w:ascii="Arial" w:eastAsia="Calibri" w:hAnsi="Arial" w:cs="Arial"/>
          <w:noProof/>
          <w:sz w:val="20"/>
        </w:rPr>
        <w:t xml:space="preserve"> фермери". </w:t>
      </w:r>
      <w:r w:rsidR="00C9363D">
        <w:rPr>
          <w:rFonts w:ascii="Arial" w:eastAsia="Calibri" w:hAnsi="Arial" w:cs="Arial"/>
          <w:noProof/>
          <w:sz w:val="20"/>
        </w:rPr>
        <w:t xml:space="preserve">Комисията </w:t>
      </w:r>
      <w:r w:rsidR="000D6813" w:rsidRPr="001B6075">
        <w:rPr>
          <w:rFonts w:ascii="Arial" w:eastAsia="Calibri" w:hAnsi="Arial" w:cs="Arial"/>
          <w:noProof/>
          <w:sz w:val="20"/>
        </w:rPr>
        <w:t>„ще продължи да следи отблизо продоволствената сигурност,</w:t>
      </w:r>
      <w:r w:rsidR="00C9363D">
        <w:rPr>
          <w:rFonts w:ascii="Arial" w:eastAsia="Calibri" w:hAnsi="Arial" w:cs="Arial"/>
          <w:noProof/>
          <w:sz w:val="20"/>
        </w:rPr>
        <w:t xml:space="preserve"> </w:t>
      </w:r>
      <w:r w:rsidR="000D6813" w:rsidRPr="001B6075">
        <w:rPr>
          <w:rFonts w:ascii="Arial" w:eastAsia="Calibri" w:hAnsi="Arial" w:cs="Arial"/>
          <w:noProof/>
          <w:sz w:val="20"/>
        </w:rPr>
        <w:t>както и конкурентоспособността на земеделски</w:t>
      </w:r>
      <w:r w:rsidR="00C9363D">
        <w:rPr>
          <w:rFonts w:ascii="Arial" w:eastAsia="Calibri" w:hAnsi="Arial" w:cs="Arial"/>
          <w:noProof/>
          <w:sz w:val="20"/>
        </w:rPr>
        <w:t>те</w:t>
      </w:r>
      <w:r w:rsidR="000D6813" w:rsidRPr="001B6075">
        <w:rPr>
          <w:rFonts w:ascii="Arial" w:eastAsia="Calibri" w:hAnsi="Arial" w:cs="Arial"/>
          <w:noProof/>
          <w:sz w:val="20"/>
        </w:rPr>
        <w:t xml:space="preserve"> стопани и хранителни</w:t>
      </w:r>
      <w:r w:rsidR="00C9363D">
        <w:rPr>
          <w:rFonts w:ascii="Arial" w:eastAsia="Calibri" w:hAnsi="Arial" w:cs="Arial"/>
          <w:noProof/>
          <w:sz w:val="20"/>
        </w:rPr>
        <w:t>те</w:t>
      </w:r>
      <w:r w:rsidR="000D6813" w:rsidRPr="001B6075">
        <w:rPr>
          <w:rFonts w:ascii="Arial" w:eastAsia="Calibri" w:hAnsi="Arial" w:cs="Arial"/>
          <w:noProof/>
          <w:sz w:val="20"/>
        </w:rPr>
        <w:t xml:space="preserve"> оператори“, подчерта </w:t>
      </w:r>
      <w:r w:rsidR="00C9363D">
        <w:rPr>
          <w:rFonts w:ascii="Arial" w:eastAsia="Calibri" w:hAnsi="Arial" w:cs="Arial"/>
          <w:noProof/>
          <w:sz w:val="20"/>
        </w:rPr>
        <w:t>комисар Войчеховски и</w:t>
      </w:r>
      <w:r w:rsidR="000D6813" w:rsidRPr="001B6075">
        <w:rPr>
          <w:rFonts w:ascii="Arial" w:eastAsia="Calibri" w:hAnsi="Arial" w:cs="Arial"/>
          <w:noProof/>
          <w:sz w:val="20"/>
        </w:rPr>
        <w:t xml:space="preserve"> подчерта значението на</w:t>
      </w:r>
      <w:r w:rsidR="00C9363D">
        <w:rPr>
          <w:rFonts w:ascii="Arial" w:eastAsia="Calibri" w:hAnsi="Arial" w:cs="Arial"/>
          <w:noProof/>
          <w:sz w:val="20"/>
        </w:rPr>
        <w:t xml:space="preserve"> </w:t>
      </w:r>
      <w:r w:rsidR="000D6813" w:rsidRPr="001B6075">
        <w:rPr>
          <w:rFonts w:ascii="Arial" w:eastAsia="Calibri" w:hAnsi="Arial" w:cs="Arial"/>
          <w:noProof/>
          <w:sz w:val="20"/>
        </w:rPr>
        <w:t>„мониторинга на прилагането на стратегиите". Признавайки проблем</w:t>
      </w:r>
      <w:r w:rsidR="00C9363D">
        <w:rPr>
          <w:rFonts w:ascii="Arial" w:eastAsia="Calibri" w:hAnsi="Arial" w:cs="Arial"/>
          <w:noProof/>
          <w:sz w:val="20"/>
        </w:rPr>
        <w:t>ът</w:t>
      </w:r>
      <w:r w:rsidR="000D6813" w:rsidRPr="001B6075">
        <w:rPr>
          <w:rFonts w:ascii="Arial" w:eastAsia="Calibri" w:hAnsi="Arial" w:cs="Arial"/>
          <w:noProof/>
          <w:sz w:val="20"/>
        </w:rPr>
        <w:t>, който е важен за много министри, Януш Войчеховски заяви, че е жизненоважно да „знаем, че имаме различни отправни точки в държавите</w:t>
      </w:r>
      <w:r w:rsidR="00C9363D">
        <w:rPr>
          <w:rFonts w:ascii="Arial" w:eastAsia="Calibri" w:hAnsi="Arial" w:cs="Arial"/>
          <w:noProof/>
          <w:sz w:val="20"/>
        </w:rPr>
        <w:t xml:space="preserve"> </w:t>
      </w:r>
      <w:r w:rsidR="000D6813" w:rsidRPr="001B6075">
        <w:rPr>
          <w:rFonts w:ascii="Arial" w:eastAsia="Calibri" w:hAnsi="Arial" w:cs="Arial"/>
          <w:noProof/>
          <w:sz w:val="20"/>
        </w:rPr>
        <w:t>членки."</w:t>
      </w:r>
    </w:p>
    <w:p w14:paraId="09556026" w14:textId="4A73DD39" w:rsidR="00C45C51" w:rsidRPr="00832EF2" w:rsidRDefault="00C45C51" w:rsidP="00C45C51">
      <w:pPr>
        <w:spacing w:after="120"/>
        <w:jc w:val="both"/>
        <w:rPr>
          <w:rFonts w:ascii="Arial" w:eastAsia="Calibri" w:hAnsi="Arial" w:cs="Arial"/>
          <w:noProof/>
          <w:sz w:val="20"/>
        </w:rPr>
      </w:pPr>
      <w:r w:rsidRPr="001B6075">
        <w:rPr>
          <w:rFonts w:ascii="Arial" w:eastAsia="Calibri" w:hAnsi="Arial" w:cs="Arial"/>
          <w:b/>
          <w:bCs/>
          <w:noProof/>
          <w:sz w:val="20"/>
        </w:rPr>
        <w:t>България</w:t>
      </w:r>
      <w:r w:rsidRPr="001B6075">
        <w:rPr>
          <w:rFonts w:ascii="Arial" w:eastAsia="Calibri" w:hAnsi="Arial" w:cs="Arial"/>
          <w:noProof/>
          <w:sz w:val="20"/>
        </w:rPr>
        <w:t> изрази подкрепа за „усилията за предприемане на решителни действия за осигуряване на здравословна, безопасна и достъпна храна за всички</w:t>
      </w:r>
      <w:r>
        <w:rPr>
          <w:rFonts w:ascii="Arial" w:eastAsia="Calibri" w:hAnsi="Arial" w:cs="Arial"/>
          <w:noProof/>
          <w:sz w:val="20"/>
        </w:rPr>
        <w:t xml:space="preserve"> европейски граждани. П</w:t>
      </w:r>
      <w:r w:rsidRPr="001B6075">
        <w:rPr>
          <w:rFonts w:ascii="Arial" w:eastAsia="Calibri" w:hAnsi="Arial" w:cs="Arial"/>
          <w:noProof/>
          <w:sz w:val="20"/>
        </w:rPr>
        <w:t>одчерта, че „реализирането на амбициозните цели завис</w:t>
      </w:r>
      <w:r>
        <w:rPr>
          <w:rFonts w:ascii="Arial" w:eastAsia="Calibri" w:hAnsi="Arial" w:cs="Arial"/>
          <w:noProof/>
          <w:sz w:val="20"/>
        </w:rPr>
        <w:t>и и</w:t>
      </w:r>
      <w:r w:rsidRPr="001B6075">
        <w:rPr>
          <w:rFonts w:ascii="Arial" w:eastAsia="Calibri" w:hAnsi="Arial" w:cs="Arial"/>
          <w:noProof/>
          <w:sz w:val="20"/>
        </w:rPr>
        <w:t xml:space="preserve"> от осигуряването на достатъчно финансови ресурси</w:t>
      </w:r>
      <w:r>
        <w:rPr>
          <w:rFonts w:ascii="Arial" w:eastAsia="Calibri" w:hAnsi="Arial" w:cs="Arial"/>
          <w:noProof/>
          <w:sz w:val="20"/>
        </w:rPr>
        <w:t xml:space="preserve"> </w:t>
      </w:r>
      <w:r w:rsidRPr="001B6075">
        <w:rPr>
          <w:rFonts w:ascii="Arial" w:eastAsia="Calibri" w:hAnsi="Arial" w:cs="Arial"/>
          <w:noProof/>
          <w:sz w:val="20"/>
        </w:rPr>
        <w:t>и гъвкавост при използването на съответните инструменти за конкретни</w:t>
      </w:r>
      <w:r>
        <w:rPr>
          <w:rFonts w:ascii="Arial" w:eastAsia="Calibri" w:hAnsi="Arial" w:cs="Arial"/>
          <w:noProof/>
          <w:sz w:val="20"/>
        </w:rPr>
        <w:t>те</w:t>
      </w:r>
      <w:r w:rsidRPr="001B6075">
        <w:rPr>
          <w:rFonts w:ascii="Arial" w:eastAsia="Calibri" w:hAnsi="Arial" w:cs="Arial"/>
          <w:noProof/>
          <w:sz w:val="20"/>
        </w:rPr>
        <w:t xml:space="preserve"> нужди.” </w:t>
      </w:r>
      <w:r>
        <w:rPr>
          <w:rFonts w:ascii="Arial" w:eastAsia="Calibri" w:hAnsi="Arial" w:cs="Arial"/>
          <w:noProof/>
          <w:sz w:val="20"/>
        </w:rPr>
        <w:t>България подчерта</w:t>
      </w:r>
      <w:r w:rsidRPr="001B6075">
        <w:rPr>
          <w:rFonts w:ascii="Arial" w:eastAsia="Calibri" w:hAnsi="Arial" w:cs="Arial"/>
          <w:noProof/>
          <w:sz w:val="20"/>
        </w:rPr>
        <w:t>, че за постигане на целта за намаляване на употребата на пестициди</w:t>
      </w:r>
      <w:r>
        <w:rPr>
          <w:rFonts w:ascii="Arial" w:eastAsia="Calibri" w:hAnsi="Arial" w:cs="Arial"/>
          <w:noProof/>
          <w:sz w:val="20"/>
        </w:rPr>
        <w:t xml:space="preserve"> са</w:t>
      </w:r>
      <w:r w:rsidR="007D7CAA">
        <w:rPr>
          <w:rFonts w:ascii="Arial" w:eastAsia="Calibri" w:hAnsi="Arial" w:cs="Arial"/>
          <w:noProof/>
          <w:sz w:val="20"/>
          <w:lang w:val="en-US"/>
        </w:rPr>
        <w:t xml:space="preserve"> </w:t>
      </w:r>
      <w:r>
        <w:rPr>
          <w:rFonts w:ascii="Arial" w:eastAsia="Calibri" w:hAnsi="Arial" w:cs="Arial"/>
          <w:noProof/>
          <w:sz w:val="20"/>
        </w:rPr>
        <w:t>необходими</w:t>
      </w:r>
      <w:r w:rsidRPr="001B6075">
        <w:rPr>
          <w:rFonts w:ascii="Arial" w:eastAsia="Calibri" w:hAnsi="Arial" w:cs="Arial"/>
          <w:noProof/>
          <w:sz w:val="20"/>
        </w:rPr>
        <w:t xml:space="preserve"> оценка на въздействието и ясни критерии, заедно с оценка на риска от въздействие</w:t>
      </w:r>
      <w:r>
        <w:rPr>
          <w:rFonts w:ascii="Arial" w:eastAsia="Calibri" w:hAnsi="Arial" w:cs="Arial"/>
          <w:noProof/>
          <w:sz w:val="20"/>
        </w:rPr>
        <w:t>то</w:t>
      </w:r>
      <w:r w:rsidRPr="001B6075">
        <w:rPr>
          <w:rFonts w:ascii="Arial" w:eastAsia="Calibri" w:hAnsi="Arial" w:cs="Arial"/>
          <w:noProof/>
          <w:sz w:val="20"/>
        </w:rPr>
        <w:t xml:space="preserve"> върху земеделските стопани</w:t>
      </w:r>
      <w:r w:rsidR="00D459B9" w:rsidRPr="00832EF2">
        <w:rPr>
          <w:rFonts w:ascii="Arial" w:eastAsia="Calibri" w:hAnsi="Arial" w:cs="Arial"/>
          <w:bCs/>
          <w:noProof/>
          <w:sz w:val="20"/>
        </w:rPr>
        <w:t xml:space="preserve"> и тяхната конкурентоспособност. </w:t>
      </w:r>
      <w:r w:rsidR="00750EF4">
        <w:rPr>
          <w:rFonts w:ascii="Arial" w:eastAsia="Calibri" w:hAnsi="Arial" w:cs="Arial"/>
          <w:bCs/>
          <w:noProof/>
          <w:sz w:val="20"/>
        </w:rPr>
        <w:t>Изтъкна, че у</w:t>
      </w:r>
      <w:r w:rsidR="00D459B9" w:rsidRPr="00832EF2">
        <w:rPr>
          <w:rFonts w:ascii="Arial" w:eastAsia="Calibri" w:hAnsi="Arial" w:cs="Arial"/>
          <w:noProof/>
          <w:sz w:val="20"/>
        </w:rPr>
        <w:t>потребата на продуктите за растителна защита не може да се определя на база продажби, без да има данни за реално употребените продукти и методология, по която държавите членки да събират тази информация.</w:t>
      </w:r>
      <w:r w:rsidR="00D459B9" w:rsidRPr="00832EF2">
        <w:rPr>
          <w:rFonts w:ascii="Arial" w:eastAsia="Calibri" w:hAnsi="Arial" w:cs="Arial"/>
          <w:bCs/>
          <w:noProof/>
          <w:sz w:val="20"/>
        </w:rPr>
        <w:t xml:space="preserve"> При определяне на конкетни целеви стойности следва да се отчитат спецификите в отделните държави</w:t>
      </w:r>
      <w:r w:rsidR="00750EF4">
        <w:rPr>
          <w:rFonts w:ascii="Arial" w:eastAsia="Calibri" w:hAnsi="Arial" w:cs="Arial"/>
          <w:bCs/>
          <w:noProof/>
          <w:sz w:val="20"/>
        </w:rPr>
        <w:t>. И</w:t>
      </w:r>
      <w:r w:rsidR="00D459B9" w:rsidRPr="00832EF2">
        <w:rPr>
          <w:rFonts w:ascii="Arial" w:eastAsia="Calibri" w:hAnsi="Arial" w:cs="Arial"/>
          <w:bCs/>
          <w:noProof/>
          <w:sz w:val="20"/>
        </w:rPr>
        <w:t>кономически важните вредители в страните от южната зона на ЕС са много повече отколкото в северните страни.</w:t>
      </w:r>
      <w:r w:rsidR="00376A87">
        <w:rPr>
          <w:rFonts w:ascii="Arial" w:eastAsia="Calibri" w:hAnsi="Arial" w:cs="Arial"/>
          <w:bCs/>
          <w:noProof/>
          <w:sz w:val="20"/>
        </w:rPr>
        <w:t xml:space="preserve"> </w:t>
      </w:r>
      <w:r w:rsidR="00750EF4">
        <w:rPr>
          <w:rFonts w:ascii="Arial" w:eastAsia="Calibri" w:hAnsi="Arial" w:cs="Arial"/>
          <w:bCs/>
          <w:noProof/>
          <w:sz w:val="20"/>
        </w:rPr>
        <w:t>България</w:t>
      </w:r>
      <w:r w:rsidR="00D459B9" w:rsidRPr="00832EF2">
        <w:rPr>
          <w:rFonts w:ascii="Arial" w:eastAsia="Calibri" w:hAnsi="Arial" w:cs="Arial"/>
          <w:bCs/>
          <w:noProof/>
          <w:sz w:val="20"/>
        </w:rPr>
        <w:t xml:space="preserve"> заяви, че по отношение </w:t>
      </w:r>
      <w:r w:rsidR="00750EF4">
        <w:rPr>
          <w:rFonts w:ascii="Arial" w:eastAsia="Calibri" w:hAnsi="Arial" w:cs="Arial"/>
          <w:bCs/>
          <w:noProof/>
          <w:sz w:val="20"/>
        </w:rPr>
        <w:t xml:space="preserve">на </w:t>
      </w:r>
      <w:r w:rsidR="00D459B9" w:rsidRPr="00832EF2">
        <w:rPr>
          <w:rFonts w:ascii="Arial" w:eastAsia="Calibri" w:hAnsi="Arial" w:cs="Arial"/>
          <w:bCs/>
          <w:noProof/>
          <w:sz w:val="20"/>
        </w:rPr>
        <w:t>употребата на антимикробни средства е необходима единна европейска електронна система за вписване и проследяване на вноса, производство</w:t>
      </w:r>
      <w:r w:rsidR="00750EF4">
        <w:rPr>
          <w:rFonts w:ascii="Arial" w:eastAsia="Calibri" w:hAnsi="Arial" w:cs="Arial"/>
          <w:bCs/>
          <w:noProof/>
          <w:sz w:val="20"/>
        </w:rPr>
        <w:t>то</w:t>
      </w:r>
      <w:r w:rsidR="00D459B9" w:rsidRPr="00832EF2">
        <w:rPr>
          <w:rFonts w:ascii="Arial" w:eastAsia="Calibri" w:hAnsi="Arial" w:cs="Arial"/>
          <w:bCs/>
          <w:noProof/>
          <w:sz w:val="20"/>
        </w:rPr>
        <w:t xml:space="preserve"> и търговия</w:t>
      </w:r>
      <w:r w:rsidR="00750EF4">
        <w:rPr>
          <w:rFonts w:ascii="Arial" w:eastAsia="Calibri" w:hAnsi="Arial" w:cs="Arial"/>
          <w:bCs/>
          <w:noProof/>
          <w:sz w:val="20"/>
        </w:rPr>
        <w:t>та с</w:t>
      </w:r>
      <w:r w:rsidR="00D459B9" w:rsidRPr="00832EF2">
        <w:rPr>
          <w:rFonts w:ascii="Arial" w:eastAsia="Calibri" w:hAnsi="Arial" w:cs="Arial"/>
          <w:bCs/>
          <w:noProof/>
          <w:sz w:val="20"/>
        </w:rPr>
        <w:t xml:space="preserve"> такива продукти. България подчерта, че по отношение на </w:t>
      </w:r>
      <w:r w:rsidR="00376A87">
        <w:rPr>
          <w:rFonts w:ascii="Arial" w:eastAsia="Calibri" w:hAnsi="Arial" w:cs="Arial"/>
          <w:bCs/>
          <w:noProof/>
          <w:sz w:val="20"/>
        </w:rPr>
        <w:t>целта</w:t>
      </w:r>
      <w:r w:rsidR="00D459B9" w:rsidRPr="00832EF2">
        <w:rPr>
          <w:rFonts w:ascii="Arial" w:eastAsia="Calibri" w:hAnsi="Arial" w:cs="Arial"/>
          <w:bCs/>
          <w:noProof/>
          <w:sz w:val="20"/>
        </w:rPr>
        <w:t xml:space="preserve"> до 25 % от ИЗП да бъде заделена за био</w:t>
      </w:r>
      <w:r w:rsidR="00376A87">
        <w:rPr>
          <w:rFonts w:ascii="Arial" w:eastAsia="Calibri" w:hAnsi="Arial" w:cs="Arial"/>
          <w:bCs/>
          <w:noProof/>
          <w:sz w:val="20"/>
        </w:rPr>
        <w:t>логично производство</w:t>
      </w:r>
      <w:r w:rsidR="00D459B9" w:rsidRPr="00832EF2">
        <w:rPr>
          <w:rFonts w:ascii="Arial" w:eastAsia="Calibri" w:hAnsi="Arial" w:cs="Arial"/>
          <w:bCs/>
          <w:noProof/>
          <w:sz w:val="20"/>
        </w:rPr>
        <w:t xml:space="preserve"> е необходимо да се отчете пазара</w:t>
      </w:r>
      <w:r w:rsidR="00376A87">
        <w:rPr>
          <w:rFonts w:ascii="Arial" w:eastAsia="Calibri" w:hAnsi="Arial" w:cs="Arial"/>
          <w:bCs/>
          <w:noProof/>
          <w:sz w:val="20"/>
        </w:rPr>
        <w:t>. Съществува</w:t>
      </w:r>
      <w:r w:rsidR="00D459B9" w:rsidRPr="00832EF2">
        <w:rPr>
          <w:rFonts w:ascii="Arial" w:eastAsia="Calibri" w:hAnsi="Arial" w:cs="Arial"/>
          <w:bCs/>
          <w:noProof/>
          <w:sz w:val="20"/>
        </w:rPr>
        <w:t xml:space="preserve"> риск от увелич</w:t>
      </w:r>
      <w:r w:rsidR="00376A87">
        <w:rPr>
          <w:rFonts w:ascii="Arial" w:eastAsia="Calibri" w:hAnsi="Arial" w:cs="Arial"/>
          <w:bCs/>
          <w:noProof/>
          <w:sz w:val="20"/>
        </w:rPr>
        <w:t>ение на ценовия натиск в</w:t>
      </w:r>
      <w:r w:rsidR="00D459B9" w:rsidRPr="00832EF2">
        <w:rPr>
          <w:rFonts w:ascii="Arial" w:eastAsia="Calibri" w:hAnsi="Arial" w:cs="Arial"/>
          <w:bCs/>
          <w:noProof/>
          <w:sz w:val="20"/>
        </w:rPr>
        <w:t xml:space="preserve"> то</w:t>
      </w:r>
      <w:r w:rsidR="00376A87">
        <w:rPr>
          <w:rFonts w:ascii="Arial" w:eastAsia="Calibri" w:hAnsi="Arial" w:cs="Arial"/>
          <w:bCs/>
          <w:noProof/>
          <w:sz w:val="20"/>
        </w:rPr>
        <w:t>зи сегмент. Следва да се отчетат</w:t>
      </w:r>
      <w:r w:rsidR="00D459B9" w:rsidRPr="00832EF2">
        <w:rPr>
          <w:rFonts w:ascii="Arial" w:eastAsia="Calibri" w:hAnsi="Arial" w:cs="Arial"/>
          <w:bCs/>
          <w:noProof/>
          <w:sz w:val="20"/>
        </w:rPr>
        <w:t xml:space="preserve"> спецификите в отделните държави и стартовата точка. България е загрижена по отношение на поставените цели за заделяне на 10% от земеделската земя за непроизводствени площи. „Трябва да бъдем внимателни, за да не застрашим конкурентоспособността на земеделските стопанства.“ </w:t>
      </w:r>
      <w:r w:rsidR="00376A87">
        <w:rPr>
          <w:rFonts w:ascii="Arial" w:eastAsia="Calibri" w:hAnsi="Arial" w:cs="Arial"/>
          <w:bCs/>
          <w:noProof/>
          <w:sz w:val="20"/>
        </w:rPr>
        <w:t xml:space="preserve">Страната </w:t>
      </w:r>
      <w:r w:rsidR="00D459B9" w:rsidRPr="00832EF2">
        <w:rPr>
          <w:rFonts w:ascii="Arial" w:eastAsia="Calibri" w:hAnsi="Arial" w:cs="Arial"/>
          <w:bCs/>
          <w:noProof/>
          <w:sz w:val="20"/>
        </w:rPr>
        <w:t xml:space="preserve"> приниципно подкрепя прилагането на единен подход за етикетиране в ЕС, както и разработването на единна система за етикетиране на хранителните стойности върху предната част на опаковката. </w:t>
      </w:r>
      <w:r w:rsidR="00376A87">
        <w:rPr>
          <w:rFonts w:ascii="Arial" w:eastAsia="Calibri" w:hAnsi="Arial" w:cs="Arial"/>
          <w:bCs/>
          <w:noProof/>
          <w:sz w:val="20"/>
        </w:rPr>
        <w:t>България</w:t>
      </w:r>
      <w:r w:rsidR="00D459B9" w:rsidRPr="00832EF2">
        <w:rPr>
          <w:rFonts w:ascii="Arial" w:eastAsia="Calibri" w:hAnsi="Arial" w:cs="Arial"/>
          <w:bCs/>
          <w:noProof/>
          <w:sz w:val="20"/>
        </w:rPr>
        <w:t xml:space="preserve"> заяви, че  високите цели, поставени в стратегиите</w:t>
      </w:r>
      <w:r w:rsidR="00376A87">
        <w:rPr>
          <w:rFonts w:ascii="Arial" w:eastAsia="Calibri" w:hAnsi="Arial" w:cs="Arial"/>
          <w:bCs/>
          <w:noProof/>
          <w:sz w:val="20"/>
        </w:rPr>
        <w:t>,</w:t>
      </w:r>
      <w:r w:rsidR="00D459B9" w:rsidRPr="00832EF2">
        <w:rPr>
          <w:rFonts w:ascii="Arial" w:eastAsia="Calibri" w:hAnsi="Arial" w:cs="Arial"/>
          <w:bCs/>
          <w:noProof/>
          <w:sz w:val="20"/>
        </w:rPr>
        <w:t xml:space="preserve"> следва да отчитат спецификите</w:t>
      </w:r>
      <w:r w:rsidR="00376A87">
        <w:rPr>
          <w:rFonts w:ascii="Arial" w:eastAsia="Calibri" w:hAnsi="Arial" w:cs="Arial"/>
          <w:bCs/>
          <w:noProof/>
          <w:sz w:val="20"/>
        </w:rPr>
        <w:t>. Някои държави членки срещ</w:t>
      </w:r>
      <w:r w:rsidR="00D459B9" w:rsidRPr="00832EF2">
        <w:rPr>
          <w:rFonts w:ascii="Arial" w:eastAsia="Calibri" w:hAnsi="Arial" w:cs="Arial"/>
          <w:bCs/>
          <w:noProof/>
          <w:sz w:val="20"/>
        </w:rPr>
        <w:t xml:space="preserve">ат трудности в организираността на </w:t>
      </w:r>
      <w:r w:rsidR="00376A87">
        <w:rPr>
          <w:rFonts w:ascii="Arial" w:eastAsia="Calibri" w:hAnsi="Arial" w:cs="Arial"/>
          <w:bCs/>
          <w:noProof/>
          <w:sz w:val="20"/>
        </w:rPr>
        <w:t>земеделските стопани</w:t>
      </w:r>
      <w:r w:rsidR="00D459B9" w:rsidRPr="00832EF2">
        <w:rPr>
          <w:rFonts w:ascii="Arial" w:eastAsia="Calibri" w:hAnsi="Arial" w:cs="Arial"/>
          <w:bCs/>
          <w:noProof/>
          <w:sz w:val="20"/>
        </w:rPr>
        <w:t xml:space="preserve"> и в тази връзка е необходим допълнителен финансов стимул. България приветства идеята за представяне</w:t>
      </w:r>
      <w:r w:rsidR="00376A87">
        <w:rPr>
          <w:rFonts w:ascii="Arial" w:eastAsia="Calibri" w:hAnsi="Arial" w:cs="Arial"/>
          <w:bCs/>
          <w:noProof/>
          <w:sz w:val="20"/>
        </w:rPr>
        <w:t xml:space="preserve"> </w:t>
      </w:r>
      <w:r w:rsidR="00D459B9" w:rsidRPr="00832EF2">
        <w:rPr>
          <w:rFonts w:ascii="Arial" w:eastAsia="Calibri" w:hAnsi="Arial" w:cs="Arial"/>
          <w:bCs/>
          <w:noProof/>
          <w:sz w:val="20"/>
        </w:rPr>
        <w:t>на Стратегията за горите след 2020 г. и счита, че следва да се предложат конкретни мерки за опазването на горите особено в хода на климатичните промени</w:t>
      </w:r>
      <w:r w:rsidR="00376A87">
        <w:rPr>
          <w:rFonts w:ascii="Arial" w:eastAsia="Calibri" w:hAnsi="Arial" w:cs="Arial"/>
          <w:bCs/>
          <w:noProof/>
          <w:sz w:val="20"/>
        </w:rPr>
        <w:t>,</w:t>
      </w:r>
      <w:r w:rsidR="00D459B9" w:rsidRPr="00832EF2">
        <w:rPr>
          <w:rFonts w:ascii="Arial" w:eastAsia="Calibri" w:hAnsi="Arial" w:cs="Arial"/>
          <w:bCs/>
          <w:noProof/>
          <w:sz w:val="20"/>
        </w:rPr>
        <w:t xml:space="preserve"> включително при проблемите, свързани с деградацията и обезлесяването на горите. </w:t>
      </w:r>
      <w:r w:rsidR="00376A87">
        <w:rPr>
          <w:rFonts w:ascii="Arial" w:eastAsia="Calibri" w:hAnsi="Arial" w:cs="Arial"/>
          <w:bCs/>
          <w:noProof/>
          <w:sz w:val="20"/>
        </w:rPr>
        <w:t>Страната</w:t>
      </w:r>
      <w:r w:rsidR="00D459B9" w:rsidRPr="00832EF2">
        <w:rPr>
          <w:rFonts w:ascii="Arial" w:eastAsia="Calibri" w:hAnsi="Arial" w:cs="Arial"/>
          <w:bCs/>
          <w:noProof/>
          <w:sz w:val="20"/>
        </w:rPr>
        <w:t xml:space="preserve"> подкрепя предложението на ЕК за структуриран диалог при подготовката на стратегическите планове. Възможността за публично споделяне на документи е изключително важна в хода на подготовка на стратегическите п</w:t>
      </w:r>
      <w:r w:rsidR="00376A87">
        <w:rPr>
          <w:rFonts w:ascii="Arial" w:eastAsia="Calibri" w:hAnsi="Arial" w:cs="Arial"/>
          <w:bCs/>
          <w:noProof/>
          <w:sz w:val="20"/>
        </w:rPr>
        <w:t xml:space="preserve">ланове. Това ще улесни процеса. </w:t>
      </w:r>
      <w:r w:rsidR="00D459B9" w:rsidRPr="00832EF2">
        <w:rPr>
          <w:rFonts w:ascii="Arial" w:eastAsia="Calibri" w:hAnsi="Arial" w:cs="Arial"/>
          <w:bCs/>
          <w:noProof/>
          <w:sz w:val="20"/>
        </w:rPr>
        <w:t>България подчерта изключителната важност на инструменти</w:t>
      </w:r>
      <w:r w:rsidR="00376A87">
        <w:rPr>
          <w:rFonts w:ascii="Arial" w:eastAsia="Calibri" w:hAnsi="Arial" w:cs="Arial"/>
          <w:bCs/>
          <w:noProof/>
          <w:sz w:val="20"/>
        </w:rPr>
        <w:t xml:space="preserve"> като обвързаната подкрепа, ко</w:t>
      </w:r>
      <w:r w:rsidR="009D76C1">
        <w:rPr>
          <w:rFonts w:ascii="Arial" w:eastAsia="Calibri" w:hAnsi="Arial" w:cs="Arial"/>
          <w:bCs/>
          <w:noProof/>
          <w:sz w:val="20"/>
        </w:rPr>
        <w:t>и</w:t>
      </w:r>
      <w:r w:rsidR="00D459B9" w:rsidRPr="00832EF2">
        <w:rPr>
          <w:rFonts w:ascii="Arial" w:eastAsia="Calibri" w:hAnsi="Arial" w:cs="Arial"/>
          <w:bCs/>
          <w:noProof/>
          <w:sz w:val="20"/>
        </w:rPr>
        <w:t xml:space="preserve">то </w:t>
      </w:r>
      <w:r w:rsidR="009D76C1">
        <w:rPr>
          <w:rFonts w:ascii="Arial" w:eastAsia="Calibri" w:hAnsi="Arial" w:cs="Arial"/>
          <w:bCs/>
          <w:noProof/>
          <w:sz w:val="20"/>
        </w:rPr>
        <w:lastRenderedPageBreak/>
        <w:t>имаха</w:t>
      </w:r>
      <w:r w:rsidR="00D459B9" w:rsidRPr="00832EF2">
        <w:rPr>
          <w:rFonts w:ascii="Arial" w:eastAsia="Calibri" w:hAnsi="Arial" w:cs="Arial"/>
          <w:bCs/>
          <w:noProof/>
          <w:sz w:val="20"/>
        </w:rPr>
        <w:t xml:space="preserve"> важна роля по време на пандемията и това ясно пролича при преглед</w:t>
      </w:r>
      <w:r w:rsidR="00376A87">
        <w:rPr>
          <w:rFonts w:ascii="Arial" w:eastAsia="Calibri" w:hAnsi="Arial" w:cs="Arial"/>
          <w:bCs/>
          <w:noProof/>
          <w:sz w:val="20"/>
        </w:rPr>
        <w:t>а</w:t>
      </w:r>
      <w:r w:rsidR="00D459B9" w:rsidRPr="00832EF2">
        <w:rPr>
          <w:rFonts w:ascii="Arial" w:eastAsia="Calibri" w:hAnsi="Arial" w:cs="Arial"/>
          <w:bCs/>
          <w:noProof/>
          <w:sz w:val="20"/>
        </w:rPr>
        <w:t xml:space="preserve"> на въздействието на пандемията върху селското стопанство. </w:t>
      </w:r>
      <w:r w:rsidR="009D76C1">
        <w:rPr>
          <w:rFonts w:ascii="Arial" w:eastAsia="Calibri" w:hAnsi="Arial" w:cs="Arial"/>
          <w:bCs/>
          <w:noProof/>
          <w:sz w:val="20"/>
        </w:rPr>
        <w:t>България</w:t>
      </w:r>
      <w:r w:rsidR="00D459B9" w:rsidRPr="00832EF2">
        <w:rPr>
          <w:rFonts w:ascii="Arial" w:eastAsia="Calibri" w:hAnsi="Arial" w:cs="Arial"/>
          <w:bCs/>
          <w:noProof/>
          <w:sz w:val="20"/>
        </w:rPr>
        <w:t xml:space="preserve"> счита, че капацитетът на ОСП да отговори на Зелената сделка зависи от осигуряването на достатъчен бюджет и за двата стълба на ОСП.  Множеството изисквания и нови такива, свързани с климат, околна среда и други условности налагат необходимостта от осигуряването на допълнителен бюджет. България би искала да акцентира и да обърне внимание, че </w:t>
      </w:r>
      <w:r w:rsidR="00D459B9" w:rsidRPr="00832EF2">
        <w:rPr>
          <w:rFonts w:ascii="Arial" w:eastAsia="Calibri" w:hAnsi="Arial" w:cs="Arial"/>
          <w:noProof/>
          <w:sz w:val="20"/>
        </w:rPr>
        <w:t>ангажиментите и задълженията на земеделските стопани в целия ЕС нарастват. Този факт се обуславя от множеството стратегически документи, представени от страна на Европейската комисия като част от пакета „Зелена сделка“. В тази връзка България смята, че МФР все още не може да отговори адекватно на тези нови и повече изисквания.</w:t>
      </w:r>
      <w:r w:rsidR="00D459B9" w:rsidRPr="00832EF2">
        <w:rPr>
          <w:rFonts w:ascii="Arial" w:eastAsia="Calibri" w:hAnsi="Arial" w:cs="Arial"/>
          <w:bCs/>
          <w:noProof/>
          <w:sz w:val="20"/>
        </w:rPr>
        <w:t xml:space="preserve"> </w:t>
      </w:r>
      <w:r w:rsidR="00D459B9" w:rsidRPr="00832EF2">
        <w:rPr>
          <w:rFonts w:ascii="Arial" w:eastAsia="Calibri" w:hAnsi="Arial" w:cs="Arial"/>
          <w:noProof/>
          <w:sz w:val="20"/>
        </w:rPr>
        <w:t>Новите изисквания следва да са придружени от стабилен бюджет, който да гарантира продоволствената сигурност особено по време на кризи</w:t>
      </w:r>
      <w:r w:rsidR="009D76C1">
        <w:rPr>
          <w:rFonts w:ascii="Arial" w:eastAsia="Calibri" w:hAnsi="Arial" w:cs="Arial"/>
          <w:noProof/>
          <w:sz w:val="20"/>
        </w:rPr>
        <w:t>.</w:t>
      </w:r>
      <w:bookmarkStart w:id="0" w:name="_GoBack"/>
      <w:bookmarkEnd w:id="0"/>
    </w:p>
    <w:p w14:paraId="0BD01009" w14:textId="77777777" w:rsidR="000D6813" w:rsidRPr="00832EF2" w:rsidRDefault="000D6813" w:rsidP="001B6075">
      <w:pPr>
        <w:jc w:val="both"/>
        <w:rPr>
          <w:rFonts w:ascii="Arial" w:hAnsi="Arial" w:cs="Arial"/>
          <w:noProof/>
          <w:sz w:val="20"/>
        </w:rPr>
      </w:pPr>
    </w:p>
    <w:p w14:paraId="4803D1E2" w14:textId="77777777" w:rsidR="000D6813" w:rsidRPr="00C45C51" w:rsidRDefault="000D6813" w:rsidP="001B6075">
      <w:pPr>
        <w:ind w:left="7920"/>
        <w:jc w:val="both"/>
        <w:rPr>
          <w:rFonts w:ascii="Arial" w:hAnsi="Arial" w:cs="Arial"/>
          <w:noProof/>
          <w:sz w:val="20"/>
          <w:lang w:val="en-US"/>
        </w:rPr>
      </w:pPr>
    </w:p>
    <w:sectPr w:rsidR="000D6813" w:rsidRPr="00C45C51" w:rsidSect="005E2229">
      <w:headerReference w:type="default" r:id="rId11"/>
      <w:footerReference w:type="even" r:id="rId12"/>
      <w:footerReference w:type="default" r:id="rId13"/>
      <w:pgSz w:w="11906" w:h="16838"/>
      <w:pgMar w:top="709" w:right="924" w:bottom="357" w:left="1077" w:header="533" w:footer="9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A3941" w14:textId="77777777" w:rsidR="00BC13A2" w:rsidRDefault="00BC13A2">
      <w:r>
        <w:separator/>
      </w:r>
    </w:p>
  </w:endnote>
  <w:endnote w:type="continuationSeparator" w:id="0">
    <w:p w14:paraId="6BB68306" w14:textId="77777777" w:rsidR="00BC13A2" w:rsidRDefault="00BC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Segoe UI"/>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A0AD0" w14:textId="77777777"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14:paraId="53CDA228" w14:textId="77777777" w:rsidR="005618E1" w:rsidRDefault="00BC13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C1366" w14:textId="77777777" w:rsidR="004B3CB3" w:rsidRPr="004B3CB3" w:rsidRDefault="00BC13A2" w:rsidP="004B3CB3">
    <w:pPr>
      <w:pStyle w:val="Footer"/>
      <w:pBdr>
        <w:bottom w:val="single" w:sz="4" w:space="1" w:color="7030A0"/>
      </w:pBdr>
      <w:ind w:right="-23"/>
      <w:rPr>
        <w:rFonts w:ascii="Arial" w:hAnsi="Arial"/>
        <w:i/>
        <w:iCs/>
        <w:color w:val="800080"/>
        <w:sz w:val="18"/>
        <w:szCs w:val="18"/>
        <w:lang w:val="en-US"/>
      </w:rPr>
    </w:pPr>
  </w:p>
  <w:p w14:paraId="0B010A6C" w14:textId="77777777"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14:paraId="41F986F5" w14:textId="77777777"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9D76C1">
      <w:rPr>
        <w:rFonts w:ascii="Arial" w:hAnsi="Arial"/>
        <w:i/>
        <w:iCs/>
        <w:noProof/>
        <w:color w:val="800080"/>
        <w:sz w:val="18"/>
        <w:szCs w:val="18"/>
      </w:rPr>
      <w:t>7</w:t>
    </w:r>
    <w:r w:rsidRPr="004B3CB3">
      <w:rPr>
        <w:rFonts w:ascii="Arial" w:hAnsi="Arial"/>
        <w:i/>
        <w:iCs/>
        <w:color w:val="800080"/>
        <w:sz w:val="18"/>
        <w:szCs w:val="18"/>
      </w:rPr>
      <w:fldChar w:fldCharType="end"/>
    </w:r>
  </w:p>
  <w:p w14:paraId="1CBB47E9" w14:textId="77777777" w:rsidR="005618E1" w:rsidRPr="004B3CB3" w:rsidRDefault="00BC13A2">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685B7" w14:textId="77777777" w:rsidR="00BC13A2" w:rsidRDefault="00BC13A2">
      <w:r>
        <w:separator/>
      </w:r>
    </w:p>
  </w:footnote>
  <w:footnote w:type="continuationSeparator" w:id="0">
    <w:p w14:paraId="1D6DCAF4" w14:textId="77777777" w:rsidR="00BC13A2" w:rsidRDefault="00BC1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14:paraId="2D4A677F" w14:textId="77777777">
      <w:trPr>
        <w:trHeight w:val="495"/>
      </w:trPr>
      <w:tc>
        <w:tcPr>
          <w:tcW w:w="7379" w:type="dxa"/>
        </w:tcPr>
        <w:p w14:paraId="14DFA2BD" w14:textId="77777777" w:rsidR="005618E1" w:rsidRDefault="00403CB9">
          <w:r>
            <w:rPr>
              <w:rFonts w:ascii="Palatino Linotype" w:hAnsi="Palatino Linotype" w:cs="Palatino Linotype"/>
              <w:i/>
              <w:iCs/>
              <w:noProof/>
              <w:sz w:val="52"/>
              <w:szCs w:val="52"/>
              <w:lang w:eastAsia="bg-BG"/>
            </w:rPr>
            <w:drawing>
              <wp:inline distT="0" distB="0" distL="0" distR="0" wp14:anchorId="2A081E5B" wp14:editId="148150B1">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14:paraId="6272E168" w14:textId="77777777" w:rsidR="005618E1" w:rsidRDefault="00BC13A2" w:rsidP="00831EFF">
          <w:pPr>
            <w:jc w:val="right"/>
            <w:rPr>
              <w:rFonts w:ascii="Comic Sans MS" w:hAnsi="Comic Sans MS" w:cs="Arial"/>
              <w:b/>
              <w:color w:val="640064"/>
              <w:sz w:val="18"/>
              <w:szCs w:val="18"/>
            </w:rPr>
          </w:pPr>
        </w:p>
        <w:p w14:paraId="6C3E4E30" w14:textId="77777777"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14:paraId="44706E99" w14:textId="77777777">
      <w:trPr>
        <w:trHeight w:val="241"/>
      </w:trPr>
      <w:tc>
        <w:tcPr>
          <w:tcW w:w="7379" w:type="dxa"/>
          <w:tcBorders>
            <w:bottom w:val="single" w:sz="24" w:space="0" w:color="0000FF"/>
          </w:tcBorders>
        </w:tcPr>
        <w:p w14:paraId="1A7147E2" w14:textId="77777777"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14:paraId="06DF6D4A" w14:textId="77777777" w:rsidR="005618E1" w:rsidRDefault="00BC13A2">
          <w:pPr>
            <w:rPr>
              <w:lang w:val="ru-RU"/>
            </w:rPr>
          </w:pPr>
        </w:p>
      </w:tc>
    </w:tr>
  </w:tbl>
  <w:p w14:paraId="284FBEB2" w14:textId="77777777"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8D7A9E">
      <w:rPr>
        <w:rFonts w:ascii="Arial" w:hAnsi="Arial"/>
        <w:b/>
        <w:bCs/>
        <w:color w:val="800080"/>
        <w:sz w:val="20"/>
        <w:lang w:val="en-US"/>
      </w:rPr>
      <w:t>2</w:t>
    </w:r>
    <w:r w:rsidR="00B16C07">
      <w:rPr>
        <w:rFonts w:ascii="Arial" w:hAnsi="Arial"/>
        <w:b/>
        <w:bCs/>
        <w:color w:val="800080"/>
        <w:sz w:val="20"/>
        <w:lang w:val="en-US"/>
      </w:rPr>
      <w:t>4</w:t>
    </w:r>
    <w:r>
      <w:rPr>
        <w:rFonts w:ascii="Arial" w:hAnsi="Arial"/>
        <w:b/>
        <w:bCs/>
        <w:color w:val="800080"/>
        <w:sz w:val="20"/>
      </w:rPr>
      <w:t>/</w:t>
    </w:r>
    <w:r w:rsidR="00B16C07">
      <w:rPr>
        <w:rFonts w:ascii="Arial" w:hAnsi="Arial"/>
        <w:b/>
        <w:bCs/>
        <w:color w:val="800080"/>
        <w:sz w:val="20"/>
        <w:lang w:val="en-US"/>
      </w:rPr>
      <w:t>15</w:t>
    </w:r>
    <w:r w:rsidR="006E7A46">
      <w:rPr>
        <w:rFonts w:ascii="Arial" w:hAnsi="Arial"/>
        <w:b/>
        <w:bCs/>
        <w:color w:val="800080"/>
        <w:sz w:val="20"/>
        <w:lang w:val="en-US"/>
      </w:rPr>
      <w:t>.</w:t>
    </w:r>
    <w:r w:rsidR="002C512F">
      <w:rPr>
        <w:rFonts w:ascii="Arial" w:hAnsi="Arial"/>
        <w:b/>
        <w:bCs/>
        <w:color w:val="800080"/>
        <w:sz w:val="20"/>
        <w:lang w:val="en-US"/>
      </w:rPr>
      <w:t>0</w:t>
    </w:r>
    <w:r w:rsidR="00305C45">
      <w:rPr>
        <w:rFonts w:ascii="Arial" w:hAnsi="Arial"/>
        <w:b/>
        <w:bCs/>
        <w:color w:val="800080"/>
        <w:sz w:val="20"/>
        <w:lang w:val="en-US"/>
      </w:rPr>
      <w:t>6</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1C26E73"/>
    <w:multiLevelType w:val="hybridMultilevel"/>
    <w:tmpl w:val="727A2C74"/>
    <w:lvl w:ilvl="0" w:tplc="EBB41D90">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52BF29DA"/>
    <w:multiLevelType w:val="hybridMultilevel"/>
    <w:tmpl w:val="2A74167C"/>
    <w:lvl w:ilvl="0" w:tplc="6D98C45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2CE5747"/>
    <w:multiLevelType w:val="hybridMultilevel"/>
    <w:tmpl w:val="0EB0BCA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nsid w:val="66EB0908"/>
    <w:multiLevelType w:val="hybridMultilevel"/>
    <w:tmpl w:val="BA38744E"/>
    <w:lvl w:ilvl="0" w:tplc="D630AF5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3"/>
  </w:num>
  <w:num w:numId="5">
    <w:abstractNumId w:val="0"/>
  </w:num>
  <w:num w:numId="6">
    <w:abstractNumId w:val="1"/>
  </w:num>
  <w:num w:numId="7">
    <w:abstractNumId w:val="6"/>
  </w:num>
  <w:num w:numId="8">
    <w:abstractNumId w:val="4"/>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A0C"/>
    <w:rsid w:val="000144D9"/>
    <w:rsid w:val="0001496E"/>
    <w:rsid w:val="0002497A"/>
    <w:rsid w:val="00024DB1"/>
    <w:rsid w:val="00032EDB"/>
    <w:rsid w:val="0004366B"/>
    <w:rsid w:val="00046BB0"/>
    <w:rsid w:val="00046D50"/>
    <w:rsid w:val="00050832"/>
    <w:rsid w:val="000518AE"/>
    <w:rsid w:val="0005714A"/>
    <w:rsid w:val="0006687D"/>
    <w:rsid w:val="000678FD"/>
    <w:rsid w:val="0007208A"/>
    <w:rsid w:val="00075CA3"/>
    <w:rsid w:val="00081DAE"/>
    <w:rsid w:val="000903E0"/>
    <w:rsid w:val="00091CD4"/>
    <w:rsid w:val="000A31F0"/>
    <w:rsid w:val="000B2026"/>
    <w:rsid w:val="000B7B54"/>
    <w:rsid w:val="000C1B53"/>
    <w:rsid w:val="000D0E4E"/>
    <w:rsid w:val="000D6813"/>
    <w:rsid w:val="001164FC"/>
    <w:rsid w:val="001173C3"/>
    <w:rsid w:val="00117A81"/>
    <w:rsid w:val="00120AD2"/>
    <w:rsid w:val="00126A12"/>
    <w:rsid w:val="00131A6D"/>
    <w:rsid w:val="00134872"/>
    <w:rsid w:val="0013606E"/>
    <w:rsid w:val="0014608C"/>
    <w:rsid w:val="0015302B"/>
    <w:rsid w:val="001602E7"/>
    <w:rsid w:val="001639CC"/>
    <w:rsid w:val="00170DF4"/>
    <w:rsid w:val="00173E25"/>
    <w:rsid w:val="00180311"/>
    <w:rsid w:val="00180441"/>
    <w:rsid w:val="00184A6F"/>
    <w:rsid w:val="00186654"/>
    <w:rsid w:val="00193EEE"/>
    <w:rsid w:val="001A3B2B"/>
    <w:rsid w:val="001A6A7A"/>
    <w:rsid w:val="001A7129"/>
    <w:rsid w:val="001B1430"/>
    <w:rsid w:val="001B416E"/>
    <w:rsid w:val="001B5399"/>
    <w:rsid w:val="001B6075"/>
    <w:rsid w:val="001C17F8"/>
    <w:rsid w:val="001C1801"/>
    <w:rsid w:val="001C3011"/>
    <w:rsid w:val="001C3F62"/>
    <w:rsid w:val="001E1EAA"/>
    <w:rsid w:val="001E1F98"/>
    <w:rsid w:val="001E4050"/>
    <w:rsid w:val="001E4C01"/>
    <w:rsid w:val="001F2EC7"/>
    <w:rsid w:val="001F396B"/>
    <w:rsid w:val="00210721"/>
    <w:rsid w:val="002118F6"/>
    <w:rsid w:val="00215B7E"/>
    <w:rsid w:val="002163C0"/>
    <w:rsid w:val="002204F2"/>
    <w:rsid w:val="00221CDF"/>
    <w:rsid w:val="002269B5"/>
    <w:rsid w:val="0024546F"/>
    <w:rsid w:val="002521C1"/>
    <w:rsid w:val="002610A9"/>
    <w:rsid w:val="002653C2"/>
    <w:rsid w:val="00274F4E"/>
    <w:rsid w:val="00275471"/>
    <w:rsid w:val="00285183"/>
    <w:rsid w:val="0029075B"/>
    <w:rsid w:val="002918DE"/>
    <w:rsid w:val="0029220D"/>
    <w:rsid w:val="00294978"/>
    <w:rsid w:val="002A2BBE"/>
    <w:rsid w:val="002A2C5F"/>
    <w:rsid w:val="002A4692"/>
    <w:rsid w:val="002A5150"/>
    <w:rsid w:val="002A6A4C"/>
    <w:rsid w:val="002B2639"/>
    <w:rsid w:val="002B379D"/>
    <w:rsid w:val="002B44DA"/>
    <w:rsid w:val="002C21A3"/>
    <w:rsid w:val="002C512F"/>
    <w:rsid w:val="002C5DEB"/>
    <w:rsid w:val="002C6EFE"/>
    <w:rsid w:val="002D0216"/>
    <w:rsid w:val="002D1A87"/>
    <w:rsid w:val="002D25F9"/>
    <w:rsid w:val="002D4BE9"/>
    <w:rsid w:val="002F1104"/>
    <w:rsid w:val="002F4335"/>
    <w:rsid w:val="002F6211"/>
    <w:rsid w:val="002F7E40"/>
    <w:rsid w:val="00300FA3"/>
    <w:rsid w:val="00303C35"/>
    <w:rsid w:val="00304D05"/>
    <w:rsid w:val="00305C45"/>
    <w:rsid w:val="00312DA6"/>
    <w:rsid w:val="00313FBA"/>
    <w:rsid w:val="00320AF0"/>
    <w:rsid w:val="0033369E"/>
    <w:rsid w:val="003535AF"/>
    <w:rsid w:val="003536C1"/>
    <w:rsid w:val="00353ACF"/>
    <w:rsid w:val="00374D6A"/>
    <w:rsid w:val="00376A87"/>
    <w:rsid w:val="003877CA"/>
    <w:rsid w:val="00390739"/>
    <w:rsid w:val="003952CE"/>
    <w:rsid w:val="00396C28"/>
    <w:rsid w:val="003A56BA"/>
    <w:rsid w:val="003B7AAB"/>
    <w:rsid w:val="003C0E47"/>
    <w:rsid w:val="003C1BFF"/>
    <w:rsid w:val="003C3DEB"/>
    <w:rsid w:val="003D0C6C"/>
    <w:rsid w:val="003D4968"/>
    <w:rsid w:val="003D4D18"/>
    <w:rsid w:val="003D56F3"/>
    <w:rsid w:val="003D5B7F"/>
    <w:rsid w:val="003D6634"/>
    <w:rsid w:val="003E0404"/>
    <w:rsid w:val="003E118D"/>
    <w:rsid w:val="003E5CB2"/>
    <w:rsid w:val="003F290B"/>
    <w:rsid w:val="003F562A"/>
    <w:rsid w:val="003F6B40"/>
    <w:rsid w:val="00403CB9"/>
    <w:rsid w:val="004048A9"/>
    <w:rsid w:val="00411829"/>
    <w:rsid w:val="004133A8"/>
    <w:rsid w:val="00414784"/>
    <w:rsid w:val="00422311"/>
    <w:rsid w:val="004317EA"/>
    <w:rsid w:val="0043388D"/>
    <w:rsid w:val="0044148C"/>
    <w:rsid w:val="00446398"/>
    <w:rsid w:val="0046415A"/>
    <w:rsid w:val="004923C1"/>
    <w:rsid w:val="00496775"/>
    <w:rsid w:val="004A0254"/>
    <w:rsid w:val="004A175F"/>
    <w:rsid w:val="004A4C92"/>
    <w:rsid w:val="004A626E"/>
    <w:rsid w:val="004B46D9"/>
    <w:rsid w:val="004B5020"/>
    <w:rsid w:val="004C288E"/>
    <w:rsid w:val="004D0A7C"/>
    <w:rsid w:val="004D228A"/>
    <w:rsid w:val="004D2574"/>
    <w:rsid w:val="004E3096"/>
    <w:rsid w:val="004F2608"/>
    <w:rsid w:val="004F4705"/>
    <w:rsid w:val="004F5E4F"/>
    <w:rsid w:val="00502A0A"/>
    <w:rsid w:val="0051071D"/>
    <w:rsid w:val="00513AF2"/>
    <w:rsid w:val="005159B7"/>
    <w:rsid w:val="005179AD"/>
    <w:rsid w:val="005247A5"/>
    <w:rsid w:val="0052706F"/>
    <w:rsid w:val="005279E4"/>
    <w:rsid w:val="00530C09"/>
    <w:rsid w:val="00537A32"/>
    <w:rsid w:val="00542DE9"/>
    <w:rsid w:val="00550360"/>
    <w:rsid w:val="00553231"/>
    <w:rsid w:val="00562C02"/>
    <w:rsid w:val="00563064"/>
    <w:rsid w:val="0058346D"/>
    <w:rsid w:val="00594324"/>
    <w:rsid w:val="00596313"/>
    <w:rsid w:val="005971D2"/>
    <w:rsid w:val="005A0184"/>
    <w:rsid w:val="005A051D"/>
    <w:rsid w:val="005B1884"/>
    <w:rsid w:val="005B4574"/>
    <w:rsid w:val="005C1BB7"/>
    <w:rsid w:val="005E2229"/>
    <w:rsid w:val="005E236E"/>
    <w:rsid w:val="00602CC6"/>
    <w:rsid w:val="006068B4"/>
    <w:rsid w:val="0061663A"/>
    <w:rsid w:val="00623765"/>
    <w:rsid w:val="00624C14"/>
    <w:rsid w:val="00626A3F"/>
    <w:rsid w:val="00627881"/>
    <w:rsid w:val="006367A9"/>
    <w:rsid w:val="00637696"/>
    <w:rsid w:val="00642BB6"/>
    <w:rsid w:val="0066444F"/>
    <w:rsid w:val="0067778D"/>
    <w:rsid w:val="00682667"/>
    <w:rsid w:val="006851E5"/>
    <w:rsid w:val="006961F0"/>
    <w:rsid w:val="006A094F"/>
    <w:rsid w:val="006A2622"/>
    <w:rsid w:val="006A7391"/>
    <w:rsid w:val="006A739D"/>
    <w:rsid w:val="006C196D"/>
    <w:rsid w:val="006C2DB5"/>
    <w:rsid w:val="006D0175"/>
    <w:rsid w:val="006D4DFF"/>
    <w:rsid w:val="006E7A46"/>
    <w:rsid w:val="006F38F7"/>
    <w:rsid w:val="0070200F"/>
    <w:rsid w:val="007023FB"/>
    <w:rsid w:val="00705B40"/>
    <w:rsid w:val="00713942"/>
    <w:rsid w:val="00714838"/>
    <w:rsid w:val="00726AB6"/>
    <w:rsid w:val="00734448"/>
    <w:rsid w:val="00740332"/>
    <w:rsid w:val="00750EF4"/>
    <w:rsid w:val="00750FB4"/>
    <w:rsid w:val="007578F8"/>
    <w:rsid w:val="007712FE"/>
    <w:rsid w:val="00782D3D"/>
    <w:rsid w:val="007846E5"/>
    <w:rsid w:val="007A388B"/>
    <w:rsid w:val="007A70E6"/>
    <w:rsid w:val="007B03F2"/>
    <w:rsid w:val="007B0CB0"/>
    <w:rsid w:val="007C75B4"/>
    <w:rsid w:val="007D7438"/>
    <w:rsid w:val="007D7CAA"/>
    <w:rsid w:val="007E475C"/>
    <w:rsid w:val="007F4E89"/>
    <w:rsid w:val="008030C3"/>
    <w:rsid w:val="00811B89"/>
    <w:rsid w:val="00816686"/>
    <w:rsid w:val="0082007C"/>
    <w:rsid w:val="008206C1"/>
    <w:rsid w:val="0083184F"/>
    <w:rsid w:val="0083232B"/>
    <w:rsid w:val="00832EF2"/>
    <w:rsid w:val="00845489"/>
    <w:rsid w:val="00847B5C"/>
    <w:rsid w:val="00852DE4"/>
    <w:rsid w:val="00861450"/>
    <w:rsid w:val="00865E24"/>
    <w:rsid w:val="0087702E"/>
    <w:rsid w:val="0087763E"/>
    <w:rsid w:val="008803A4"/>
    <w:rsid w:val="00880645"/>
    <w:rsid w:val="008836F2"/>
    <w:rsid w:val="008933AB"/>
    <w:rsid w:val="008A1360"/>
    <w:rsid w:val="008A2B26"/>
    <w:rsid w:val="008A4238"/>
    <w:rsid w:val="008B2118"/>
    <w:rsid w:val="008D0E78"/>
    <w:rsid w:val="008D2FF4"/>
    <w:rsid w:val="008D58EC"/>
    <w:rsid w:val="008D7A9E"/>
    <w:rsid w:val="008E0F81"/>
    <w:rsid w:val="008F1C90"/>
    <w:rsid w:val="008F7ECC"/>
    <w:rsid w:val="00903C49"/>
    <w:rsid w:val="009063C7"/>
    <w:rsid w:val="0090678A"/>
    <w:rsid w:val="00910462"/>
    <w:rsid w:val="00917F99"/>
    <w:rsid w:val="009203FA"/>
    <w:rsid w:val="00934FA6"/>
    <w:rsid w:val="009355BA"/>
    <w:rsid w:val="00955B0D"/>
    <w:rsid w:val="00956512"/>
    <w:rsid w:val="009704A2"/>
    <w:rsid w:val="00975F09"/>
    <w:rsid w:val="00977CA7"/>
    <w:rsid w:val="00994A2E"/>
    <w:rsid w:val="0099695D"/>
    <w:rsid w:val="009A2752"/>
    <w:rsid w:val="009A2D05"/>
    <w:rsid w:val="009A5D09"/>
    <w:rsid w:val="009B1FAD"/>
    <w:rsid w:val="009B62F0"/>
    <w:rsid w:val="009C5FCB"/>
    <w:rsid w:val="009C6056"/>
    <w:rsid w:val="009D0924"/>
    <w:rsid w:val="009D6F1E"/>
    <w:rsid w:val="009D76C1"/>
    <w:rsid w:val="009E0529"/>
    <w:rsid w:val="009E45D3"/>
    <w:rsid w:val="009E6BDB"/>
    <w:rsid w:val="009F4E95"/>
    <w:rsid w:val="009F58DD"/>
    <w:rsid w:val="009F7022"/>
    <w:rsid w:val="00A02393"/>
    <w:rsid w:val="00A1170C"/>
    <w:rsid w:val="00A15D87"/>
    <w:rsid w:val="00A227FC"/>
    <w:rsid w:val="00A24B49"/>
    <w:rsid w:val="00A25AAA"/>
    <w:rsid w:val="00A33F23"/>
    <w:rsid w:val="00A447C0"/>
    <w:rsid w:val="00A50E2C"/>
    <w:rsid w:val="00A5214D"/>
    <w:rsid w:val="00A53630"/>
    <w:rsid w:val="00A56825"/>
    <w:rsid w:val="00A62019"/>
    <w:rsid w:val="00A673EB"/>
    <w:rsid w:val="00A74737"/>
    <w:rsid w:val="00A77EC5"/>
    <w:rsid w:val="00A94D53"/>
    <w:rsid w:val="00AA366F"/>
    <w:rsid w:val="00AB00AC"/>
    <w:rsid w:val="00AB140A"/>
    <w:rsid w:val="00AB1841"/>
    <w:rsid w:val="00AB2303"/>
    <w:rsid w:val="00AB5E05"/>
    <w:rsid w:val="00AC73DE"/>
    <w:rsid w:val="00AD504F"/>
    <w:rsid w:val="00AE0D25"/>
    <w:rsid w:val="00AE14FF"/>
    <w:rsid w:val="00AE2FF4"/>
    <w:rsid w:val="00AF58B3"/>
    <w:rsid w:val="00B03285"/>
    <w:rsid w:val="00B16835"/>
    <w:rsid w:val="00B16C07"/>
    <w:rsid w:val="00B200ED"/>
    <w:rsid w:val="00B3223C"/>
    <w:rsid w:val="00B34793"/>
    <w:rsid w:val="00B36E39"/>
    <w:rsid w:val="00B411AC"/>
    <w:rsid w:val="00B539A9"/>
    <w:rsid w:val="00B6207E"/>
    <w:rsid w:val="00B6408B"/>
    <w:rsid w:val="00B64F87"/>
    <w:rsid w:val="00B73DA3"/>
    <w:rsid w:val="00B81125"/>
    <w:rsid w:val="00B8112B"/>
    <w:rsid w:val="00B853D4"/>
    <w:rsid w:val="00B90317"/>
    <w:rsid w:val="00B93F21"/>
    <w:rsid w:val="00BA2A9E"/>
    <w:rsid w:val="00BA6827"/>
    <w:rsid w:val="00BC13A2"/>
    <w:rsid w:val="00BC35B8"/>
    <w:rsid w:val="00BC70E2"/>
    <w:rsid w:val="00BD0A75"/>
    <w:rsid w:val="00BE4317"/>
    <w:rsid w:val="00BE55CA"/>
    <w:rsid w:val="00BF118B"/>
    <w:rsid w:val="00BF28EC"/>
    <w:rsid w:val="00C00F88"/>
    <w:rsid w:val="00C05E95"/>
    <w:rsid w:val="00C20809"/>
    <w:rsid w:val="00C2252B"/>
    <w:rsid w:val="00C3643A"/>
    <w:rsid w:val="00C37B23"/>
    <w:rsid w:val="00C44608"/>
    <w:rsid w:val="00C45C51"/>
    <w:rsid w:val="00C474BE"/>
    <w:rsid w:val="00C574EE"/>
    <w:rsid w:val="00C60D17"/>
    <w:rsid w:val="00C6312D"/>
    <w:rsid w:val="00C67673"/>
    <w:rsid w:val="00C718EB"/>
    <w:rsid w:val="00C72C3B"/>
    <w:rsid w:val="00C75661"/>
    <w:rsid w:val="00C7577F"/>
    <w:rsid w:val="00C801BF"/>
    <w:rsid w:val="00C900CA"/>
    <w:rsid w:val="00C9363D"/>
    <w:rsid w:val="00C9732D"/>
    <w:rsid w:val="00CA35A8"/>
    <w:rsid w:val="00CA7960"/>
    <w:rsid w:val="00CB196D"/>
    <w:rsid w:val="00CB2886"/>
    <w:rsid w:val="00CB5F66"/>
    <w:rsid w:val="00CC7CF0"/>
    <w:rsid w:val="00CE5E69"/>
    <w:rsid w:val="00CF0DEA"/>
    <w:rsid w:val="00D000AE"/>
    <w:rsid w:val="00D100BD"/>
    <w:rsid w:val="00D1195A"/>
    <w:rsid w:val="00D13A57"/>
    <w:rsid w:val="00D167B1"/>
    <w:rsid w:val="00D24843"/>
    <w:rsid w:val="00D25C9A"/>
    <w:rsid w:val="00D3159B"/>
    <w:rsid w:val="00D32B06"/>
    <w:rsid w:val="00D43BBD"/>
    <w:rsid w:val="00D459B9"/>
    <w:rsid w:val="00D50091"/>
    <w:rsid w:val="00D52E17"/>
    <w:rsid w:val="00D61B59"/>
    <w:rsid w:val="00D6359C"/>
    <w:rsid w:val="00D63914"/>
    <w:rsid w:val="00D758EF"/>
    <w:rsid w:val="00D80D84"/>
    <w:rsid w:val="00D8519B"/>
    <w:rsid w:val="00D86732"/>
    <w:rsid w:val="00D869D4"/>
    <w:rsid w:val="00DA44A9"/>
    <w:rsid w:val="00DA4860"/>
    <w:rsid w:val="00DA5DC0"/>
    <w:rsid w:val="00DB607B"/>
    <w:rsid w:val="00DC5A8E"/>
    <w:rsid w:val="00DE752F"/>
    <w:rsid w:val="00DF7E91"/>
    <w:rsid w:val="00E02B6A"/>
    <w:rsid w:val="00E11E0B"/>
    <w:rsid w:val="00E17E07"/>
    <w:rsid w:val="00E2125A"/>
    <w:rsid w:val="00E23670"/>
    <w:rsid w:val="00E24FA2"/>
    <w:rsid w:val="00E256E7"/>
    <w:rsid w:val="00E3215A"/>
    <w:rsid w:val="00E35D6F"/>
    <w:rsid w:val="00E4290A"/>
    <w:rsid w:val="00E44DF1"/>
    <w:rsid w:val="00E47639"/>
    <w:rsid w:val="00E51A6D"/>
    <w:rsid w:val="00E5449B"/>
    <w:rsid w:val="00E6099A"/>
    <w:rsid w:val="00E60B1D"/>
    <w:rsid w:val="00E67885"/>
    <w:rsid w:val="00E87B38"/>
    <w:rsid w:val="00EA4B29"/>
    <w:rsid w:val="00EA4B99"/>
    <w:rsid w:val="00EA5878"/>
    <w:rsid w:val="00EB0F17"/>
    <w:rsid w:val="00EB289B"/>
    <w:rsid w:val="00EB4927"/>
    <w:rsid w:val="00EB783C"/>
    <w:rsid w:val="00EC0DDC"/>
    <w:rsid w:val="00EC4213"/>
    <w:rsid w:val="00EC6BA3"/>
    <w:rsid w:val="00ED62E3"/>
    <w:rsid w:val="00EE1065"/>
    <w:rsid w:val="00EE38E7"/>
    <w:rsid w:val="00EE7B1B"/>
    <w:rsid w:val="00F029F3"/>
    <w:rsid w:val="00F0360F"/>
    <w:rsid w:val="00F12C83"/>
    <w:rsid w:val="00F23EFD"/>
    <w:rsid w:val="00F30D26"/>
    <w:rsid w:val="00F31485"/>
    <w:rsid w:val="00F40970"/>
    <w:rsid w:val="00F43319"/>
    <w:rsid w:val="00F4416D"/>
    <w:rsid w:val="00F46139"/>
    <w:rsid w:val="00F531AD"/>
    <w:rsid w:val="00F6008B"/>
    <w:rsid w:val="00F671A9"/>
    <w:rsid w:val="00F67B7A"/>
    <w:rsid w:val="00F70B6C"/>
    <w:rsid w:val="00F72B07"/>
    <w:rsid w:val="00F72F6C"/>
    <w:rsid w:val="00F73C4B"/>
    <w:rsid w:val="00F74337"/>
    <w:rsid w:val="00F92740"/>
    <w:rsid w:val="00F95033"/>
    <w:rsid w:val="00FC4363"/>
    <w:rsid w:val="00FD4196"/>
    <w:rsid w:val="00FD5503"/>
    <w:rsid w:val="00FE14C1"/>
    <w:rsid w:val="00FE4D8F"/>
    <w:rsid w:val="00FE657F"/>
    <w:rsid w:val="00FF041A"/>
    <w:rsid w:val="00FF3C83"/>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2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2441226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267392657">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oell.de/en/insectatlas" TargetMode="External"/><Relationship Id="rId4" Type="http://schemas.microsoft.com/office/2007/relationships/stylesWithEffects" Target="stylesWithEffects.xml"/><Relationship Id="rId9" Type="http://schemas.openxmlformats.org/officeDocument/2006/relationships/hyperlink" Target="http://www.fao.org/documents/card/en/c/ca9509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CF854-FC88-4128-8ED0-DDB96A32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5258</Words>
  <Characters>29975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10</cp:revision>
  <dcterms:created xsi:type="dcterms:W3CDTF">2020-06-15T13:27:00Z</dcterms:created>
  <dcterms:modified xsi:type="dcterms:W3CDTF">2020-06-15T13:47:00Z</dcterms:modified>
</cp:coreProperties>
</file>