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E95" w:rsidRDefault="005E7E95">
      <w:pPr>
        <w:pStyle w:val="Heading3"/>
        <w:spacing w:after="321"/>
        <w:jc w:val="center"/>
        <w:rPr>
          <w:b/>
          <w:sz w:val="36"/>
        </w:rPr>
      </w:pPr>
      <w:bookmarkStart w:id="0" w:name="_GoBack"/>
      <w:bookmarkEnd w:id="0"/>
      <w:r>
        <w:rPr>
          <w:b/>
          <w:sz w:val="36"/>
        </w:rPr>
        <w:t>НАРЕДБА № 105 от 22.08.2006 г. за условията и реда за създаване, поддържане, достъп и ползване на Интегрираната система за администриране и контрол</w:t>
      </w:r>
    </w:p>
    <w:p w:rsidR="005E7E95" w:rsidRDefault="005E7E95">
      <w:pPr>
        <w:autoSpaceDE w:val="0"/>
        <w:autoSpaceDN w:val="0"/>
        <w:adjustRightInd w:val="0"/>
        <w:spacing w:before="120"/>
        <w:ind w:firstLine="990"/>
      </w:pPr>
      <w:r>
        <w:t>Издадена от министъра на земеделието и горите, обн., ДВ, бр. 82 от 10.10.2006 г., изм. и доп., бр. 37 от 8.04.2008 г., доп., бр. 18 от 1.03.2011 г., изм. и доп., бр. 21 от 13.03.2012 г. бр. 101 от 18.12.2012 г., в сила от 18.12.2012 г., доп., бр. 22 от 11.03.2014 г., в сила от 11.03.2014 г., изм., бр. 43 от 23.05.2014 г., в сила от 23.05.2014 г., изм. и доп., бр. 16 от 27.02.2015 г.; изм. с Решение № 1155 на ВАС от 2.02.2015 г. - бр. 50 от 3.07.2015 г.; изм. и доп., бр. 90 от 20.11.2015 г., в сила от 20.11.2015 г., бр. 8 от 24.01.2017 г., в сила от 24.01.2017 г., бр. 24 от 16.03.2018 г., в сила от 16.03.2018 г., бр. 18 от 28.02.2020 г., в сила от 28.02.2020 г., бр. 11 от 9.02.2021 г., в сила от 9.02.2021 г., изм., бр. 33 от 20.04.2021 г., в сила от 20.04.2021 г., изм. и доп., бр. 62 от 21.07.2023 г., в сила от 21.07.2023 г., изм., бр. 92 от 1.11.2024 г., в сила от 1.11.2024 г.</w:t>
      </w:r>
    </w:p>
    <w:p w:rsidR="005E7E95" w:rsidRDefault="005E7E95">
      <w:pPr>
        <w:pStyle w:val="Heading3"/>
        <w:spacing w:after="321"/>
        <w:jc w:val="center"/>
        <w:rPr>
          <w:b/>
          <w:sz w:val="36"/>
        </w:rPr>
      </w:pPr>
      <w:r>
        <w:rPr>
          <w:b/>
          <w:sz w:val="36"/>
        </w:rPr>
        <w:t>Глава първа</w:t>
      </w:r>
      <w:r>
        <w:rPr>
          <w:b/>
          <w:sz w:val="36"/>
        </w:rPr>
        <w:br/>
        <w:t>ОБЩИ ПОЛОЖЕНИЯ</w:t>
      </w:r>
    </w:p>
    <w:p w:rsidR="005E7E95" w:rsidRDefault="005E7E95">
      <w:pPr>
        <w:autoSpaceDE w:val="0"/>
        <w:autoSpaceDN w:val="0"/>
        <w:adjustRightInd w:val="0"/>
        <w:spacing w:before="120"/>
        <w:ind w:firstLine="990"/>
      </w:pPr>
      <w:r>
        <w:t>Чл. 1. (Изм. – ДВ, бр. 16 от 2015 г., доп., бр. 11 от 2021 г., в сила от 9.02.2021 г., изм., бр. 62 от 2023 г., в сила от 21.07.2023 г.) (1) С тази наредба се уреждат условията и редът за създаване, поддържане, достъп и ползване на:</w:t>
      </w:r>
    </w:p>
    <w:p w:rsidR="005E7E95" w:rsidRDefault="005E7E95">
      <w:pPr>
        <w:autoSpaceDE w:val="0"/>
        <w:autoSpaceDN w:val="0"/>
        <w:adjustRightInd w:val="0"/>
      </w:pPr>
      <w:r>
        <w:t>1. система за регистрация на кандидатите, на заявленията за подпомагане и на заявките за плащане;</w:t>
      </w:r>
    </w:p>
    <w:p w:rsidR="005E7E95" w:rsidRDefault="005E7E95">
      <w:pPr>
        <w:autoSpaceDE w:val="0"/>
        <w:autoSpaceDN w:val="0"/>
        <w:adjustRightInd w:val="0"/>
      </w:pPr>
      <w:r>
        <w:t>2. система за идентификация на земеделските парцели;</w:t>
      </w:r>
    </w:p>
    <w:p w:rsidR="005E7E95" w:rsidRDefault="005E7E95">
      <w:pPr>
        <w:autoSpaceDE w:val="0"/>
        <w:autoSpaceDN w:val="0"/>
        <w:adjustRightInd w:val="0"/>
      </w:pPr>
      <w:r>
        <w:t>3. система за идентификация и регистрация на животните;</w:t>
      </w:r>
    </w:p>
    <w:p w:rsidR="005E7E95" w:rsidRDefault="005E7E95">
      <w:pPr>
        <w:autoSpaceDE w:val="0"/>
        <w:autoSpaceDN w:val="0"/>
        <w:adjustRightInd w:val="0"/>
      </w:pPr>
      <w:r>
        <w:t>4. интегрирана система за контрол и санкции;</w:t>
      </w:r>
    </w:p>
    <w:p w:rsidR="005E7E95" w:rsidRDefault="005E7E95">
      <w:pPr>
        <w:autoSpaceDE w:val="0"/>
        <w:autoSpaceDN w:val="0"/>
        <w:adjustRightInd w:val="0"/>
      </w:pPr>
      <w:r>
        <w:t>5. електронна база данни;</w:t>
      </w:r>
    </w:p>
    <w:p w:rsidR="005E7E95" w:rsidRDefault="005E7E95">
      <w:pPr>
        <w:autoSpaceDE w:val="0"/>
        <w:autoSpaceDN w:val="0"/>
        <w:adjustRightInd w:val="0"/>
      </w:pPr>
      <w:r>
        <w:t>6. система за електронни услуги, наричана по-нататък СЕУ;</w:t>
      </w:r>
    </w:p>
    <w:p w:rsidR="005E7E95" w:rsidRDefault="005E7E95">
      <w:pPr>
        <w:autoSpaceDE w:val="0"/>
        <w:autoSpaceDN w:val="0"/>
        <w:adjustRightInd w:val="0"/>
      </w:pPr>
      <w:r>
        <w:t>7. система за мониторинг на площта;</w:t>
      </w:r>
    </w:p>
    <w:p w:rsidR="005E7E95" w:rsidRDefault="005E7E95">
      <w:pPr>
        <w:autoSpaceDE w:val="0"/>
        <w:autoSpaceDN w:val="0"/>
        <w:adjustRightInd w:val="0"/>
      </w:pPr>
      <w:r>
        <w:t>8. система за геопространствени заявления и за заявления въз основа на броя на животните;</w:t>
      </w:r>
    </w:p>
    <w:p w:rsidR="005E7E95" w:rsidRDefault="005E7E95">
      <w:pPr>
        <w:autoSpaceDE w:val="0"/>
        <w:autoSpaceDN w:val="0"/>
        <w:adjustRightInd w:val="0"/>
      </w:pPr>
      <w:r>
        <w:t>9. информацията, въвеждана в Интегрираната система за администриране и контрол (ИСАК).</w:t>
      </w:r>
    </w:p>
    <w:p w:rsidR="005E7E95" w:rsidRDefault="005E7E95">
      <w:pPr>
        <w:autoSpaceDE w:val="0"/>
        <w:autoSpaceDN w:val="0"/>
        <w:adjustRightInd w:val="0"/>
      </w:pPr>
      <w:r>
        <w:t>(2) Компонентите на ИСАК по ал. 1 служат за:</w:t>
      </w:r>
    </w:p>
    <w:p w:rsidR="005E7E95" w:rsidRDefault="005E7E95">
      <w:pPr>
        <w:autoSpaceDE w:val="0"/>
        <w:autoSpaceDN w:val="0"/>
        <w:adjustRightInd w:val="0"/>
      </w:pPr>
      <w:r>
        <w:t>1. осигуряване на информация за електронна информационна система по смисъла на чл. 51, ал. 1 от Закона за подпомагане на земеделските производители (ЗПЗП);</w:t>
      </w:r>
    </w:p>
    <w:p w:rsidR="005E7E95" w:rsidRDefault="005E7E95">
      <w:pPr>
        <w:autoSpaceDE w:val="0"/>
        <w:autoSpaceDN w:val="0"/>
        <w:adjustRightInd w:val="0"/>
      </w:pPr>
      <w:r>
        <w:t>2. събиране и докладване на данни по чл. 134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(ОВ, L 435 от 6 декември 2021 г.), наричан по-нататък "Регламент (ЕС) 2021/2115";</w:t>
      </w:r>
    </w:p>
    <w:p w:rsidR="005E7E95" w:rsidRDefault="005E7E95">
      <w:pPr>
        <w:autoSpaceDE w:val="0"/>
        <w:autoSpaceDN w:val="0"/>
        <w:adjustRightInd w:val="0"/>
      </w:pPr>
      <w:r>
        <w:t>3. изпълнение на чл. 67, параграф 3 от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w:t>
      </w:r>
    </w:p>
    <w:p w:rsidR="005E7E95" w:rsidRDefault="005E7E95">
      <w:pPr>
        <w:autoSpaceDE w:val="0"/>
        <w:autoSpaceDN w:val="0"/>
        <w:adjustRightInd w:val="0"/>
        <w:spacing w:before="120"/>
        <w:ind w:firstLine="990"/>
      </w:pPr>
      <w:r>
        <w:t>Чл. 2. (Изм. - ДВ, бр. 21 от 2012 г., бр. 16 от 2015 г., бр. 24 от 2018 г., в сила от 16.03.2018 г., бр. 11 от 2021 г., в сила от 9.02.2021 г., бр. 62 от 2023 г., в сила от 21.07.2023 г.) (1) Системите по чл. 1, ал. 1 се създават и поддържат:</w:t>
      </w:r>
    </w:p>
    <w:p w:rsidR="005E7E95" w:rsidRDefault="005E7E95">
      <w:pPr>
        <w:autoSpaceDE w:val="0"/>
        <w:autoSpaceDN w:val="0"/>
        <w:adjustRightInd w:val="0"/>
      </w:pPr>
      <w:r>
        <w:t>1. по т. 1, 4, 5, 6, 7 и 8 – от Държавен фонд "Земеделие" (ДФЗ);</w:t>
      </w:r>
    </w:p>
    <w:p w:rsidR="005E7E95" w:rsidRDefault="005E7E95">
      <w:pPr>
        <w:autoSpaceDE w:val="0"/>
        <w:autoSpaceDN w:val="0"/>
        <w:adjustRightInd w:val="0"/>
      </w:pPr>
      <w:r>
        <w:t>2. по т. 2 – от Министерството на земеделието и храните (МЗХ);</w:t>
      </w:r>
    </w:p>
    <w:p w:rsidR="005E7E95" w:rsidRDefault="005E7E95">
      <w:pPr>
        <w:autoSpaceDE w:val="0"/>
        <w:autoSpaceDN w:val="0"/>
        <w:adjustRightInd w:val="0"/>
      </w:pPr>
      <w:r>
        <w:lastRenderedPageBreak/>
        <w:t>3. по т. 3 – от Българската агенция по безопасност на храните (БАБХ).</w:t>
      </w:r>
    </w:p>
    <w:p w:rsidR="005E7E95" w:rsidRDefault="005E7E95">
      <w:pPr>
        <w:autoSpaceDE w:val="0"/>
        <w:autoSpaceDN w:val="0"/>
        <w:adjustRightInd w:val="0"/>
      </w:pPr>
      <w:r>
        <w:t>(2) Системите по ал. 1 се изграждат и поддържат въз основа на електронни регистри и геопространствена информация.</w:t>
      </w:r>
    </w:p>
    <w:p w:rsidR="005E7E95" w:rsidRDefault="005E7E95">
      <w:pPr>
        <w:pStyle w:val="Heading3"/>
        <w:spacing w:after="321"/>
        <w:jc w:val="center"/>
        <w:rPr>
          <w:b/>
          <w:sz w:val="36"/>
        </w:rPr>
      </w:pPr>
      <w:r>
        <w:rPr>
          <w:b/>
          <w:sz w:val="36"/>
        </w:rPr>
        <w:t>Глава втора</w:t>
      </w:r>
      <w:r>
        <w:rPr>
          <w:b/>
          <w:sz w:val="36"/>
        </w:rPr>
        <w:br/>
        <w:t xml:space="preserve">УСЛОВИЯ И РЕД ЗА СЪЗДАВАНЕ, ПОДДЪРЖАНЕ, ДОСТЪП И ПОЛЗВАНЕ НА </w:t>
      </w:r>
      <w:r>
        <w:rPr>
          <w:b/>
          <w:sz w:val="36"/>
        </w:rPr>
        <w:br/>
        <w:t>СИСТЕМАТА ЗА РЕГИСТРАЦИЯ НА КАНДИДАТИТЕ, НА ЗАЯВЛЕНИЯТА ЗА</w:t>
      </w:r>
      <w:r>
        <w:rPr>
          <w:b/>
          <w:sz w:val="36"/>
        </w:rPr>
        <w:br/>
        <w:t>ПОДПОМАГАНЕ И НА ЗАЯВКИТЕ ЗА ПЛАЩАНЕ</w:t>
      </w:r>
      <w:r>
        <w:rPr>
          <w:b/>
          <w:sz w:val="36"/>
        </w:rPr>
        <w:br/>
        <w:t>(Загл. изм. – ДВ, бр. 16 от 2015 г.)</w:t>
      </w:r>
    </w:p>
    <w:p w:rsidR="005E7E95" w:rsidRDefault="005E7E95">
      <w:pPr>
        <w:autoSpaceDE w:val="0"/>
        <w:autoSpaceDN w:val="0"/>
        <w:adjustRightInd w:val="0"/>
        <w:spacing w:before="120"/>
        <w:ind w:firstLine="990"/>
      </w:pPr>
      <w:r>
        <w:t>Чл. 3. (1) (Изм. – ДВ, бр. 16 от 2015 г.) Системата за регистрация на кандидатите, на заявленията за подпомагане и на заявките за плащане включва регистър на кандидатите за подпомагане и регистър на заявленията за подпомагане и на заявките за плащане.</w:t>
      </w:r>
    </w:p>
    <w:p w:rsidR="005E7E95" w:rsidRDefault="005E7E95">
      <w:pPr>
        <w:autoSpaceDE w:val="0"/>
        <w:autoSpaceDN w:val="0"/>
        <w:adjustRightInd w:val="0"/>
      </w:pPr>
      <w:r>
        <w:t>(2) (Изм. - ДВ, бр. 37 от 2008 г., бр. 62 от 2023 г., в сила от 21.07.2023 г.) Регистърът на кандидатите за подпомагане се създава въз основа на заявленията за подпомагане и съдържа най-малко следните данни за кандидата, неговото стопанство и дейност:</w:t>
      </w:r>
    </w:p>
    <w:p w:rsidR="005E7E95" w:rsidRDefault="005E7E95">
      <w:pPr>
        <w:autoSpaceDE w:val="0"/>
        <w:autoSpaceDN w:val="0"/>
        <w:adjustRightInd w:val="0"/>
      </w:pPr>
      <w:r>
        <w:t>1. за кандидати физически лица:</w:t>
      </w:r>
    </w:p>
    <w:p w:rsidR="005E7E95" w:rsidRDefault="005E7E95">
      <w:pPr>
        <w:autoSpaceDE w:val="0"/>
        <w:autoSpaceDN w:val="0"/>
        <w:adjustRightInd w:val="0"/>
      </w:pPr>
      <w:r>
        <w:t>а) собствено име, презиме и фамилия;</w:t>
      </w:r>
    </w:p>
    <w:p w:rsidR="005E7E95" w:rsidRDefault="005E7E95">
      <w:pPr>
        <w:autoSpaceDE w:val="0"/>
        <w:autoSpaceDN w:val="0"/>
        <w:adjustRightInd w:val="0"/>
      </w:pPr>
      <w:r>
        <w:t>б) ЕГН или ЛНЧ;</w:t>
      </w:r>
    </w:p>
    <w:p w:rsidR="005E7E95" w:rsidRDefault="005E7E95">
      <w:pPr>
        <w:autoSpaceDE w:val="0"/>
        <w:autoSpaceDN w:val="0"/>
        <w:adjustRightInd w:val="0"/>
      </w:pPr>
      <w:r>
        <w:t>в) код по БУЛСТАТ;</w:t>
      </w:r>
    </w:p>
    <w:p w:rsidR="005E7E95" w:rsidRDefault="005E7E95">
      <w:pPr>
        <w:autoSpaceDE w:val="0"/>
        <w:autoSpaceDN w:val="0"/>
        <w:adjustRightInd w:val="0"/>
      </w:pPr>
      <w:r>
        <w:t>г) дата на раждане;</w:t>
      </w:r>
    </w:p>
    <w:p w:rsidR="005E7E95" w:rsidRDefault="005E7E95">
      <w:pPr>
        <w:autoSpaceDE w:val="0"/>
        <w:autoSpaceDN w:val="0"/>
        <w:adjustRightInd w:val="0"/>
      </w:pPr>
      <w:r>
        <w:t>д) пол;</w:t>
      </w:r>
    </w:p>
    <w:p w:rsidR="005E7E95" w:rsidRDefault="005E7E95">
      <w:pPr>
        <w:autoSpaceDE w:val="0"/>
        <w:autoSpaceDN w:val="0"/>
        <w:adjustRightInd w:val="0"/>
      </w:pPr>
      <w:r>
        <w:t>е) данни за контакт (адреси, телефони, електронна поща и т.н.);</w:t>
      </w:r>
    </w:p>
    <w:p w:rsidR="005E7E95" w:rsidRDefault="005E7E95">
      <w:pPr>
        <w:autoSpaceDE w:val="0"/>
        <w:autoSpaceDN w:val="0"/>
        <w:adjustRightInd w:val="0"/>
      </w:pPr>
      <w:r>
        <w:t>ж) IBAN и BIC;</w:t>
      </w:r>
    </w:p>
    <w:p w:rsidR="005E7E95" w:rsidRDefault="005E7E95">
      <w:pPr>
        <w:autoSpaceDE w:val="0"/>
        <w:autoSpaceDN w:val="0"/>
        <w:adjustRightInd w:val="0"/>
      </w:pPr>
      <w:r>
        <w:t>з) роля в системата (земеделски стопанин, преработвател, търговец, организация на производители и др.);</w:t>
      </w:r>
    </w:p>
    <w:p w:rsidR="005E7E95" w:rsidRDefault="005E7E95">
      <w:pPr>
        <w:autoSpaceDE w:val="0"/>
        <w:autoSpaceDN w:val="0"/>
        <w:adjustRightInd w:val="0"/>
      </w:pPr>
      <w:r>
        <w:t>и) дата на регистрация;</w:t>
      </w:r>
    </w:p>
    <w:p w:rsidR="005E7E95" w:rsidRDefault="005E7E95">
      <w:pPr>
        <w:autoSpaceDE w:val="0"/>
        <w:autoSpaceDN w:val="0"/>
        <w:adjustRightInd w:val="0"/>
      </w:pPr>
      <w:r>
        <w:t>к) уникален регистрационен номер в регистъра на кандидатите;</w:t>
      </w:r>
    </w:p>
    <w:p w:rsidR="005E7E95" w:rsidRDefault="005E7E95">
      <w:pPr>
        <w:autoSpaceDE w:val="0"/>
        <w:autoSpaceDN w:val="0"/>
        <w:adjustRightInd w:val="0"/>
      </w:pPr>
      <w:r>
        <w:t>л) други данни, които го идентифицират;</w:t>
      </w:r>
    </w:p>
    <w:p w:rsidR="005E7E95" w:rsidRDefault="005E7E95">
      <w:pPr>
        <w:autoSpaceDE w:val="0"/>
        <w:autoSpaceDN w:val="0"/>
        <w:adjustRightInd w:val="0"/>
      </w:pPr>
      <w:r>
        <w:t>2. за кандидати юридически лица, граждански дружества и еднолични търговци:</w:t>
      </w:r>
    </w:p>
    <w:p w:rsidR="005E7E95" w:rsidRDefault="005E7E95">
      <w:pPr>
        <w:autoSpaceDE w:val="0"/>
        <w:autoSpaceDN w:val="0"/>
        <w:adjustRightInd w:val="0"/>
      </w:pPr>
      <w:r>
        <w:t>а) наименование;</w:t>
      </w:r>
    </w:p>
    <w:p w:rsidR="005E7E95" w:rsidRDefault="005E7E95">
      <w:pPr>
        <w:autoSpaceDE w:val="0"/>
        <w:autoSpaceDN w:val="0"/>
        <w:adjustRightInd w:val="0"/>
      </w:pPr>
      <w:r>
        <w:t>б) юридически статус;</w:t>
      </w:r>
    </w:p>
    <w:p w:rsidR="005E7E95" w:rsidRDefault="005E7E95">
      <w:pPr>
        <w:autoSpaceDE w:val="0"/>
        <w:autoSpaceDN w:val="0"/>
        <w:adjustRightInd w:val="0"/>
      </w:pPr>
      <w:r>
        <w:t>в) код по БУЛСТАТ;</w:t>
      </w:r>
    </w:p>
    <w:p w:rsidR="005E7E95" w:rsidRDefault="005E7E95">
      <w:pPr>
        <w:autoSpaceDE w:val="0"/>
        <w:autoSpaceDN w:val="0"/>
        <w:adjustRightInd w:val="0"/>
      </w:pPr>
      <w:r>
        <w:t>г) единен идентификационен код (ЕИК);</w:t>
      </w:r>
    </w:p>
    <w:p w:rsidR="005E7E95" w:rsidRDefault="005E7E95">
      <w:pPr>
        <w:autoSpaceDE w:val="0"/>
        <w:autoSpaceDN w:val="0"/>
        <w:adjustRightInd w:val="0"/>
      </w:pPr>
      <w:r>
        <w:t>д) представител – физическо лице за връзка (управител, лице за контакти и др.);</w:t>
      </w:r>
    </w:p>
    <w:p w:rsidR="005E7E95" w:rsidRDefault="005E7E95">
      <w:pPr>
        <w:autoSpaceDE w:val="0"/>
        <w:autoSpaceDN w:val="0"/>
        <w:adjustRightInd w:val="0"/>
      </w:pPr>
      <w:r>
        <w:t>е) данни за контакт (адреси, телефони, електронна поща и т.н.);</w:t>
      </w:r>
    </w:p>
    <w:p w:rsidR="005E7E95" w:rsidRDefault="005E7E95">
      <w:pPr>
        <w:autoSpaceDE w:val="0"/>
        <w:autoSpaceDN w:val="0"/>
        <w:adjustRightInd w:val="0"/>
      </w:pPr>
      <w:r>
        <w:t>ж) IBAN и BIC;</w:t>
      </w:r>
    </w:p>
    <w:p w:rsidR="005E7E95" w:rsidRDefault="005E7E95">
      <w:pPr>
        <w:autoSpaceDE w:val="0"/>
        <w:autoSpaceDN w:val="0"/>
        <w:adjustRightInd w:val="0"/>
      </w:pPr>
      <w:r>
        <w:t>з) роля в системата (земеделски стопанин, преработвател, търговец, организация на производители и др.);</w:t>
      </w:r>
    </w:p>
    <w:p w:rsidR="005E7E95" w:rsidRDefault="005E7E95">
      <w:pPr>
        <w:autoSpaceDE w:val="0"/>
        <w:autoSpaceDN w:val="0"/>
        <w:adjustRightInd w:val="0"/>
      </w:pPr>
      <w:r>
        <w:t>и) уникален регистрационен номер в регистъра на кандидатите;</w:t>
      </w:r>
    </w:p>
    <w:p w:rsidR="005E7E95" w:rsidRDefault="005E7E95">
      <w:pPr>
        <w:autoSpaceDE w:val="0"/>
        <w:autoSpaceDN w:val="0"/>
        <w:adjustRightInd w:val="0"/>
      </w:pPr>
      <w:r>
        <w:t>к) други данни, които го идентифицират;</w:t>
      </w:r>
    </w:p>
    <w:p w:rsidR="005E7E95" w:rsidRDefault="005E7E95">
      <w:pPr>
        <w:autoSpaceDE w:val="0"/>
        <w:autoSpaceDN w:val="0"/>
        <w:adjustRightInd w:val="0"/>
      </w:pPr>
      <w:r>
        <w:t>3. данни за стопанството за кандидата.</w:t>
      </w:r>
    </w:p>
    <w:p w:rsidR="005E7E95" w:rsidRDefault="005E7E95">
      <w:pPr>
        <w:autoSpaceDE w:val="0"/>
        <w:autoSpaceDN w:val="0"/>
        <w:adjustRightInd w:val="0"/>
      </w:pPr>
      <w:r>
        <w:t>(3) (Изм. и доп. – ДВ, бр. 16 от 2015 г., изм., бр. 62 от 2023 г., в сила от 21.07.2023 г.) Регистърът на заявленията за подпомагане и на исканията за плащане съдържа следните данни за подадените от кандидата заявления в схемите, мерките и интервенциите за подпомагане:</w:t>
      </w:r>
    </w:p>
    <w:p w:rsidR="005E7E95" w:rsidRDefault="005E7E95">
      <w:pPr>
        <w:autoSpaceDE w:val="0"/>
        <w:autoSpaceDN w:val="0"/>
        <w:adjustRightInd w:val="0"/>
      </w:pPr>
      <w:r>
        <w:t>1. данните по ал. 2, т. 1 или т. 2;</w:t>
      </w:r>
    </w:p>
    <w:p w:rsidR="005E7E95" w:rsidRDefault="005E7E95">
      <w:pPr>
        <w:autoSpaceDE w:val="0"/>
        <w:autoSpaceDN w:val="0"/>
        <w:adjustRightInd w:val="0"/>
      </w:pPr>
      <w:r>
        <w:t>2. схемите, мерките и интервенциите, включени в заявлението.</w:t>
      </w:r>
    </w:p>
    <w:p w:rsidR="005E7E95" w:rsidRDefault="005E7E95">
      <w:pPr>
        <w:autoSpaceDE w:val="0"/>
        <w:autoSpaceDN w:val="0"/>
        <w:adjustRightInd w:val="0"/>
        <w:spacing w:before="120"/>
        <w:ind w:firstLine="990"/>
      </w:pPr>
      <w:r>
        <w:lastRenderedPageBreak/>
        <w:t>Чл. 4. (1) (Изм. – ДВ, бр. 16 от 2015 г., бр. 62 от 2023 г., в сила от 21.07.2023 г.) Държавен фонд "Земеделие" създава и поддържа системата за регистрация на кандидатите, на заявленията за подпомагане и на заявките за плащане въз основа на:</w:t>
      </w:r>
    </w:p>
    <w:p w:rsidR="005E7E95" w:rsidRDefault="005E7E95">
      <w:pPr>
        <w:autoSpaceDE w:val="0"/>
        <w:autoSpaceDN w:val="0"/>
        <w:adjustRightInd w:val="0"/>
      </w:pPr>
      <w:r>
        <w:t>1. (изм. – ДВ, бр. 62 от 2023 г., в сила от 21.07.2023 г.) информационна стратегия, одобрена от изпълнителния директор на ДФЗ;</w:t>
      </w:r>
    </w:p>
    <w:p w:rsidR="005E7E95" w:rsidRDefault="005E7E95">
      <w:pPr>
        <w:autoSpaceDE w:val="0"/>
        <w:autoSpaceDN w:val="0"/>
        <w:adjustRightInd w:val="0"/>
      </w:pPr>
      <w:r>
        <w:t>2. установени правила и процедури за информационни системи и бази данни във фонда;</w:t>
      </w:r>
    </w:p>
    <w:p w:rsidR="005E7E95" w:rsidRDefault="005E7E95">
      <w:pPr>
        <w:autoSpaceDE w:val="0"/>
        <w:autoSpaceDN w:val="0"/>
        <w:adjustRightInd w:val="0"/>
      </w:pPr>
      <w:r>
        <w:t>3. международните стандарти за информационни системи.</w:t>
      </w:r>
    </w:p>
    <w:p w:rsidR="005E7E95" w:rsidRDefault="005E7E95">
      <w:pPr>
        <w:autoSpaceDE w:val="0"/>
        <w:autoSpaceDN w:val="0"/>
        <w:adjustRightInd w:val="0"/>
      </w:pPr>
      <w:r>
        <w:t>(2) (Изм. – ДВ, бр. 16 от 2015 г., бр. 62 от 2023 г., в сила от 21.07.2023 г.) Държавен фонд "Земеделие" извършва хардуерното и софтуерното обезпечаване на системата за регистрация на кандидатите, на заявленията за подпомагане и на заявките за плащане.</w:t>
      </w:r>
    </w:p>
    <w:p w:rsidR="005E7E95" w:rsidRDefault="005E7E95">
      <w:pPr>
        <w:autoSpaceDE w:val="0"/>
        <w:autoSpaceDN w:val="0"/>
        <w:adjustRightInd w:val="0"/>
        <w:spacing w:before="120"/>
        <w:ind w:firstLine="990"/>
      </w:pPr>
      <w:r>
        <w:t>Чл. 5. (Изм. - ДВ, бр. 37 от 2008 г., бр. 16 от 2015 г., бр. 62 от 2023 г., в сила от 21.07.2023 г.) Данните в системата за регистрация на кандидатите, на заявленията за подпомагане и на заявките за плащане се попълват от служители на ДФЗ и/или на общинска служба по земеделие или на областна дирекция по земеделие, които са оторизирани и са получили съответните права за достъп съгласно вътрешните правила за защита на данните в интегрираната информационна система по чл. 36, ал. 5 от ЗПЗП.</w:t>
      </w:r>
    </w:p>
    <w:p w:rsidR="005E7E95" w:rsidRDefault="005E7E95">
      <w:pPr>
        <w:autoSpaceDE w:val="0"/>
        <w:autoSpaceDN w:val="0"/>
        <w:adjustRightInd w:val="0"/>
        <w:spacing w:before="120"/>
        <w:ind w:firstLine="990"/>
      </w:pPr>
      <w:r>
        <w:t>Чл. 6. (1) (Изм. – ДВ, бр. 16 от 2015 г.) Достъп до системата за регистрация на кандидатите, на заявленията за подпомагане и на заявките за плащане имат:</w:t>
      </w:r>
    </w:p>
    <w:p w:rsidR="005E7E95" w:rsidRDefault="005E7E95">
      <w:pPr>
        <w:autoSpaceDE w:val="0"/>
        <w:autoSpaceDN w:val="0"/>
        <w:adjustRightInd w:val="0"/>
      </w:pPr>
      <w:r>
        <w:t>1. (изм. – ДВ, бр. 62 от 2023 г., в сила от 21.07.2023 г.) длъжностни лица от ДФЗ;</w:t>
      </w:r>
    </w:p>
    <w:p w:rsidR="005E7E95" w:rsidRDefault="005E7E95">
      <w:pPr>
        <w:autoSpaceDE w:val="0"/>
        <w:autoSpaceDN w:val="0"/>
        <w:adjustRightInd w:val="0"/>
      </w:pPr>
      <w:r>
        <w:t>2. (доп. - ДВ, бр. 18 от 2011 г., изм., бр. 24 от 2018 г., в сила от 16.03.2018 г., бр. 62 от 2023 г., в сила от 21.07.2023 г.) длъжностни лица от Министерство на земеделието и храните и от общинските служби по земеделие;</w:t>
      </w:r>
    </w:p>
    <w:p w:rsidR="005E7E95" w:rsidRDefault="005E7E95">
      <w:pPr>
        <w:autoSpaceDE w:val="0"/>
        <w:autoSpaceDN w:val="0"/>
        <w:adjustRightInd w:val="0"/>
      </w:pPr>
      <w:r>
        <w:t>3. (доп. – ДВ, бр. 16 от 2015 г., изм., бр. 62 от 2023 г., в сила от 21.07.2023 г.) представители на Сметната палата на Република България, специализираното звено по чл. 2в, ал. 1 от ЗПЗП, сертифициращият орган по чл. 28б, ал. 1 от ЗПЗП и представители на Европейската комисия и Европейската сметна палата;</w:t>
      </w:r>
    </w:p>
    <w:p w:rsidR="005E7E95" w:rsidRDefault="005E7E95">
      <w:pPr>
        <w:autoSpaceDE w:val="0"/>
        <w:autoSpaceDN w:val="0"/>
        <w:adjustRightInd w:val="0"/>
      </w:pPr>
      <w:r>
        <w:t>4. (доп. - ДВ, бр. 18 от 2011 г., изм., бр. 24 от 2018 г., в сила от 16.03.2018 г., бр. 62 от 2023 г., в сила от 21.07.2023 г.) други лица, определени със заповед на изпълнителния директор на ДФЗ или на министъра на земеделието и храните.</w:t>
      </w:r>
    </w:p>
    <w:p w:rsidR="005E7E95" w:rsidRDefault="005E7E95">
      <w:pPr>
        <w:autoSpaceDE w:val="0"/>
        <w:autoSpaceDN w:val="0"/>
        <w:adjustRightInd w:val="0"/>
      </w:pPr>
      <w:r>
        <w:t>(2) (Изм. и доп. – ДВ, бр. 16 от 2015 г.) Достъпът по ал. 1 се осигурява съгласно вътрешните правила за защита на данните в интегрираната информационна система по чл. 36, ал. 5 от ЗПЗП.</w:t>
      </w:r>
    </w:p>
    <w:p w:rsidR="005E7E95" w:rsidRDefault="005E7E95">
      <w:pPr>
        <w:autoSpaceDE w:val="0"/>
        <w:autoSpaceDN w:val="0"/>
        <w:adjustRightInd w:val="0"/>
        <w:spacing w:before="120"/>
        <w:ind w:firstLine="990"/>
      </w:pPr>
      <w:r>
        <w:t>Чл. 7. (Изм. – ДВ, бр. 16 от 2015 г.) Данните в системата за регистрация на кандидатите, на заявленията за подпомагане и на заявките за плащане се ползват за:</w:t>
      </w:r>
    </w:p>
    <w:p w:rsidR="005E7E95" w:rsidRDefault="005E7E95">
      <w:pPr>
        <w:autoSpaceDE w:val="0"/>
        <w:autoSpaceDN w:val="0"/>
        <w:adjustRightInd w:val="0"/>
      </w:pPr>
      <w:r>
        <w:t>1. проверка и взимане на решения по заявленията за подпомагане;</w:t>
      </w:r>
    </w:p>
    <w:p w:rsidR="005E7E95" w:rsidRDefault="005E7E95">
      <w:pPr>
        <w:autoSpaceDE w:val="0"/>
        <w:autoSpaceDN w:val="0"/>
        <w:adjustRightInd w:val="0"/>
      </w:pPr>
      <w:r>
        <w:t>2. изплащане на финансова помощ;</w:t>
      </w:r>
    </w:p>
    <w:p w:rsidR="005E7E95" w:rsidRDefault="005E7E95">
      <w:pPr>
        <w:autoSpaceDE w:val="0"/>
        <w:autoSpaceDN w:val="0"/>
        <w:adjustRightInd w:val="0"/>
      </w:pPr>
      <w:r>
        <w:t>3. контрол за използване на помощите;</w:t>
      </w:r>
    </w:p>
    <w:p w:rsidR="005E7E95" w:rsidRDefault="005E7E95">
      <w:pPr>
        <w:autoSpaceDE w:val="0"/>
        <w:autoSpaceDN w:val="0"/>
        <w:adjustRightInd w:val="0"/>
      </w:pPr>
      <w:r>
        <w:t>4. изготвяне на справки и отчети.</w:t>
      </w:r>
    </w:p>
    <w:p w:rsidR="005E7E95" w:rsidRDefault="005E7E95">
      <w:pPr>
        <w:pStyle w:val="Heading3"/>
        <w:spacing w:after="321"/>
        <w:jc w:val="center"/>
        <w:rPr>
          <w:b/>
          <w:sz w:val="36"/>
        </w:rPr>
      </w:pPr>
      <w:r>
        <w:rPr>
          <w:b/>
          <w:sz w:val="36"/>
        </w:rPr>
        <w:t>Глава трета</w:t>
      </w:r>
      <w:r>
        <w:rPr>
          <w:b/>
          <w:sz w:val="36"/>
        </w:rPr>
        <w:br/>
        <w:t>УСЛОВИЯ И РЕД ЗА СЪЗДАВАНЕ, ПОДДЪРЖАНЕ, ДОСТЪП И ПОЛЗВАНЕ НА СИСТЕМАТА</w:t>
      </w:r>
      <w:r>
        <w:rPr>
          <w:b/>
          <w:sz w:val="36"/>
        </w:rPr>
        <w:br/>
        <w:t>ЗА ИДЕНТИФИКАЦИЯ НА ЗЕМЕДЕЛСКИТЕ ПАРЦЕЛИ</w:t>
      </w:r>
    </w:p>
    <w:p w:rsidR="005E7E95" w:rsidRDefault="005E7E95">
      <w:pPr>
        <w:autoSpaceDE w:val="0"/>
        <w:autoSpaceDN w:val="0"/>
        <w:adjustRightInd w:val="0"/>
        <w:spacing w:before="120"/>
        <w:ind w:firstLine="990"/>
      </w:pPr>
      <w:r>
        <w:t>Чл. 8. (1) (Предишен текст на чл. 8 – ДВ, бр. 24 от 2018 г., в сила от 16.03.2018 г., доп., бр. 62 от 2023 г., в сила от 21.07.2023 г.) Създаването, поддържането и обновяването на системата за идентификация на земеделските парцели (СИЗП) включва:</w:t>
      </w:r>
    </w:p>
    <w:p w:rsidR="005E7E95" w:rsidRDefault="005E7E95">
      <w:pPr>
        <w:autoSpaceDE w:val="0"/>
        <w:autoSpaceDN w:val="0"/>
        <w:adjustRightInd w:val="0"/>
      </w:pPr>
      <w:r>
        <w:lastRenderedPageBreak/>
        <w:t>1. (изм. – ДВ, бр. 62 от 2023 г., в сила от 21.07.2023 г.) създаване и обновяване на цифрова ортофотокарта (ЦОФК) за територията на цялата страна;</w:t>
      </w:r>
    </w:p>
    <w:p w:rsidR="005E7E95" w:rsidRDefault="005E7E95">
      <w:pPr>
        <w:autoSpaceDE w:val="0"/>
        <w:autoSpaceDN w:val="0"/>
        <w:adjustRightInd w:val="0"/>
      </w:pPr>
      <w:r>
        <w:t>2. (изм. – ДВ, бр. 16 от 2015 г., бр. 90 от 2015 г., в сила от 20.11.2015 г., бр. 24 от 2018 г., в сила от 16.03.2018 г.) създаване, поддържане и обновяване на цифрови географски и атрибутивни данни за:</w:t>
      </w:r>
    </w:p>
    <w:p w:rsidR="005E7E95" w:rsidRDefault="005E7E95">
      <w:pPr>
        <w:autoSpaceDE w:val="0"/>
        <w:autoSpaceDN w:val="0"/>
        <w:adjustRightInd w:val="0"/>
      </w:pPr>
      <w:r>
        <w:t>а) референтни парцели – физически блокове;</w:t>
      </w:r>
    </w:p>
    <w:p w:rsidR="005E7E95" w:rsidRDefault="005E7E95">
      <w:pPr>
        <w:autoSpaceDE w:val="0"/>
        <w:autoSpaceDN w:val="0"/>
        <w:adjustRightInd w:val="0"/>
      </w:pPr>
      <w:r>
        <w:t>б) (отм. – ДВ, бр. 62 от 2023 г., в сила от 21.07.2023 г.);</w:t>
      </w:r>
    </w:p>
    <w:p w:rsidR="005E7E95" w:rsidRDefault="005E7E95">
      <w:pPr>
        <w:autoSpaceDE w:val="0"/>
        <w:autoSpaceDN w:val="0"/>
        <w:adjustRightInd w:val="0"/>
      </w:pPr>
      <w:r>
        <w:t>в) (отм. – ДВ, бр. 62 от 2023 г., в сила от 21.07.2023 г.);</w:t>
      </w:r>
    </w:p>
    <w:p w:rsidR="005E7E95" w:rsidRDefault="005E7E95">
      <w:pPr>
        <w:autoSpaceDE w:val="0"/>
        <w:autoSpaceDN w:val="0"/>
        <w:adjustRightInd w:val="0"/>
      </w:pPr>
      <w:r>
        <w:t>г) слой "Постоянно затревени площи";</w:t>
      </w:r>
    </w:p>
    <w:p w:rsidR="005E7E95" w:rsidRDefault="005E7E95">
      <w:pPr>
        <w:autoSpaceDE w:val="0"/>
        <w:autoSpaceDN w:val="0"/>
        <w:adjustRightInd w:val="0"/>
      </w:pPr>
      <w:r>
        <w:t>д) (отм. – ДВ, бр. 62 от 2023 г., в сила от 21.07.2023 г.);</w:t>
      </w:r>
    </w:p>
    <w:p w:rsidR="005E7E95" w:rsidRDefault="005E7E95">
      <w:pPr>
        <w:autoSpaceDE w:val="0"/>
        <w:autoSpaceDN w:val="0"/>
        <w:adjustRightInd w:val="0"/>
      </w:pPr>
      <w:r>
        <w:t>е) (нова – ДВ, бр. 62 от 2023 г., в сила от 21.07.2023 г.) елементи, определени в стандарта за добро земеделско и екологично състояние № 8 (ДЗЕС № 8) – дървета в група, живи плетове или редици от дървета, синори (полски граници), тераси, отделни дървета;</w:t>
      </w:r>
    </w:p>
    <w:p w:rsidR="005E7E95" w:rsidRDefault="005E7E95">
      <w:pPr>
        <w:autoSpaceDE w:val="0"/>
        <w:autoSpaceDN w:val="0"/>
        <w:adjustRightInd w:val="0"/>
      </w:pPr>
      <w:r>
        <w:t xml:space="preserve">ж) (нова – ДВ, бр. 62 от 2023 г., в сила от 1.01.2025 г.) площи, обект на опазване по стандарта за добро земеделско и екологично състояние № 2 (ДЗЕС № 2); </w:t>
      </w:r>
    </w:p>
    <w:p w:rsidR="005E7E95" w:rsidRDefault="005E7E95">
      <w:pPr>
        <w:autoSpaceDE w:val="0"/>
        <w:autoSpaceDN w:val="0"/>
        <w:adjustRightInd w:val="0"/>
      </w:pPr>
      <w:r>
        <w:t xml:space="preserve">з) (нова – ДВ, бр. 62 от 2023 г., в сила от 21.07.2023 г.) площи по чл. 53, ал. 5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(ДВ, бр. 23 от 2023 г.), наричана по-нататък Наредба № 3 от 2023 г. </w:t>
      </w:r>
    </w:p>
    <w:p w:rsidR="005E7E95" w:rsidRDefault="005E7E95">
      <w:pPr>
        <w:autoSpaceDE w:val="0"/>
        <w:autoSpaceDN w:val="0"/>
        <w:adjustRightInd w:val="0"/>
      </w:pPr>
      <w:r>
        <w:t>3. (отм. – ДВ, бр. 16 от 2015 г.).</w:t>
      </w:r>
    </w:p>
    <w:p w:rsidR="005E7E95" w:rsidRDefault="005E7E95">
      <w:pPr>
        <w:autoSpaceDE w:val="0"/>
        <w:autoSpaceDN w:val="0"/>
        <w:adjustRightInd w:val="0"/>
      </w:pPr>
      <w:r>
        <w:t>(2) (Нова – ДВ, бр. 24 от 2018 г., в сила от 16.03.2018 г., изм., бр. 62 от 2023 г., в сила от 21.07.2023 г.) В системата за идентификация на земеделските парцели се ползват и други, външни за системата, цифрови географски и атрибутивни данни (слоеве).</w:t>
      </w:r>
    </w:p>
    <w:p w:rsidR="005E7E95" w:rsidRDefault="005E7E95">
      <w:pPr>
        <w:autoSpaceDE w:val="0"/>
        <w:autoSpaceDN w:val="0"/>
        <w:adjustRightInd w:val="0"/>
        <w:spacing w:before="120"/>
        <w:ind w:firstLine="990"/>
      </w:pPr>
      <w:r>
        <w:t>Чл. 9. (Изм. - ДВ, бр. 21 от 2012 г., бр. 24 от 2018 г., в сила от 16.03.2018 г., бр. 62 от 2023 г., в сила от 21.07.2023 г.) Министърът на земеделието и храните организира актуализирането на ЦОФК за територията на цялата страна в СИЗП за период не повече от три години.</w:t>
      </w:r>
    </w:p>
    <w:p w:rsidR="005E7E95" w:rsidRDefault="005E7E95">
      <w:pPr>
        <w:autoSpaceDE w:val="0"/>
        <w:autoSpaceDN w:val="0"/>
        <w:adjustRightInd w:val="0"/>
        <w:spacing w:before="120"/>
        <w:ind w:firstLine="990"/>
      </w:pPr>
      <w:r>
        <w:t xml:space="preserve">Чл. 10. (1) (Доп. – ДВ, бр. 16 от 2015 г., изм., бр. 24 от 2018 г., в сила от 16.03.2018 г., бр. 62 от 2023 г., в сила от 21.07.2023 г.) Министърът на земеделието и храните сключва договор с изпълнител на техническите дейности за създаване и обновяване на ЦОФК по реда на Закона за обществените поръчки. </w:t>
      </w:r>
    </w:p>
    <w:p w:rsidR="005E7E95" w:rsidRDefault="005E7E95">
      <w:pPr>
        <w:autoSpaceDE w:val="0"/>
        <w:autoSpaceDN w:val="0"/>
        <w:adjustRightInd w:val="0"/>
      </w:pPr>
      <w:r>
        <w:t>(2) (Изм. – ДВ, бр. 24 от 2018 г., в сила от 16.03.2018 г., бр. 62 от 2023 г., в сила от 21.07.2023 г.) Изпълнителят по ал. 1 е длъжен да предаде 5 пълни копия от всички данни на цифровите изображения на електронен носител на Министерството на земеделието и храните, Министерството на отбраната, Министерството на вътрешните работи, Агенцията по кадастъра към Министерството на регионалното развитие и благоустройството и ДФЗ.</w:t>
      </w:r>
    </w:p>
    <w:p w:rsidR="005E7E95" w:rsidRDefault="005E7E95">
      <w:pPr>
        <w:autoSpaceDE w:val="0"/>
        <w:autoSpaceDN w:val="0"/>
        <w:adjustRightInd w:val="0"/>
        <w:spacing w:before="120"/>
        <w:ind w:firstLine="990"/>
      </w:pPr>
      <w:r>
        <w:t xml:space="preserve">Чл. 11. (Изм. - ДВ, бр. 21 от 2012 г., бр. 16 от 2015 г., бр. 24 от 2018 г., в сила от 16.03.2018 г.) (1) За създаване и обновяване на ЦОФК се използват: </w:t>
      </w:r>
    </w:p>
    <w:p w:rsidR="005E7E95" w:rsidRDefault="005E7E95">
      <w:pPr>
        <w:autoSpaceDE w:val="0"/>
        <w:autoSpaceDN w:val="0"/>
        <w:adjustRightInd w:val="0"/>
      </w:pPr>
      <w:r>
        <w:t>1. ортогонални самолетни и/или сателитни изображения с пространствена разделителна способност не по-малка от 0,5 м и</w:t>
      </w:r>
    </w:p>
    <w:p w:rsidR="005E7E95" w:rsidRDefault="005E7E95">
      <w:pPr>
        <w:autoSpaceDE w:val="0"/>
        <w:autoSpaceDN w:val="0"/>
        <w:adjustRightInd w:val="0"/>
      </w:pPr>
      <w:r>
        <w:t>2. (изм. – ДВ, бр. 62 от 2023 г., в сила от 21.07.2023 г.) заснети след 15 май на календарната година.</w:t>
      </w:r>
    </w:p>
    <w:p w:rsidR="005E7E95" w:rsidRDefault="005E7E95">
      <w:pPr>
        <w:autoSpaceDE w:val="0"/>
        <w:autoSpaceDN w:val="0"/>
        <w:adjustRightInd w:val="0"/>
      </w:pPr>
      <w:r>
        <w:t>(2) Цифровата ортофото карта се изготвя и поддържа в мащаб не по-малък от 1:5000.</w:t>
      </w:r>
    </w:p>
    <w:p w:rsidR="005E7E95" w:rsidRDefault="005E7E95">
      <w:pPr>
        <w:autoSpaceDE w:val="0"/>
        <w:autoSpaceDN w:val="0"/>
        <w:adjustRightInd w:val="0"/>
        <w:spacing w:before="120"/>
        <w:ind w:firstLine="990"/>
      </w:pPr>
      <w:r>
        <w:t>Чл. 12. (1) (Изм. – ДВ, бр. 24 от 2018 г., в сила от 16.03.2018 г.) Копия от ЦОФК за цялата страна или части от нея във формат, подходящ за използване с ГИС приложения, се предоставят:</w:t>
      </w:r>
    </w:p>
    <w:p w:rsidR="005E7E95" w:rsidRDefault="005E7E95">
      <w:pPr>
        <w:autoSpaceDE w:val="0"/>
        <w:autoSpaceDN w:val="0"/>
        <w:adjustRightInd w:val="0"/>
      </w:pPr>
      <w:r>
        <w:lastRenderedPageBreak/>
        <w:t>1. (изм. – ДВ, бр. 62 от 2023 г., в сила от 21.07.2023 г.) безвъзмездно – за научни и нетърговски цели на централни и териториални органи на изпълнителната власт, Българската академия на науките и държавните висши училища със заповед на министъра на земеделието и храните или на упълномощено от него лице;</w:t>
      </w:r>
    </w:p>
    <w:p w:rsidR="005E7E95" w:rsidRDefault="005E7E95">
      <w:pPr>
        <w:autoSpaceDE w:val="0"/>
        <w:autoSpaceDN w:val="0"/>
        <w:adjustRightInd w:val="0"/>
      </w:pPr>
      <w:r>
        <w:t>2. (изм. – ДВ, бр. 62 от 2023 г., в сила от 21.07.2023 г.) възмездно – във всички останали случаи с договор, сключен с Министерството на земеделието и храните.</w:t>
      </w:r>
    </w:p>
    <w:p w:rsidR="005E7E95" w:rsidRDefault="005E7E95">
      <w:pPr>
        <w:autoSpaceDE w:val="0"/>
        <w:autoSpaceDN w:val="0"/>
        <w:adjustRightInd w:val="0"/>
      </w:pPr>
      <w:r>
        <w:t xml:space="preserve">(2) (Нова - ДВ, бр. 18 от 2011 г., доп., бр. 21 от 2012 г., отм., бр. 24 от 2018 г., в сила от 16.03.2018 г.). </w:t>
      </w:r>
    </w:p>
    <w:p w:rsidR="005E7E95" w:rsidRDefault="005E7E95">
      <w:pPr>
        <w:autoSpaceDE w:val="0"/>
        <w:autoSpaceDN w:val="0"/>
        <w:adjustRightInd w:val="0"/>
      </w:pPr>
      <w:r>
        <w:t xml:space="preserve">(3) (Предишна ал. 2 - ДВ, бр. 18 от 2011 г., изм., бр. 21 от 2012 г., бр. 101 от 2012 г., в сила от 18.12.2012 г., отм., бр. 24 от 2018 г., в сила от 16.03.2018 г.). </w:t>
      </w:r>
    </w:p>
    <w:p w:rsidR="005E7E95" w:rsidRDefault="005E7E95">
      <w:pPr>
        <w:autoSpaceDE w:val="0"/>
        <w:autoSpaceDN w:val="0"/>
        <w:adjustRightInd w:val="0"/>
      </w:pPr>
      <w:r>
        <w:t>(4) (Предишна ал. 3 - ДВ, бр. 18 от 2011 г., изм., бр. 21 от 2012 г., бр. 16 от 2015 г., бр. 24 от 2018 г., в сила от 16.03.2018 г.) Независимо от реда за предоставяне получените копия от ЦОФК не могат да се преотстъпват под каквато и да е форма на трети лица, освен когато това е предвидено в договора по ал. 1, т. 2.</w:t>
      </w:r>
    </w:p>
    <w:p w:rsidR="005E7E95" w:rsidRDefault="005E7E95">
      <w:pPr>
        <w:autoSpaceDE w:val="0"/>
        <w:autoSpaceDN w:val="0"/>
        <w:adjustRightInd w:val="0"/>
      </w:pPr>
      <w:r>
        <w:t>(5) (Нова - ДВ, бр. 21 от 2012 г., изм., бр. 24 от 2018 г., в сила от 16.03.2018 г., бр. 62 от 2023 г., в сила от 21.07.2023 г.) Министърът на земеделието и храните одобрява със заповед правила за закупуване и предоставяне на части или на цялата ЦОФК, които се публикуват на интернет страницата на Министерството на земеделието и храните. В правилата се посочва цена в левове за картен лист, като картата се предоставя на картни листи от 16 кв. км, по определена в тях картосхема на картните листи.</w:t>
      </w:r>
    </w:p>
    <w:p w:rsidR="005E7E95" w:rsidRDefault="005E7E95">
      <w:pPr>
        <w:autoSpaceDE w:val="0"/>
        <w:autoSpaceDN w:val="0"/>
        <w:adjustRightInd w:val="0"/>
      </w:pPr>
      <w:r>
        <w:t>(6) (Нова - ДВ, бр. 21 от 2012 г., отм., бр. 24 от 2018 г., в сила от 16.03.2018 г.).</w:t>
      </w:r>
    </w:p>
    <w:p w:rsidR="005E7E95" w:rsidRDefault="005E7E95">
      <w:pPr>
        <w:autoSpaceDE w:val="0"/>
        <w:autoSpaceDN w:val="0"/>
        <w:adjustRightInd w:val="0"/>
        <w:spacing w:before="120"/>
        <w:ind w:firstLine="990"/>
      </w:pPr>
      <w:r>
        <w:t>Чл. 12а. (Нов - ДВ, бр. 21 от 2012 г., изм., бр. 16 от 2015 г., бр. 24 от 2018 г., в сила от 16.03.2018 г., бр. 62 от 2023 г., в сила от 21.07.2023 г.) Актуализираната по реда на чл. 9 – 11 ЦОФК се дешифрира с оглед обновяване на цифровите географски и атрибутивни данни в СИЗП по чл. 8, ал. 1, т. 2, букви "а", "б" и "в". На дешифриране подлежи и всяка друга ЦОФК, отговаряща на изискванията на чл. 11, ал. 1, т. 1 и ал. 2, до която МЗХ има достъп и може да използва.</w:t>
      </w:r>
    </w:p>
    <w:p w:rsidR="005E7E95" w:rsidRDefault="005E7E95">
      <w:pPr>
        <w:autoSpaceDE w:val="0"/>
        <w:autoSpaceDN w:val="0"/>
        <w:adjustRightInd w:val="0"/>
        <w:spacing w:before="120"/>
        <w:ind w:firstLine="990"/>
      </w:pPr>
      <w:r>
        <w:t>Чл. 13. (Изм. - ДВ, бр. 37 от 2008 г., бр. 21 от 2012 г., изм. и доп., бр. 16 от 2015 г., изм., бр. 90 от 2015 г., в сила от 20.11.2015 г.) (1) (Предишен текст на чл. 13, изм. – ДВ, бр. 24 от 2018 г., в сила от 16.03.2018 г., бр. 62 от 2023 г., в сила от 21.07.2023 г.) Министерството на земеделието и храните създава в системата за идентификация на земеделските парцели специализиран слой на референтни парцели – физическите блокове, включващ техните основни характеристики и уникални идентификационни номера.</w:t>
      </w:r>
    </w:p>
    <w:p w:rsidR="005E7E95" w:rsidRDefault="005E7E95">
      <w:pPr>
        <w:autoSpaceDE w:val="0"/>
        <w:autoSpaceDN w:val="0"/>
        <w:adjustRightInd w:val="0"/>
      </w:pPr>
      <w:r>
        <w:t>(2) (Нова – ДВ, бр. 24 от 2018 г., в сила от 16.03.2018 г.) Основните характеристики на физическия блок са неговите граници и начин на трайно ползване.</w:t>
      </w:r>
    </w:p>
    <w:p w:rsidR="005E7E95" w:rsidRDefault="005E7E95">
      <w:pPr>
        <w:autoSpaceDE w:val="0"/>
        <w:autoSpaceDN w:val="0"/>
        <w:adjustRightInd w:val="0"/>
      </w:pPr>
      <w:r>
        <w:t>(3) (Нова – ДВ, бр. 24 от 2018 г., в сила от 16.03.2018 г.) За граници на физическите блокове се ползват налични трайни топографски елементи като:</w:t>
      </w:r>
    </w:p>
    <w:p w:rsidR="005E7E95" w:rsidRDefault="005E7E95">
      <w:pPr>
        <w:autoSpaceDE w:val="0"/>
        <w:autoSpaceDN w:val="0"/>
        <w:adjustRightInd w:val="0"/>
      </w:pPr>
      <w:r>
        <w:t>а) граници между земеделски и неземеделски земи и граници между различни видове неземеделски площи, включително гори, захрастени територии, водни обекти, канали, застроени площи, пътища (полски и с постоянна настилка), огради и др.;</w:t>
      </w:r>
    </w:p>
    <w:p w:rsidR="005E7E95" w:rsidRDefault="005E7E95">
      <w:pPr>
        <w:autoSpaceDE w:val="0"/>
        <w:autoSpaceDN w:val="0"/>
        <w:adjustRightInd w:val="0"/>
      </w:pPr>
      <w:r>
        <w:t>б) елементи на ландшафта, включително синори, редици дървета, дерета и др.</w:t>
      </w:r>
    </w:p>
    <w:p w:rsidR="005E7E95" w:rsidRDefault="005E7E95">
      <w:pPr>
        <w:autoSpaceDE w:val="0"/>
        <w:autoSpaceDN w:val="0"/>
        <w:adjustRightInd w:val="0"/>
      </w:pPr>
      <w:r>
        <w:t>(4) (Нова – ДВ, бр. 24 от 2018 г., в сила от 16.03.2018 г.) Начинът на трайно ползване на физическия блок в зависимост от предназначението на земята е от земеделски или неземеделски тип съгласно приложението.</w:t>
      </w:r>
    </w:p>
    <w:p w:rsidR="005E7E95" w:rsidRDefault="005E7E95">
      <w:pPr>
        <w:autoSpaceDE w:val="0"/>
        <w:autoSpaceDN w:val="0"/>
        <w:adjustRightInd w:val="0"/>
      </w:pPr>
      <w:r>
        <w:t xml:space="preserve">(5) (Нова – ДВ, бр. 24 от 2018 г., в сила от 16.03.2018 г., изм. и доп., бр. 18 от 2020 г., в сила от 28.02.2020 г., доп., бр. 62 от 2023 г., в сила от 21.07.2023 г.) Като земеделски тип площи се класифицират тези части от територията на страната, които притежават природни дадености, правещи ги пригодни за извършване на земеделска дейност. Начинът на трайно ползване на физическия блок със земеделско предназначение се определя спрямо вида на реалния начин на ползване на земята в границите му – обработваема земя, постоянно затревена площ или трайно насаждение. При наличие на различно, смесено земеползване в рамките на един </w:t>
      </w:r>
      <w:r>
        <w:lastRenderedPageBreak/>
        <w:t>земеделски физически блок отделните видове ползване следва да бъдат изчислени като площ и/или географски обособени.</w:t>
      </w:r>
    </w:p>
    <w:p w:rsidR="005E7E95" w:rsidRDefault="005E7E95">
      <w:pPr>
        <w:autoSpaceDE w:val="0"/>
        <w:autoSpaceDN w:val="0"/>
        <w:adjustRightInd w:val="0"/>
      </w:pPr>
      <w:r>
        <w:t>(6) (Нова – ДВ, бр. 62 от 2023 г., в сила от 21.07.2023 г., изм., бр. 92 от 2024 г., в сила от 1.11.2024 г.) Като неземеделски тип площи се класифицират площите по чл. 55, ал. 1 и ал. 2 от Наредба № 3 от 2023 г.</w:t>
      </w:r>
    </w:p>
    <w:p w:rsidR="005E7E95" w:rsidRDefault="005E7E95">
      <w:pPr>
        <w:autoSpaceDE w:val="0"/>
        <w:autoSpaceDN w:val="0"/>
        <w:adjustRightInd w:val="0"/>
      </w:pPr>
      <w:r>
        <w:t xml:space="preserve">(7) (Нова – ДВ, бр. 62 от 2023 г., в сила от 21.07.2023 г.) Когато е възможно, площта на неземеделските и трайно недопустимите за подпомагане части по ал. 6, в рамките на физическите блокове със земеделско предназначение, се отделят географски във физически блокове. Така определените физически блокове със земеделско предназначение представят максимално допустимата за подпомагане площ по интервенции на площ, освен когато максимално допустимата площ по интервенцията е ограничена като териториален обхват. </w:t>
      </w:r>
    </w:p>
    <w:p w:rsidR="005E7E95" w:rsidRDefault="005E7E95">
      <w:pPr>
        <w:autoSpaceDE w:val="0"/>
        <w:autoSpaceDN w:val="0"/>
        <w:adjustRightInd w:val="0"/>
      </w:pPr>
      <w:r>
        <w:t>(8) (Нова – ДВ, бр. 24 от 2018 г., в сила от 16.03.2018 г., предишна ал. 6, бр. 62 от 2023 г., в сила от 21.07.2023 г.) Уникалният идентификационен номер на всеки физически блок се състои от ЕКАТТЕ на землището, в което блокът попада с по-голямата част от площта си, и пореден номер на създаване в границите на землището.</w:t>
      </w:r>
    </w:p>
    <w:p w:rsidR="005E7E95" w:rsidRDefault="005E7E95">
      <w:pPr>
        <w:autoSpaceDE w:val="0"/>
        <w:autoSpaceDN w:val="0"/>
        <w:adjustRightInd w:val="0"/>
        <w:spacing w:before="120"/>
        <w:ind w:firstLine="990"/>
      </w:pPr>
      <w:r>
        <w:t>Чл. 14. (Отм. - ДВ, бр. 21 от 2012 г., нов, бр. 90 от 2015 г., в сила от 20.11.2015 г., изм., бр. 24 от 2018 г., в сила от 16.03.2018 г., отм., бр. 62 от 2023 г., в сила от 21.07.2023 г.)</w:t>
      </w:r>
    </w:p>
    <w:p w:rsidR="005E7E95" w:rsidRDefault="005E7E95">
      <w:pPr>
        <w:autoSpaceDE w:val="0"/>
        <w:autoSpaceDN w:val="0"/>
        <w:adjustRightInd w:val="0"/>
        <w:spacing w:before="120"/>
        <w:ind w:firstLine="990"/>
      </w:pPr>
      <w:r>
        <w:t>Чл. 14а. (Нов – ДВ, бр. 24 от 2018 г., в сила от 16.03.2018 г., отм., бр. 62 от 2023 г., в сила от 21.07.2023 г.).</w:t>
      </w:r>
    </w:p>
    <w:p w:rsidR="005E7E95" w:rsidRDefault="005E7E95">
      <w:pPr>
        <w:autoSpaceDE w:val="0"/>
        <w:autoSpaceDN w:val="0"/>
        <w:adjustRightInd w:val="0"/>
        <w:spacing w:before="120"/>
        <w:ind w:firstLine="990"/>
      </w:pPr>
      <w:r>
        <w:t>Чл. 15. (Отм. - ДВ, бр. 21 от 2012 г., нов, бр. 90 от 2015 г., в сила от 20.11.2015 г.) (1) (Отм. – ДВ, бр. 24 от 2018 г., в сила от 16.03.2018 г.).</w:t>
      </w:r>
    </w:p>
    <w:p w:rsidR="005E7E95" w:rsidRDefault="005E7E95">
      <w:pPr>
        <w:autoSpaceDE w:val="0"/>
        <w:autoSpaceDN w:val="0"/>
        <w:adjustRightInd w:val="0"/>
      </w:pPr>
      <w:r>
        <w:t>(2) (Изм. – ДВ, бр. 24 от 2018 г., в сила от 16.03.2018 г., доп., бр. 11 от 2021 г., в сила от 9.02.2021 г., изм., бр. 62 от 2023 г., в сила от 21.07.2023 г.) Цифровите географски и атрибутивни данни за референтни парцели – физически блокове, в това число данните по чл. 8, ал. 1, т. 2, букви "е" и "з", се обновяват ежегодно с цел отразяване на реалното състояние и ползване на площите чрез:</w:t>
      </w:r>
    </w:p>
    <w:p w:rsidR="005E7E95" w:rsidRDefault="005E7E95">
      <w:pPr>
        <w:autoSpaceDE w:val="0"/>
        <w:autoSpaceDN w:val="0"/>
        <w:adjustRightInd w:val="0"/>
      </w:pPr>
      <w:r>
        <w:t>1. дешифриране на актуална ЦОФК, изготвена чрез самолетно или сателитно заснемане, и/или;</w:t>
      </w:r>
    </w:p>
    <w:p w:rsidR="005E7E95" w:rsidRDefault="005E7E95">
      <w:pPr>
        <w:autoSpaceDE w:val="0"/>
        <w:autoSpaceDN w:val="0"/>
        <w:adjustRightInd w:val="0"/>
      </w:pPr>
      <w:r>
        <w:t>2. отразяване на резултати и констатации от специализирани теренни проверки на референтни парцели по чл. 33, ал. 4, т. 2 от ЗПЗП, и/или;</w:t>
      </w:r>
    </w:p>
    <w:p w:rsidR="005E7E95" w:rsidRDefault="005E7E95">
      <w:pPr>
        <w:autoSpaceDE w:val="0"/>
        <w:autoSpaceDN w:val="0"/>
        <w:adjustRightInd w:val="0"/>
      </w:pPr>
      <w:r>
        <w:t>3. отразяване, след анализ и при съществуваща техническа възможност за това, на резултатите от проверките на място по чл. 37, ал. 3 от ЗПЗП, които предоставят допълнителна, различна и непротиворечива информация спрямо съществуващите към момента данни в СИЗП;</w:t>
      </w:r>
    </w:p>
    <w:p w:rsidR="005E7E95" w:rsidRDefault="005E7E95">
      <w:pPr>
        <w:autoSpaceDE w:val="0"/>
        <w:autoSpaceDN w:val="0"/>
        <w:adjustRightInd w:val="0"/>
      </w:pPr>
      <w:r>
        <w:t>4. данни от системата за геопространствени заявления;</w:t>
      </w:r>
    </w:p>
    <w:p w:rsidR="005E7E95" w:rsidRDefault="005E7E95">
      <w:pPr>
        <w:autoSpaceDE w:val="0"/>
        <w:autoSpaceDN w:val="0"/>
        <w:adjustRightInd w:val="0"/>
      </w:pPr>
      <w:r>
        <w:t>5. данни от системата за мониторинг на площта, когато е приложимо;</w:t>
      </w:r>
    </w:p>
    <w:p w:rsidR="005E7E95" w:rsidRDefault="005E7E95">
      <w:pPr>
        <w:autoSpaceDE w:val="0"/>
        <w:autoSpaceDN w:val="0"/>
        <w:adjustRightInd w:val="0"/>
      </w:pPr>
      <w:r>
        <w:t>6. други източници на ортогонални изображения и цифрови данни за съответната година, до които Министерството на земеделието и храните има достъп и може да използва при липса на информация по т. 1 – 5.</w:t>
      </w:r>
    </w:p>
    <w:p w:rsidR="005E7E95" w:rsidRDefault="005E7E95">
      <w:pPr>
        <w:autoSpaceDE w:val="0"/>
        <w:autoSpaceDN w:val="0"/>
        <w:adjustRightInd w:val="0"/>
      </w:pPr>
      <w:r>
        <w:t>(3) (Изм. – ДВ, бр. 24 от 2018 г., в сила от 16.03.2018 г., бр. 62 от 2023 г., в сила от 21.07.2023 г.) Министърът на земеделието и храните възлага извършването на специализирани теренни проверки по ал. 2, т. 2 със заповед. Министърът на земеделието и храните ежегодно утвърждава методика за избор на референтни парцели за теренни проверки по ал. 2, т. 2 и методически указания за тяхното провеждане.</w:t>
      </w:r>
    </w:p>
    <w:p w:rsidR="005E7E95" w:rsidRDefault="005E7E95">
      <w:pPr>
        <w:autoSpaceDE w:val="0"/>
        <w:autoSpaceDN w:val="0"/>
        <w:adjustRightInd w:val="0"/>
      </w:pPr>
      <w:r>
        <w:t xml:space="preserve">(4) (Изм. и доп. – ДВ, бр. 24 от 2018 г. , в сила от 16.03.2018 г., изм., бр. 62 от 2023 г., в сила от 21.07.2023 г.) Специализираните теренни проверки по ал. 2, т. 2 определят чрез използване на устройство за позициониране и измерване, чието допустимо отклонение на измерване отговаря на указанията на ЕК, необходимостта от актуализиране, вида и обхвата на промените на характеристиките на референтните парцели – граници и начин на трайно ползване. В зависимост от установеното на място състояние на проверяваните площи и необходимостта от промени се извършват измервания (линейни или полигонови) за нови </w:t>
      </w:r>
      <w:r>
        <w:lastRenderedPageBreak/>
        <w:t>граници или съществуващите граници се потвърждават. Тези проверки не са проверки на място по смисъла на чл. 37 ЗПЗП, не касаят оценка на конкретни заявени за подпомагане площи и за резултатите от тях не се изпращат контролни листове или доклади на кандидатите от ДФ "Земеделие" или Министерството на земеделието и храните.</w:t>
      </w:r>
    </w:p>
    <w:p w:rsidR="005E7E95" w:rsidRDefault="005E7E95">
      <w:pPr>
        <w:autoSpaceDE w:val="0"/>
        <w:autoSpaceDN w:val="0"/>
        <w:adjustRightInd w:val="0"/>
      </w:pPr>
      <w:r>
        <w:t>(5) Земеделските стопани, заявили площи за подпомагане в референтни парцели – физически блокове, определени за теренни проверки по ал. 2, т. 2, се уведомяват чрез:</w:t>
      </w:r>
    </w:p>
    <w:p w:rsidR="005E7E95" w:rsidRDefault="005E7E95">
      <w:pPr>
        <w:autoSpaceDE w:val="0"/>
        <w:autoSpaceDN w:val="0"/>
        <w:adjustRightInd w:val="0"/>
      </w:pPr>
      <w:r>
        <w:t>1. (изм. – ДВ, бр. 24 от 2018 г., в сила от 16.03.2018 г., бр. 62 от 2023 г., в сила от 21.07.2023 г.) публикуване на интернет страниците на МЗХ и на съответната областна дирекция "Земеделие", както и на информационните табла в областните дирекции "Земеделие" и общинските служби по земеделие на информация за стартиране провеждането на специализираните теренни проверки и на списъци с референтните парцели, определени за проверка, и</w:t>
      </w:r>
    </w:p>
    <w:p w:rsidR="005E7E95" w:rsidRDefault="005E7E95">
      <w:pPr>
        <w:autoSpaceDE w:val="0"/>
        <w:autoSpaceDN w:val="0"/>
        <w:adjustRightInd w:val="0"/>
      </w:pPr>
      <w:r>
        <w:t>2. публикуване на интернет страницата на съответната областна дирекция "Земеделие", както и на информационните табла в областните дирекции "Земеделие" и общинските служби по земеделие на индикативни графици за провеждането на теренните проверки в областта.</w:t>
      </w:r>
    </w:p>
    <w:p w:rsidR="005E7E95" w:rsidRDefault="005E7E95">
      <w:pPr>
        <w:autoSpaceDE w:val="0"/>
        <w:autoSpaceDN w:val="0"/>
        <w:adjustRightInd w:val="0"/>
      </w:pPr>
      <w:r>
        <w:t>(6) Земеделските стопани по ал. 5 могат да бъдат уведомявани за теренните проверки по ал. 2, т. 2 и по друг подходящ начин, когато съществува възможност за това.</w:t>
      </w:r>
    </w:p>
    <w:p w:rsidR="005E7E95" w:rsidRDefault="005E7E95">
      <w:pPr>
        <w:autoSpaceDE w:val="0"/>
        <w:autoSpaceDN w:val="0"/>
        <w:adjustRightInd w:val="0"/>
      </w:pPr>
      <w:r>
        <w:t xml:space="preserve">(7) (Изм. – ДВ, бр. 62 от 2023 г., в сила от 21.07.2023 г.) Земеделските стопани, заявили площи за подпомагане в референтни парцели – физически блокове, определени за теренни проверки по ал. 2, т. 2, може да присъстват по време на тяхното провеждане. Специализираните теренни проверки се извършват и без присъствието на земеделските стопани. </w:t>
      </w:r>
    </w:p>
    <w:p w:rsidR="005E7E95" w:rsidRDefault="005E7E95">
      <w:pPr>
        <w:autoSpaceDE w:val="0"/>
        <w:autoSpaceDN w:val="0"/>
        <w:adjustRightInd w:val="0"/>
      </w:pPr>
      <w:r>
        <w:t>(8) (Изм. – ДВ, бр. 24 от 2018 г., в сила от 16.03.2018 г., бр. 62 от 2023 г., в сила от 21.07.2023 г.) Резултатите от теренните проверки по ал. 2, т. 2 се отразяват в контролни доклади (протоколи) за служебно ползване, служещи за обновяване на информацията в СИЗП. Контролните доклади се подписват от служителите на МЗХ, извършили проверката, други служители на МЗХ, присъствали на проверката, при наличие на такива, и се утвърждават от директора на съответната областна дирекция "Земеделие".</w:t>
      </w:r>
    </w:p>
    <w:p w:rsidR="005E7E95" w:rsidRDefault="005E7E95">
      <w:pPr>
        <w:autoSpaceDE w:val="0"/>
        <w:autoSpaceDN w:val="0"/>
        <w:adjustRightInd w:val="0"/>
        <w:spacing w:before="120"/>
        <w:ind w:firstLine="990"/>
      </w:pPr>
      <w:r>
        <w:t>Чл. 15a. (Нов – ДВ, бр. 11 от 2021 г., в сила от 9.02.2021 г.) (1) Данните по чл. 33а, ал. 5 от ЗПЗП включват:</w:t>
      </w:r>
    </w:p>
    <w:p w:rsidR="005E7E95" w:rsidRDefault="005E7E95">
      <w:pPr>
        <w:autoSpaceDE w:val="0"/>
        <w:autoSpaceDN w:val="0"/>
        <w:adjustRightInd w:val="0"/>
      </w:pPr>
      <w:r>
        <w:t>1. идентификатор, начин на трайно ползване и граници на физически блок;</w:t>
      </w:r>
    </w:p>
    <w:p w:rsidR="005E7E95" w:rsidRDefault="005E7E95">
      <w:pPr>
        <w:autoSpaceDE w:val="0"/>
        <w:autoSpaceDN w:val="0"/>
        <w:adjustRightInd w:val="0"/>
      </w:pPr>
      <w:r>
        <w:t>2. (отм. – ДВ, бр. 62 от 2023 г., в сила от 21.07.2023 г.);</w:t>
      </w:r>
    </w:p>
    <w:p w:rsidR="005E7E95" w:rsidRDefault="005E7E95">
      <w:pPr>
        <w:autoSpaceDE w:val="0"/>
        <w:autoSpaceDN w:val="0"/>
        <w:adjustRightInd w:val="0"/>
      </w:pPr>
      <w:r>
        <w:t>3. информация за област, землище, ЕКАТТЕ и граници на постоянно затревени площи.</w:t>
      </w:r>
    </w:p>
    <w:p w:rsidR="005E7E95" w:rsidRDefault="005E7E95">
      <w:pPr>
        <w:autoSpaceDE w:val="0"/>
        <w:autoSpaceDN w:val="0"/>
        <w:adjustRightInd w:val="0"/>
      </w:pPr>
      <w:r>
        <w:t>(2) Данните се публикуват в shape формат, координатна система WGS84, картографска проекция UTM, зона 35 Север, с кодиране на атрибутните данни Windows-1251.</w:t>
      </w:r>
    </w:p>
    <w:p w:rsidR="005E7E95" w:rsidRDefault="005E7E95">
      <w:pPr>
        <w:autoSpaceDE w:val="0"/>
        <w:autoSpaceDN w:val="0"/>
        <w:adjustRightInd w:val="0"/>
        <w:spacing w:before="120"/>
        <w:ind w:firstLine="990"/>
      </w:pPr>
      <w:r>
        <w:t>Чл. 16. (Изм. - ДВ, бр. 37 от 2008 г., отм., бр. 21 от 2012 г., нов, бр. 8 от 2017 г., в сила от 24.01.2017 г., изм., бр. 11 от 2021 г., в сила от 9.02.2021 г., бр. 62 от 2023 г., в сила от 21.07.2023 г.) Специализираният слой "Физически блокове" се обновява ежегодно и чрез проверка на възражения съгласно чл. 16г.</w:t>
      </w:r>
    </w:p>
    <w:p w:rsidR="005E7E95" w:rsidRDefault="005E7E95">
      <w:pPr>
        <w:autoSpaceDE w:val="0"/>
        <w:autoSpaceDN w:val="0"/>
        <w:adjustRightInd w:val="0"/>
        <w:spacing w:before="120"/>
        <w:ind w:firstLine="990"/>
      </w:pPr>
      <w:r>
        <w:t xml:space="preserve">Чл. 16а. (Нов - ДВ, бр. 21 от 2012 г.) (1) (Изм. - ДВ, бр. 101 от 2012 г., в сила от 18.12.2012 г., изм. и доп., бр. 16 от 2015 г., отм., бр. 90 от 2015 г., в сила от 20.11.2015 г.). </w:t>
      </w:r>
    </w:p>
    <w:p w:rsidR="005E7E95" w:rsidRDefault="005E7E95">
      <w:pPr>
        <w:autoSpaceDE w:val="0"/>
        <w:autoSpaceDN w:val="0"/>
        <w:adjustRightInd w:val="0"/>
      </w:pPr>
      <w:r>
        <w:t xml:space="preserve">(2) (Изм. - ДВ, бр. 101 от 2012 г., в сила от 18.12.2012 г., бр. 16 от 2015 г., отм., бр. 90 от 2015 г., в сила от 20.11.2015 г.). </w:t>
      </w:r>
    </w:p>
    <w:p w:rsidR="005E7E95" w:rsidRDefault="005E7E95">
      <w:pPr>
        <w:autoSpaceDE w:val="0"/>
        <w:autoSpaceDN w:val="0"/>
        <w:adjustRightInd w:val="0"/>
      </w:pPr>
      <w:r>
        <w:t xml:space="preserve">(3) (Нова – ДВ, бр. 22 от 2014 г., в сила от 11.03.2014 г., изм. и доп., бр. 16 от 2015 г.; изм. с Решение № 1155 на ВАС на РБ - бр. 50 от 2015 г.; отм., бр. 90 от 2015 г., в сила от 20.11.2015 г.). </w:t>
      </w:r>
    </w:p>
    <w:p w:rsidR="005E7E95" w:rsidRDefault="005E7E95">
      <w:pPr>
        <w:autoSpaceDE w:val="0"/>
        <w:autoSpaceDN w:val="0"/>
        <w:adjustRightInd w:val="0"/>
      </w:pPr>
      <w:r>
        <w:t xml:space="preserve">(4) (Нова – ДВ, бр. 22 от 2014 г., в сила от 11.03.2014 г., доп., бр. 16 от 2015 г.; отм. с Решение № 1155 на ВАС на РБ - бр. 50 от 2015 г.). </w:t>
      </w:r>
    </w:p>
    <w:p w:rsidR="005E7E95" w:rsidRDefault="005E7E95">
      <w:pPr>
        <w:autoSpaceDE w:val="0"/>
        <w:autoSpaceDN w:val="0"/>
        <w:adjustRightInd w:val="0"/>
      </w:pPr>
      <w:r>
        <w:t xml:space="preserve">(5) (Изм. - ДВ, бр. 101 от 2012 г., в сила от 18.12.2012 г., предишна ал. 3, бр. 22 от 2014 г., в сила от 11.03.2014 г., изм. и доп., бр. 16 от 2015 г., изм., бр. 90 от 2015 г., в сила от 20.11.2015 г., бр. 24 от 2018 г., в сила от 16.03.2018 г., доп., бр. 18 от 2020 г., в сила от 28.02.2020 г., </w:t>
      </w:r>
      <w:r>
        <w:lastRenderedPageBreak/>
        <w:t>изм., бр. 62 от 2023 г., в сила от 21.07.2023 г.) След приключване на обновяването по чл. 15, ал. 2 Министерството на земеделието и храните предоставя еднократно или на етапи актуализирани данни за слой "Физически блокове", в това число данните по чл. 8, ал. 1, т. 2, букви "е" и "з", за извършване на проверки съгласно чл. 70 от ЗПЗП на подадените заявления за подпомагане.</w:t>
      </w:r>
    </w:p>
    <w:p w:rsidR="005E7E95" w:rsidRDefault="005E7E95">
      <w:pPr>
        <w:autoSpaceDE w:val="0"/>
        <w:autoSpaceDN w:val="0"/>
        <w:adjustRightInd w:val="0"/>
      </w:pPr>
      <w:r>
        <w:t>(6) (Нова - ДВ, бр. 101 от 2012 г., в сила от 18.12.2012 г., предишна ал. 4, бр. 22 от 2014 г., в сила от 11.03.2014 г., изм. и доп., бр. 16 от 2015 г., изм., бр. 90 от 2015 г., в сила от 20.11.2015 г., бр. 62 от 2023 г., в сила от 21.07.2023 г.) Въз основа на получените съгласно ал. 5 данни и резултати от извършените проверки ДФЗ може да извърши отказ, частично или пълно плащане на площ.</w:t>
      </w:r>
    </w:p>
    <w:p w:rsidR="005E7E95" w:rsidRDefault="005E7E95">
      <w:pPr>
        <w:autoSpaceDE w:val="0"/>
        <w:autoSpaceDN w:val="0"/>
        <w:adjustRightInd w:val="0"/>
        <w:spacing w:before="120"/>
        <w:ind w:firstLine="990"/>
      </w:pPr>
      <w:r>
        <w:t>Чл. 16б. (Нов - ДВ, бр. 21 от 2012 г., изм., бр. 101 от 2012 г., в сила от 18.12.2012 г., бр. 16 от 2015 г., бр. 90 от 2015 г., в сила от 20.11.2015 г., бр. 8 от 2017 г., в сила от 24.01.2017 г.) (1) (Изм. – ДВ, бр. 24 от 2018 г., в сила от 16.03.2018 г., бр. 11 от 2021 г., в сила от 9.02.2021 г., бр. 62 от 2023 г., в сила от 21.07.2023 г.) Всяка година след приключване на обновяването по чл. 15, ал. 2, т. 1 и 2 министърът на земеделието и храните одобрява със заповед проект на специализиран слой "Физически блокове", който се публикува на интернет страниците на Министерството на земеделието и храните и Държавен фонд "Земеделие".</w:t>
      </w:r>
    </w:p>
    <w:p w:rsidR="005E7E95" w:rsidRDefault="005E7E95">
      <w:pPr>
        <w:autoSpaceDE w:val="0"/>
        <w:autoSpaceDN w:val="0"/>
        <w:adjustRightInd w:val="0"/>
      </w:pPr>
      <w:r>
        <w:t>(2) (Изм. – ДВ, бр. 11 от 2021 г., в сила от 9.02.2021 г.) В заповедта по ал. 1 се посочват и срокът и начинът за подаване на възражения по чл. 16в.</w:t>
      </w:r>
    </w:p>
    <w:p w:rsidR="005E7E95" w:rsidRDefault="005E7E95">
      <w:pPr>
        <w:autoSpaceDE w:val="0"/>
        <w:autoSpaceDN w:val="0"/>
        <w:adjustRightInd w:val="0"/>
        <w:spacing w:before="120"/>
        <w:ind w:firstLine="990"/>
      </w:pPr>
      <w:r>
        <w:t>Чл. 16в. (Нов - ДВ, бр. 21 от 2012 г., изм., бр. 101 от 2012 г., в сила от 18.12.2012 г., бр. 16 от 2015 г., бр. 8 от 2017 г., в сила от 24.01.2017 г.) (1) (Изм. – ДВ, бр. 11 от 2021 г., в сила от 9.02.2021 г., бр. 62 от 2023 г., в сила от 21.07.2023 г.) Земеделските стопани могат да се запознаят с проекта на специализирания слой "Физически блокове" в общинската служба по земеделие по местонахождението на площите чрез преглед на съответните физически блокове или части от тях върху ЦОФК. Служителите от общинската служба по земеделие оказват съдействие на земеделските стопани при извършване на прегледа.</w:t>
      </w:r>
    </w:p>
    <w:p w:rsidR="005E7E95" w:rsidRDefault="005E7E95">
      <w:pPr>
        <w:autoSpaceDE w:val="0"/>
        <w:autoSpaceDN w:val="0"/>
        <w:adjustRightInd w:val="0"/>
      </w:pPr>
      <w:r>
        <w:t>(2) (Изм. – ДВ, бр. 24 от 2018 г., в сила от 16.03.2018 г., бр. 11 от 2021 г., в сила от 9.02.2021 г., бр. 62 от 2023 г., в сила от 21.07.2023 г.) В срока по чл. 16б, ал. 2 земеделските стопани могат да подават до министъра на земеделието и храните чрез областната дирекция "Земеделие" възражения по образец, генерирани в системата по чл. 1, ал. 1, т. 6. При подаване на възражения земеделските стопани сами или със съдействието на служител от общинската служба по земеделие посочват идентификаторите на парцелите, които са предмет на възражението.</w:t>
      </w:r>
    </w:p>
    <w:p w:rsidR="005E7E95" w:rsidRDefault="005E7E95">
      <w:pPr>
        <w:autoSpaceDE w:val="0"/>
        <w:autoSpaceDN w:val="0"/>
        <w:adjustRightInd w:val="0"/>
      </w:pPr>
      <w:r>
        <w:t>(3) (Нова – ДВ, бр. 18 от 2020 г., в сила от 28.02.2020 г., изм., бр. 11 от 2021 г., в сила от 9.02.2021 г., бр. 62 от 2023 г., в сила от 21.07.2023 г.) Не могат да бъдат предмет на възражение по ал. 2 парцели, чието одобрение за подпомагане не е свързано със специализирания слой "Физически блокове".</w:t>
      </w:r>
    </w:p>
    <w:p w:rsidR="005E7E95" w:rsidRDefault="005E7E95">
      <w:pPr>
        <w:autoSpaceDE w:val="0"/>
        <w:autoSpaceDN w:val="0"/>
        <w:adjustRightInd w:val="0"/>
        <w:spacing w:before="120"/>
        <w:ind w:firstLine="990"/>
      </w:pPr>
      <w:r>
        <w:t xml:space="preserve">Чл. 16г. (Нов - ДВ, бр. 21 от 2012 г., доп., бр. 16 от 2015 г., изм., бр. 101 от 2012 г., в сила от 18.12.2012 г., бр. 16 от 2015 г., бр. 8 от 2017 г., в сила от 24.01.2017 г.) (1) (Изм. – ДВ, бр. 24 от 2018 г., в сила от 16.03.2018 г., бр. 11 от 2021 г., в сила от 9.02.2021 г., бр. 62 от 2023 г., в сила от 21.07.2023 г.) След проверка на получените възражения и отстраняване на установени непълноти и грешки Министерството на земеделието и храните изготвя окончателен специализиран слой "Физически блокове". </w:t>
      </w:r>
    </w:p>
    <w:p w:rsidR="005E7E95" w:rsidRDefault="005E7E95">
      <w:pPr>
        <w:autoSpaceDE w:val="0"/>
        <w:autoSpaceDN w:val="0"/>
        <w:adjustRightInd w:val="0"/>
      </w:pPr>
      <w:r>
        <w:t>(2) Проверката по ал. 1 се извършва чрез преглед на коректността на:</w:t>
      </w:r>
    </w:p>
    <w:p w:rsidR="005E7E95" w:rsidRDefault="005E7E95">
      <w:pPr>
        <w:autoSpaceDE w:val="0"/>
        <w:autoSpaceDN w:val="0"/>
        <w:adjustRightInd w:val="0"/>
      </w:pPr>
      <w:r>
        <w:t xml:space="preserve">1. извършената дешифрация, когато съответните площи попадат под актуално за годината заснемане; </w:t>
      </w:r>
    </w:p>
    <w:p w:rsidR="005E7E95" w:rsidRDefault="005E7E95">
      <w:pPr>
        <w:autoSpaceDE w:val="0"/>
        <w:autoSpaceDN w:val="0"/>
        <w:adjustRightInd w:val="0"/>
      </w:pPr>
      <w:r>
        <w:t>2. извършената теренна проверка и нанасянето на констатациите от нея в базата данни на СИЗП, когато съответните физически блокове са определени за теренна проверка.</w:t>
      </w:r>
    </w:p>
    <w:p w:rsidR="005E7E95" w:rsidRDefault="005E7E95">
      <w:pPr>
        <w:autoSpaceDE w:val="0"/>
        <w:autoSpaceDN w:val="0"/>
        <w:adjustRightInd w:val="0"/>
      </w:pPr>
      <w:r>
        <w:t>(3) (Изм. – ДВ, бр. 11 от 2021 г., в сила от 9.02.2021 г.) Резултатите от извършените проверки на възраженията се публикуват чрез системата по чл. 1, ал. 1, т. 6.</w:t>
      </w:r>
    </w:p>
    <w:p w:rsidR="005E7E95" w:rsidRDefault="005E7E95">
      <w:pPr>
        <w:autoSpaceDE w:val="0"/>
        <w:autoSpaceDN w:val="0"/>
        <w:adjustRightInd w:val="0"/>
      </w:pPr>
      <w:r>
        <w:lastRenderedPageBreak/>
        <w:t>(4) (Изм. – ДВ, бр. 24 от 2018 г., в сила от 16.03.2018 г., бр. 11 от 2021 г., в сила от 9.02.2021 г., бр. 62 от 2023 г., в сила от 21.07.2023 г.) Министърът на земеделието и храните одобрява или изменя със заповед специализирания слой "Физически блокове". Заповедта се обнародва в "Държавен вестник" и се публикува на интернет страниците на Министерството на земеделието и храните и на Държавен фонд "Земеделие".</w:t>
      </w:r>
    </w:p>
    <w:p w:rsidR="005E7E95" w:rsidRDefault="005E7E95">
      <w:pPr>
        <w:autoSpaceDE w:val="0"/>
        <w:autoSpaceDN w:val="0"/>
        <w:adjustRightInd w:val="0"/>
      </w:pPr>
      <w:r>
        <w:t>(5) (Изм. – ДВ, бр. 24 от 2018 г., в сила от 16.03.2018 г., бр. 18 от 2020 г., в сила от 28.02.2020 г., бр. 11 от 2021 г., в сила от 9.02.2021 г., бр. 62 от 2023 г., в сила от 21.07.2023 г.) Одобрените от министъра на земеделието и храните окончателни данни за слой "Физически блокове", в това число данните по чл. 8, ал. 1, т. 2, букви "е" и "з", се използват от ДФЗ при извършване на административни проверки съгласно чл. 70 от ЗПЗП.</w:t>
      </w:r>
    </w:p>
    <w:p w:rsidR="005E7E95" w:rsidRDefault="005E7E95">
      <w:pPr>
        <w:autoSpaceDE w:val="0"/>
        <w:autoSpaceDN w:val="0"/>
        <w:adjustRightInd w:val="0"/>
        <w:spacing w:before="120"/>
        <w:ind w:firstLine="990"/>
      </w:pPr>
      <w:r>
        <w:t>Чл. 16д. (Нов – ДВ, бр. 22 от 2014 г., в сила от 1.10.2014 г., изм., бр. 16 от 2015 г.) (1) (Изм. – ДВ, бр. 24 от 2018 г., в сила от 16.03.2018 г., бр. 62 от 2023 г., в сила от 21.07.2023 г.) Министерството на земеделието и храните създава в Системата за идентификация на земеделските парцели специализиран слой "Постоянно затревени площи", който включва съществуващи към момента на създаването му затревени площи с минимален размер 0,1 хектара, които:</w:t>
      </w:r>
    </w:p>
    <w:p w:rsidR="005E7E95" w:rsidRDefault="005E7E95">
      <w:pPr>
        <w:autoSpaceDE w:val="0"/>
        <w:autoSpaceDN w:val="0"/>
        <w:adjustRightInd w:val="0"/>
      </w:pPr>
      <w:r>
        <w:t>1. са с начин на трайно ползване по Картата на възстановена собственост – пасища, мери, ливади или друг вид постоянно затревените площи;</w:t>
      </w:r>
    </w:p>
    <w:p w:rsidR="005E7E95" w:rsidRDefault="005E7E95">
      <w:pPr>
        <w:autoSpaceDE w:val="0"/>
        <w:autoSpaceDN w:val="0"/>
        <w:adjustRightInd w:val="0"/>
      </w:pPr>
      <w:r>
        <w:t>2. попадат във физически блокове, включващи постоянно затревени площи, в които поне през една от последните 5 години има заявени затревени площи.</w:t>
      </w:r>
    </w:p>
    <w:p w:rsidR="005E7E95" w:rsidRDefault="005E7E95">
      <w:pPr>
        <w:autoSpaceDE w:val="0"/>
        <w:autoSpaceDN w:val="0"/>
        <w:adjustRightInd w:val="0"/>
      </w:pPr>
      <w:r>
        <w:t xml:space="preserve">(2) Специализираният слой "Постоянно затревени площи" включва съществуващите постоянно затревени площи, които са екологично чувствителни, в зоните, обхванати от Директива 92/43/ЕИО на Съвета от 21 май 1992 г. за опазване на естествените местообитания и на дивата флора и фауна (OB L 206, 22.7.1992 г.) или Директива 2009/147/ЕО на Европейския парламент и на Съвета от 30 ноември 2009 г. относно опазването на дивите птици (OB L 20, 26.1.2010 г.). За тези площи не се прилага условието по ал. 1, т. 2. </w:t>
      </w:r>
    </w:p>
    <w:p w:rsidR="005E7E95" w:rsidRDefault="005E7E95">
      <w:pPr>
        <w:autoSpaceDE w:val="0"/>
        <w:autoSpaceDN w:val="0"/>
        <w:adjustRightInd w:val="0"/>
      </w:pPr>
      <w:r>
        <w:t>(3) Специализираният слой "Постоянно затревени площи" се създава с цел:</w:t>
      </w:r>
    </w:p>
    <w:p w:rsidR="005E7E95" w:rsidRDefault="005E7E95">
      <w:pPr>
        <w:autoSpaceDE w:val="0"/>
        <w:autoSpaceDN w:val="0"/>
        <w:adjustRightInd w:val="0"/>
      </w:pPr>
      <w:r>
        <w:t>1. запазване на съществуващите постоянно затревени площи от разораване и преобразуване;</w:t>
      </w:r>
    </w:p>
    <w:p w:rsidR="005E7E95" w:rsidRDefault="005E7E95">
      <w:pPr>
        <w:autoSpaceDE w:val="0"/>
        <w:autoSpaceDN w:val="0"/>
        <w:adjustRightInd w:val="0"/>
      </w:pPr>
      <w:r>
        <w:t>2. (доп. – ДВ, бр. 16 от 2015 г.) използване от ДФЗ – РА за административни проверки на подадените заявления за подпомагане съгласно чл. 37, ал. 2 от ЗПЗП.</w:t>
      </w:r>
    </w:p>
    <w:p w:rsidR="005E7E95" w:rsidRDefault="005E7E95">
      <w:pPr>
        <w:autoSpaceDE w:val="0"/>
        <w:autoSpaceDN w:val="0"/>
        <w:adjustRightInd w:val="0"/>
        <w:spacing w:before="120"/>
        <w:ind w:firstLine="990"/>
      </w:pPr>
      <w:r>
        <w:t>Чл. 16е. (Нов – ДВ, бр. 22 от 2014 г., в сила от 1.10.2014 г.) (1) (Изм. – ДВ, бр. 16 от 2015 г., бр. 24 от 2018 г., в сила от 16.03.2018 г., бр. 62 от 2023 г., в сила от 21.07.2023 г.) След създаване на специализирания слой "Постоянно затревени площи" Министерството на земеделието и храните открива производство по чл. 66 от Административнопроцесуалния кодекс за неговото одобряване. Откриването на производството се оповестява чрез:</w:t>
      </w:r>
    </w:p>
    <w:p w:rsidR="005E7E95" w:rsidRDefault="005E7E95">
      <w:pPr>
        <w:autoSpaceDE w:val="0"/>
        <w:autoSpaceDN w:val="0"/>
        <w:adjustRightInd w:val="0"/>
      </w:pPr>
      <w:r>
        <w:t>1. публикуване на обява в един централен ежедневник;</w:t>
      </w:r>
    </w:p>
    <w:p w:rsidR="005E7E95" w:rsidRDefault="005E7E95">
      <w:pPr>
        <w:autoSpaceDE w:val="0"/>
        <w:autoSpaceDN w:val="0"/>
        <w:adjustRightInd w:val="0"/>
      </w:pPr>
      <w:r>
        <w:t>2. (изм. – ДВ, бр. 24 от 2018 г., в сила от 16.03.2018 г., бр. 62 от 2023 г., в сила от 21.07.2023 г.) публикуване на обява на интернет страниците на Министерството на земеделието и храните и Държавен фонд "Земеделие" (ДФЗ);</w:t>
      </w:r>
    </w:p>
    <w:p w:rsidR="005E7E95" w:rsidRDefault="005E7E95">
      <w:pPr>
        <w:autoSpaceDE w:val="0"/>
        <w:autoSpaceDN w:val="0"/>
        <w:adjustRightInd w:val="0"/>
      </w:pPr>
      <w:r>
        <w:t>3. (отм. – ДВ, бр. 16 от 2015 г.).</w:t>
      </w:r>
    </w:p>
    <w:p w:rsidR="005E7E95" w:rsidRDefault="005E7E95">
      <w:pPr>
        <w:autoSpaceDE w:val="0"/>
        <w:autoSpaceDN w:val="0"/>
        <w:adjustRightInd w:val="0"/>
      </w:pPr>
      <w:r>
        <w:t>(2) Уведомяването за откриване на производството по ал. 1 включва:</w:t>
      </w:r>
    </w:p>
    <w:p w:rsidR="005E7E95" w:rsidRDefault="005E7E95">
      <w:pPr>
        <w:autoSpaceDE w:val="0"/>
        <w:autoSpaceDN w:val="0"/>
        <w:adjustRightInd w:val="0"/>
      </w:pPr>
      <w:r>
        <w:t>1. (изм. – ДВ, бр. 16 от 2015 г.) основните съображения за изготвяне на специализирания слой "Постоянно затревени площи";</w:t>
      </w:r>
    </w:p>
    <w:p w:rsidR="005E7E95" w:rsidRDefault="005E7E95">
      <w:pPr>
        <w:autoSpaceDE w:val="0"/>
        <w:autoSpaceDN w:val="0"/>
        <w:adjustRightInd w:val="0"/>
      </w:pPr>
      <w:r>
        <w:t>2. възможността заинтересованите лица да се запознаят с изготвения специализиран слой в общинските служби по земеделие и в областните дирекции "Държавен фонд "Земеделие" по местонахождение на площите и да подадат предложения и възражения за включване или невключване на определени физически блокове или части от тях в него.</w:t>
      </w:r>
    </w:p>
    <w:p w:rsidR="005E7E95" w:rsidRDefault="005E7E95">
      <w:pPr>
        <w:autoSpaceDE w:val="0"/>
        <w:autoSpaceDN w:val="0"/>
        <w:adjustRightInd w:val="0"/>
      </w:pPr>
      <w:r>
        <w:t xml:space="preserve">(3) (Изм. – ДВ, бр. 16 от 2015 г.) В едномесечен срок от оповестяване на откриването на производството по ал. 1 земеделските стопани могат да се запознаят с включването в специализирания слой "Постоянно затревени площи" на имотите или частите от тях, които стопанисват. Запознаването по ал. 1 се извършва в общинската служба по земеделие по </w:t>
      </w:r>
      <w:r>
        <w:lastRenderedPageBreak/>
        <w:t>местонахождението на площите, като се използва интернет страницата на ДФЗ, чрез преглед на съответните физически блокове или части от тях върху ЦОФК и констатиране дали попадат в специализирания слой. Служителите от общинската служба по земеделие оказват съдействие на земеделските стопани при извършване на прегледа.</w:t>
      </w:r>
    </w:p>
    <w:p w:rsidR="005E7E95" w:rsidRDefault="005E7E95">
      <w:pPr>
        <w:autoSpaceDE w:val="0"/>
        <w:autoSpaceDN w:val="0"/>
        <w:adjustRightInd w:val="0"/>
      </w:pPr>
      <w:r>
        <w:t>(4) (Изм. – ДВ, бр. 16 от 2015 г., бр. 24 от 2018 г., в сила от 16.03.2018 г., бр. 62 от 2023 г., в сила от 21.07.2023 г.) В срока по ал. 3 земеделските стопани могат да подават предложения и възражения до министъра на земеделието и храните по одобрен образец – чрез автоматично генериране от интернет страницата на ДФЗ, за включване или невключване на определени имоти или части от тях в специализирания слой "Постоянно затревени площи". При подаване на предложения и възражения земеделските стопани сами или със съдействието на служител от общинската служба по земеделие посочват идентификаторите на имотите, които желаят да бъдат включени в предложението или възражението.</w:t>
      </w:r>
    </w:p>
    <w:p w:rsidR="005E7E95" w:rsidRDefault="005E7E95">
      <w:pPr>
        <w:autoSpaceDE w:val="0"/>
        <w:autoSpaceDN w:val="0"/>
        <w:adjustRightInd w:val="0"/>
      </w:pPr>
      <w:r>
        <w:t>(5) (Изм. – ДВ, бр. 16 от 2015 г., бр. 24 от 2018 г., в сила от 16.03.2018 г., бр. 62 от 2023 г., в сила от 21.07.2023 г.) След извършване на проверки на получените предложения и възражения и отстраняване на установените пропуски и грешки Министерството на земеделието и храните изготвя окончателен специализиран слой "Постоянно затревени площи", който се одобрява със заповед от министъра на земеделието и храните.</w:t>
      </w:r>
    </w:p>
    <w:p w:rsidR="005E7E95" w:rsidRDefault="005E7E95">
      <w:pPr>
        <w:autoSpaceDE w:val="0"/>
        <w:autoSpaceDN w:val="0"/>
        <w:adjustRightInd w:val="0"/>
        <w:spacing w:before="120"/>
        <w:ind w:firstLine="990"/>
      </w:pPr>
      <w:r>
        <w:t>Чл. 16ж. (Нов – ДВ, бр. 22 от 2014 г., в сила от 1.10.2014 г., изм., бр. 16 от 2015 г.) (1) (Доп. – ДВ, бр. 16 от 2015 г., изм., бр. 90 от 2015 г., в сила от 20.11.2015 г., бр. 24 от 2018 г., в сила от 16.03.2018 г., бр. 62 от 2023 г., в сила от 21.07.2023 г.) Специализираният слой "Постоянно затревени площи" се обновява ежегодно до 1 март чрез включване или изключване на площи въз основа на заповеди на министъра на земеделието и храните по чл. 33а, ал. 3 и чл. 33б, ал. 2 ЗПЗП.</w:t>
      </w:r>
    </w:p>
    <w:p w:rsidR="005E7E95" w:rsidRDefault="005E7E95">
      <w:pPr>
        <w:autoSpaceDE w:val="0"/>
        <w:autoSpaceDN w:val="0"/>
        <w:adjustRightInd w:val="0"/>
      </w:pPr>
      <w:r>
        <w:t>(2) (Доп. – ДВ, бр. 16 от 2015 г., изм., бр. 24 от 2018 г., в сила от 16.03.2018 г., бр. 62 от 2023 г., в сила от 21.07.2023 г.) След приключване на обновяването по ал. 1 Министерството на земеделието и храните предоставя актуализирания специализиран слой "Постоянно затревени площи" на ДФЗ – РА за извършване на административни проверки на подадените заявления за подпомагане съгласно чл. 37, ал. 2 от ЗПЗП.</w:t>
      </w:r>
    </w:p>
    <w:p w:rsidR="005E7E95" w:rsidRDefault="005E7E95">
      <w:pPr>
        <w:autoSpaceDE w:val="0"/>
        <w:autoSpaceDN w:val="0"/>
        <w:adjustRightInd w:val="0"/>
        <w:spacing w:before="120"/>
        <w:ind w:firstLine="990"/>
      </w:pPr>
      <w:r>
        <w:t xml:space="preserve">Чл. 16з. (Нов – ДВ, бр. 22 от 2014 г., в сила от 1.10.2014 г., изм., бр. 16 от 2015 г., бр. 90 от 2015 г., в сила от 20.11.2015 г.) (1) (Изм. – ДВ, бр. 24 от 2018 г., в сила от 16.03.2018 г., бр. 62 от 2023 г., в сила от 21.07.2023 г.) Собственик или ползвател на правно основание, който иска промяна на обхвата на специализирания слой "Постоянно затревени площи", подава в срок от 1 септември до 31 януари заявление до министъра на земеделието и храните за включване или изключване на конкретни имоти. В заявлението се посочват типът на искането, както и имотите, за които то се отнася, а в заявлението за изключване на имоти се посочва и основание по чл. 33б, ал. 2 ЗПЗП. </w:t>
      </w:r>
    </w:p>
    <w:p w:rsidR="005E7E95" w:rsidRDefault="005E7E95">
      <w:pPr>
        <w:autoSpaceDE w:val="0"/>
        <w:autoSpaceDN w:val="0"/>
        <w:adjustRightInd w:val="0"/>
      </w:pPr>
      <w:r>
        <w:t>(2) (Изм. – ДВ, бр. 24 от 2018 г., в сила от 16.03.2018 г., бр. 62 от 2023 г., в сила от 21.07.2023 г.) Министърът на земеделието и храните в срок до 1 март издава заповеди за одобрение или неодобрение на включването или изключването на конкретни имоти от специализирания слой "Постоянно затревени площи" по подадените заявления по ал. 1, както и заповед за одобряване на окончателния обхват на слоя за съответната година.</w:t>
      </w:r>
    </w:p>
    <w:p w:rsidR="005E7E95" w:rsidRDefault="005E7E95">
      <w:pPr>
        <w:autoSpaceDE w:val="0"/>
        <w:autoSpaceDN w:val="0"/>
        <w:adjustRightInd w:val="0"/>
      </w:pPr>
      <w:r>
        <w:t>(3) Включването на имоти в слой "Постоянно затревени площи" се одобрява, ако те отговарят на изискванията на чл. 16д.</w:t>
      </w:r>
    </w:p>
    <w:p w:rsidR="005E7E95" w:rsidRDefault="005E7E95">
      <w:pPr>
        <w:autoSpaceDE w:val="0"/>
        <w:autoSpaceDN w:val="0"/>
        <w:adjustRightInd w:val="0"/>
      </w:pPr>
      <w:r>
        <w:t>(4) Изключване на имоти от слой "Постоянно затревени площи" по чл. 33б, ал. 2, т. 1 ЗПЗП се одобрява, когато площите в стопанството, които ще бъдат преобразувани в постоянно затревена площ, са равни или по-големи по размер от постоянно затревените площи, за които се отнася искането, а също така попадат във физически блокове, включващи постоянно затревени площи.</w:t>
      </w:r>
    </w:p>
    <w:p w:rsidR="005E7E95" w:rsidRDefault="005E7E95">
      <w:pPr>
        <w:autoSpaceDE w:val="0"/>
        <w:autoSpaceDN w:val="0"/>
        <w:adjustRightInd w:val="0"/>
      </w:pPr>
      <w:r>
        <w:t>(5) Изключване на имоти от слой "Постоянно затревени площи" по чл. 33б, ал. 2, т. 2, 3, 4 и 5 ЗПЗП се одобрява, когато чрез приложен към искането документ и/или по служебен път се установи наличието на съответното обстоятелство, на което то се основава.</w:t>
      </w:r>
    </w:p>
    <w:p w:rsidR="005E7E95" w:rsidRDefault="005E7E95">
      <w:pPr>
        <w:autoSpaceDE w:val="0"/>
        <w:autoSpaceDN w:val="0"/>
        <w:adjustRightInd w:val="0"/>
      </w:pPr>
      <w:r>
        <w:lastRenderedPageBreak/>
        <w:t>(6) (Нова – ДВ, бр. 62 от 2023 г., в сила от 21.07.2023 г.) Обхватът на слой "Постоянно затревени площи" може да бъде променян при постъпване от компетентен орган по служебен път на данни за територии, изискващи промяна в границите.</w:t>
      </w:r>
    </w:p>
    <w:p w:rsidR="005E7E95" w:rsidRDefault="005E7E95">
      <w:pPr>
        <w:autoSpaceDE w:val="0"/>
        <w:autoSpaceDN w:val="0"/>
        <w:adjustRightInd w:val="0"/>
        <w:spacing w:before="120"/>
        <w:ind w:firstLine="990"/>
      </w:pPr>
      <w:r>
        <w:t>Чл. 16и. (Нов – ДВ, бр. 22 от 2014 г., в сила от 1.10.2014 г., изм., бр. 16 от 2015 г.) (1) (Доп. – ДВ, бр. 16 от 2015 г., изм., бр. 62 от 2023 г., в сила от 21.07.2023 г.) Държавен фонд "Земеделие" контролира по реда на чл. 70 от ЗПЗП спазването от земеделските стопани на забраната за преобразуване и разораване на постоянно затревени площи, включени в слой "Постоянно затревени площи".</w:t>
      </w:r>
    </w:p>
    <w:p w:rsidR="005E7E95" w:rsidRDefault="005E7E95">
      <w:pPr>
        <w:autoSpaceDE w:val="0"/>
        <w:autoSpaceDN w:val="0"/>
        <w:adjustRightInd w:val="0"/>
      </w:pPr>
      <w:r>
        <w:t xml:space="preserve">(2) (Отм. с Решение № 1155 на ВАС на РБ - ДВ, бр. 50 от 2015 г.). </w:t>
      </w:r>
    </w:p>
    <w:p w:rsidR="005E7E95" w:rsidRDefault="005E7E95">
      <w:pPr>
        <w:autoSpaceDE w:val="0"/>
        <w:autoSpaceDN w:val="0"/>
        <w:adjustRightInd w:val="0"/>
      </w:pPr>
      <w:r>
        <w:t>(3) (Изм. – ДВ, бр. 24 от 2018 г., в сила от 16.03.2018 г., бр. 62 от 2023 г., в сила от 21.07.2023 г.) Министърът на земеделието и храните може да възложи със заповед извършването на контрол по ал. 1 и на общинските служби по земеделие.</w:t>
      </w:r>
    </w:p>
    <w:p w:rsidR="005E7E95" w:rsidRDefault="005E7E95">
      <w:pPr>
        <w:autoSpaceDE w:val="0"/>
        <w:autoSpaceDN w:val="0"/>
        <w:adjustRightInd w:val="0"/>
        <w:spacing w:before="120"/>
        <w:ind w:firstLine="990"/>
      </w:pPr>
      <w:r>
        <w:t>Чл. 17. (Изм. - ДВ, бр. 37 от 2008 г., бр. 21 от 2012 г., отм., бр. 16 от 2015 г., нов, бр. 24 от 2018 г., в сила от 16.03.2018 г., отм., бр. 62 от 2023 г., в сила от 21.07.2023 г.).</w:t>
      </w:r>
    </w:p>
    <w:p w:rsidR="005E7E95" w:rsidRDefault="005E7E95">
      <w:pPr>
        <w:autoSpaceDE w:val="0"/>
        <w:autoSpaceDN w:val="0"/>
        <w:adjustRightInd w:val="0"/>
        <w:spacing w:before="120"/>
        <w:ind w:firstLine="990"/>
      </w:pPr>
      <w:r>
        <w:t>Чл. 18. (Отм. - ДВ, бр. 21 от 2012 г., нов, бр. 24 от 2018 г., в сила от 16.03.2018 г.) Цифровите географски и атрибутивни данни, структурирани в слоеве, се използват:</w:t>
      </w:r>
    </w:p>
    <w:p w:rsidR="005E7E95" w:rsidRDefault="005E7E95">
      <w:pPr>
        <w:autoSpaceDE w:val="0"/>
        <w:autoSpaceDN w:val="0"/>
        <w:adjustRightInd w:val="0"/>
      </w:pPr>
      <w:r>
        <w:t>1. (изм. – ДВ, бр. 62 от 2023 г., в сила от 21.07.2023 г.) от ДФЗ за извършване на кръстосани административни проверки съгласно чл. 70, ал. 2 от ЗПЗП на подадените през определена година на кандидатстване заявления за подпомагане;</w:t>
      </w:r>
    </w:p>
    <w:p w:rsidR="005E7E95" w:rsidRDefault="005E7E95">
      <w:pPr>
        <w:autoSpaceDE w:val="0"/>
        <w:autoSpaceDN w:val="0"/>
        <w:adjustRightInd w:val="0"/>
      </w:pPr>
      <w:r>
        <w:t>2. за улеснение на земеделските стопани при заявяване на земеделските парцели за подпомагане през годината, следваща годината на обновяване на данните.</w:t>
      </w:r>
    </w:p>
    <w:p w:rsidR="005E7E95" w:rsidRDefault="005E7E95">
      <w:pPr>
        <w:autoSpaceDE w:val="0"/>
        <w:autoSpaceDN w:val="0"/>
        <w:adjustRightInd w:val="0"/>
        <w:spacing w:before="120"/>
        <w:ind w:firstLine="990"/>
      </w:pPr>
      <w:r>
        <w:t>Чл. 19. (1) (Изм. - ДВ, бр. 21 от 2012 г., доп., бр. 24 от 2018 г., в сила от 16.03.2018 г.) Системата за идентификация на земеделските парцели се изгражда, поддържа и актуализира и в съответствие със стандарти и препоръки на Обединения изследователски център (DG JRC) към Европейската комисия.</w:t>
      </w:r>
    </w:p>
    <w:p w:rsidR="005E7E95" w:rsidRDefault="005E7E95">
      <w:pPr>
        <w:autoSpaceDE w:val="0"/>
        <w:autoSpaceDN w:val="0"/>
        <w:adjustRightInd w:val="0"/>
      </w:pPr>
      <w:r>
        <w:t>(2) (Изм. – ДВ, бр. 24 от 2018 г., в сила от 16.03.2018 г., бр. 62 от 2023 г., в сила от 21.07.2023 г.) Министерството на земеделието и храните извършва хардуерното, софтуерното и комуникационното осигуряване на системата за идентификация на земеделските парцели.</w:t>
      </w:r>
    </w:p>
    <w:p w:rsidR="005E7E95" w:rsidRDefault="005E7E95">
      <w:pPr>
        <w:autoSpaceDE w:val="0"/>
        <w:autoSpaceDN w:val="0"/>
        <w:adjustRightInd w:val="0"/>
      </w:pPr>
      <w:r>
        <w:t>(3) (Нова – ДВ, бр. 24 от 2018 г., в сила от 16.03.2018 г., изм., бр. 62 от 2023 г., в сила от 21.07.2023 г.) При необходимост министърът на земеделието и храните или упълномощено от него лице утвърждава методически указания за реда, начина и условията за дешифриране на ЦОФК.</w:t>
      </w:r>
    </w:p>
    <w:p w:rsidR="005E7E95" w:rsidRDefault="005E7E95">
      <w:pPr>
        <w:autoSpaceDE w:val="0"/>
        <w:autoSpaceDN w:val="0"/>
        <w:adjustRightInd w:val="0"/>
        <w:spacing w:before="120"/>
        <w:ind w:firstLine="990"/>
      </w:pPr>
      <w:r>
        <w:t>Чл. 20. (1) (Изм. - ДВ, бр. 37 от 2008 г., бр. 62 от 2023 г., в сила от 21.07.2023 г.) Достъп до СИЗП за въвеждане и редактиране на данни имат длъжностни лица от:</w:t>
      </w:r>
    </w:p>
    <w:p w:rsidR="005E7E95" w:rsidRDefault="005E7E95">
      <w:pPr>
        <w:autoSpaceDE w:val="0"/>
        <w:autoSpaceDN w:val="0"/>
        <w:adjustRightInd w:val="0"/>
      </w:pPr>
      <w:r>
        <w:t>1. (изм. - ДВ, бр. 21 от 2012 г.) областните дирекции "Земеделие";</w:t>
      </w:r>
    </w:p>
    <w:p w:rsidR="005E7E95" w:rsidRDefault="005E7E95">
      <w:pPr>
        <w:autoSpaceDE w:val="0"/>
        <w:autoSpaceDN w:val="0"/>
        <w:adjustRightInd w:val="0"/>
      </w:pPr>
      <w:r>
        <w:t>2. (изм. - ДВ, бр. 21 от 2012 г.) общинските служби по земеделие;</w:t>
      </w:r>
    </w:p>
    <w:p w:rsidR="005E7E95" w:rsidRDefault="005E7E95">
      <w:pPr>
        <w:autoSpaceDE w:val="0"/>
        <w:autoSpaceDN w:val="0"/>
        <w:adjustRightInd w:val="0"/>
      </w:pPr>
      <w:r>
        <w:t>3. (Изм. – ДВ, бр. 24 от 2018 г., в сила от 16.03.2018 г., бр. 62 от 2023 г., в сила от 21.07.2023 г.) Министерството на земеделието и храните.</w:t>
      </w:r>
    </w:p>
    <w:p w:rsidR="005E7E95" w:rsidRDefault="005E7E95">
      <w:pPr>
        <w:autoSpaceDE w:val="0"/>
        <w:autoSpaceDN w:val="0"/>
        <w:adjustRightInd w:val="0"/>
      </w:pPr>
      <w:r>
        <w:t>(2) (Изм. – ДВ, бр. 62 от 2023 г., в сила от 21.07.2023 г.) Достъп до СИЗП за ползване на данни имат:</w:t>
      </w:r>
    </w:p>
    <w:p w:rsidR="005E7E95" w:rsidRDefault="005E7E95">
      <w:pPr>
        <w:autoSpaceDE w:val="0"/>
        <w:autoSpaceDN w:val="0"/>
        <w:adjustRightInd w:val="0"/>
      </w:pPr>
      <w:r>
        <w:t>1. (изм. – ДВ, бр. 24 от 2018 г., в сила от 16.03.2018 г., бр. 62 от 2023 г., в сила от 21.07.2023 г.) длъжностни лица от Министерството на земеделието и храните;</w:t>
      </w:r>
    </w:p>
    <w:p w:rsidR="005E7E95" w:rsidRDefault="005E7E95">
      <w:pPr>
        <w:autoSpaceDE w:val="0"/>
        <w:autoSpaceDN w:val="0"/>
        <w:adjustRightInd w:val="0"/>
      </w:pPr>
      <w:r>
        <w:t>2. (изм. - ДВ, бр. 21 от 2012 г.) длъжностни лица от ДФЗ;</w:t>
      </w:r>
    </w:p>
    <w:p w:rsidR="005E7E95" w:rsidRDefault="005E7E95">
      <w:pPr>
        <w:autoSpaceDE w:val="0"/>
        <w:autoSpaceDN w:val="0"/>
        <w:adjustRightInd w:val="0"/>
      </w:pPr>
      <w:r>
        <w:t>3. (изм. – ДВ, бр. 24 от 2018 г., в сила от 16.03.2018 г., бр. 62 от 2023 г., в сила от 21.07.2023 г.) други лица, определени със заповед на министъра на земеделието и храните.</w:t>
      </w:r>
    </w:p>
    <w:p w:rsidR="005E7E95" w:rsidRDefault="005E7E95">
      <w:pPr>
        <w:autoSpaceDE w:val="0"/>
        <w:autoSpaceDN w:val="0"/>
        <w:adjustRightInd w:val="0"/>
      </w:pPr>
      <w:r>
        <w:t>(3) (Отм. – ДВ, бр. 24 от 2018 г., в сила от 16.03.2018 г.).</w:t>
      </w:r>
    </w:p>
    <w:p w:rsidR="005E7E95" w:rsidRDefault="005E7E95">
      <w:pPr>
        <w:pStyle w:val="Heading3"/>
        <w:spacing w:after="321"/>
        <w:jc w:val="center"/>
        <w:rPr>
          <w:b/>
          <w:sz w:val="36"/>
        </w:rPr>
      </w:pPr>
      <w:r>
        <w:rPr>
          <w:b/>
          <w:sz w:val="36"/>
        </w:rPr>
        <w:t>Глава четвърта</w:t>
      </w:r>
      <w:r>
        <w:rPr>
          <w:b/>
          <w:sz w:val="36"/>
        </w:rPr>
        <w:br/>
        <w:t>УСЛОВИЯ И РЕД ЗА СЪЗДАВАНЕ, ПОДДЪРЖАНЕ, ДОСТЪП И ПОЛЗВАНЕ НА СИСТЕМАТА</w:t>
      </w:r>
      <w:r>
        <w:rPr>
          <w:b/>
          <w:sz w:val="36"/>
        </w:rPr>
        <w:br/>
      </w:r>
      <w:r>
        <w:rPr>
          <w:b/>
          <w:sz w:val="36"/>
        </w:rPr>
        <w:lastRenderedPageBreak/>
        <w:t>ЗА ИДЕНТИФИКАЦИЯ И РЕГИСТРАЦИЯ НА ЖИВОТНИТЕ</w:t>
      </w:r>
    </w:p>
    <w:p w:rsidR="005E7E95" w:rsidRDefault="005E7E95">
      <w:pPr>
        <w:autoSpaceDE w:val="0"/>
        <w:autoSpaceDN w:val="0"/>
        <w:adjustRightInd w:val="0"/>
        <w:spacing w:before="120"/>
        <w:ind w:firstLine="990"/>
      </w:pPr>
      <w:r>
        <w:t>Чл. 21. Системата за идентификация и регистрация на животните включва:</w:t>
      </w:r>
    </w:p>
    <w:p w:rsidR="005E7E95" w:rsidRDefault="005E7E95">
      <w:pPr>
        <w:autoSpaceDE w:val="0"/>
        <w:autoSpaceDN w:val="0"/>
        <w:adjustRightInd w:val="0"/>
      </w:pPr>
      <w:r>
        <w:t>1. (изм. – ДВ, бр. 16 от 2015 г., доп., бр. 62 от 2023 г., в сила от 21.07.2023 г.) идентификация на земеделския стопанин, който отглежда животните, и регистрационния номер на животновъдния обект, в който се отглеждат животните, данни за местоположението на животновъдния обект;</w:t>
      </w:r>
    </w:p>
    <w:p w:rsidR="005E7E95" w:rsidRDefault="005E7E95">
      <w:pPr>
        <w:autoSpaceDE w:val="0"/>
        <w:autoSpaceDN w:val="0"/>
        <w:adjustRightInd w:val="0"/>
      </w:pPr>
      <w:r>
        <w:t>2. броя на животните от всеки вид, тяхната порода и възраст;</w:t>
      </w:r>
    </w:p>
    <w:p w:rsidR="005E7E95" w:rsidRDefault="005E7E95">
      <w:pPr>
        <w:autoSpaceDE w:val="0"/>
        <w:autoSpaceDN w:val="0"/>
        <w:adjustRightInd w:val="0"/>
      </w:pPr>
      <w:r>
        <w:t>3. идентификационните номера на животните по видове;</w:t>
      </w:r>
    </w:p>
    <w:p w:rsidR="005E7E95" w:rsidRDefault="005E7E95">
      <w:pPr>
        <w:autoSpaceDE w:val="0"/>
        <w:autoSpaceDN w:val="0"/>
        <w:adjustRightInd w:val="0"/>
      </w:pPr>
      <w:r>
        <w:t>4. местонахождението и придвижването на животните;</w:t>
      </w:r>
    </w:p>
    <w:p w:rsidR="005E7E95" w:rsidRDefault="005E7E95">
      <w:pPr>
        <w:autoSpaceDE w:val="0"/>
        <w:autoSpaceDN w:val="0"/>
        <w:adjustRightInd w:val="0"/>
      </w:pPr>
      <w:r>
        <w:t>5. (изм. – ДВ, бр. 16 от 2015 г.) здравния статус на животните и извършените ветеринарномедицински мероприятия.</w:t>
      </w:r>
    </w:p>
    <w:p w:rsidR="005E7E95" w:rsidRDefault="005E7E95">
      <w:pPr>
        <w:autoSpaceDE w:val="0"/>
        <w:autoSpaceDN w:val="0"/>
        <w:adjustRightInd w:val="0"/>
        <w:spacing w:before="120"/>
        <w:ind w:firstLine="990"/>
      </w:pPr>
      <w:r>
        <w:t>Чл. 22. (1) (Изм. – ДВ, бр. 16 от 2015 г.) Системата за идентификация и регистрация на животните се създава и поддържа при условията и по реда на Наредба № 6 от 2013 г. за изискванията към средствата за официална идентификация на животните и използването им, условията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(ДВ, бр. 90 от 2013 г.) въз основа на:</w:t>
      </w:r>
    </w:p>
    <w:p w:rsidR="005E7E95" w:rsidRDefault="005E7E95">
      <w:pPr>
        <w:autoSpaceDE w:val="0"/>
        <w:autoSpaceDN w:val="0"/>
        <w:adjustRightInd w:val="0"/>
      </w:pPr>
      <w:r>
        <w:t>1. индивидуални средства за идентификация на животните;</w:t>
      </w:r>
    </w:p>
    <w:p w:rsidR="005E7E95" w:rsidRDefault="005E7E95">
      <w:pPr>
        <w:autoSpaceDE w:val="0"/>
        <w:autoSpaceDN w:val="0"/>
        <w:adjustRightInd w:val="0"/>
      </w:pPr>
      <w:r>
        <w:t>2. (доп. – ДВ, бр. 16 от 2015 г.) индивидуални паспорти за идентифициране на едрите преживни и еднокопитни животни;</w:t>
      </w:r>
    </w:p>
    <w:p w:rsidR="005E7E95" w:rsidRDefault="005E7E95">
      <w:pPr>
        <w:autoSpaceDE w:val="0"/>
        <w:autoSpaceDN w:val="0"/>
        <w:adjustRightInd w:val="0"/>
      </w:pPr>
      <w:r>
        <w:t>3. актуален регистър за всеки животновъден обект;</w:t>
      </w:r>
    </w:p>
    <w:p w:rsidR="005E7E95" w:rsidRDefault="005E7E95">
      <w:pPr>
        <w:autoSpaceDE w:val="0"/>
        <w:autoSpaceDN w:val="0"/>
        <w:adjustRightInd w:val="0"/>
      </w:pPr>
      <w:r>
        <w:t>4. компютъризирана информационна система (електронна база данни);</w:t>
      </w:r>
    </w:p>
    <w:p w:rsidR="005E7E95" w:rsidRDefault="005E7E95">
      <w:pPr>
        <w:autoSpaceDE w:val="0"/>
        <w:autoSpaceDN w:val="0"/>
        <w:adjustRightInd w:val="0"/>
      </w:pPr>
      <w:r>
        <w:t>5. документи за придвижване на животните.</w:t>
      </w:r>
    </w:p>
    <w:p w:rsidR="005E7E95" w:rsidRDefault="005E7E95">
      <w:pPr>
        <w:autoSpaceDE w:val="0"/>
        <w:autoSpaceDN w:val="0"/>
        <w:adjustRightInd w:val="0"/>
      </w:pPr>
      <w:r>
        <w:t>(2) (Изм. - ДВ, бр. 21 от 2012 г., бр. 16 от 2015 г.) Българската агенция по безопасност на храните поддържа компютъризираната информационна система по ал. 1, т. 4, като въвежда данни за идентифицираните животни, техните собственици и регистрираните животновъдни обекти. Данните се съхраняват в централен сървър, намиращ се в централното управление на БАБХ.</w:t>
      </w:r>
    </w:p>
    <w:p w:rsidR="005E7E95" w:rsidRDefault="005E7E95">
      <w:pPr>
        <w:autoSpaceDE w:val="0"/>
        <w:autoSpaceDN w:val="0"/>
        <w:adjustRightInd w:val="0"/>
      </w:pPr>
      <w:r>
        <w:t>(3) (Изм. - ДВ, бр. 21 от 2012 г., бр. 16 от 2015 г.) Българската агенция по безопасност на храните осигурява защита на данните в информационната система по ал. 1, т. 4 срещу неправомерно ползване и изменение.</w:t>
      </w:r>
    </w:p>
    <w:p w:rsidR="005E7E95" w:rsidRDefault="005E7E95">
      <w:pPr>
        <w:autoSpaceDE w:val="0"/>
        <w:autoSpaceDN w:val="0"/>
        <w:adjustRightInd w:val="0"/>
        <w:spacing w:before="120"/>
        <w:ind w:firstLine="990"/>
      </w:pPr>
      <w:r>
        <w:t>Чл. 23. (1) (Изм. - ДВ, бр. 21 от 2012 г., бр. 16 от 2015 г., бр. 62 от 2023 г., в сила от 21.07.2023 г.) Българската агенция по безопасност на храните осигурява непрекъснат достъп по електронен път до базата данни по чл. 22, ал. 1, т. 4 на ДФЗ и при поискване безвъзмездно и своевременно й предоставя копия на документите, свързани със системата.</w:t>
      </w:r>
    </w:p>
    <w:p w:rsidR="005E7E95" w:rsidRDefault="005E7E95">
      <w:pPr>
        <w:autoSpaceDE w:val="0"/>
        <w:autoSpaceDN w:val="0"/>
        <w:adjustRightInd w:val="0"/>
      </w:pPr>
      <w:r>
        <w:t>(2) (Изм. – ДВ, бр. 62 от 2023 г., в сила от 21.07.2023 г.) Държавен фонд "Земеделие" осигурява трансфера на данните между системата за идентификация на животните и регистрация на животновъдните обекти и интегрираната информационна система.</w:t>
      </w:r>
    </w:p>
    <w:p w:rsidR="005E7E95" w:rsidRDefault="005E7E95">
      <w:pPr>
        <w:autoSpaceDE w:val="0"/>
        <w:autoSpaceDN w:val="0"/>
        <w:adjustRightInd w:val="0"/>
      </w:pPr>
      <w:r>
        <w:t>(3) (Доп. – ДВ, бр. 16 от 2015 г., изм., бр. 62 от 2023 г., в сила от 21.07.2023 г.) Държавен фонд "Земеделие" осигурява защита на данните по ал. 2 съгласно чл. 36 от ЗПЗП.</w:t>
      </w:r>
    </w:p>
    <w:p w:rsidR="005E7E95" w:rsidRDefault="005E7E95">
      <w:pPr>
        <w:pStyle w:val="Heading3"/>
        <w:spacing w:after="321"/>
        <w:jc w:val="center"/>
        <w:rPr>
          <w:b/>
          <w:sz w:val="36"/>
        </w:rPr>
      </w:pPr>
      <w:r>
        <w:rPr>
          <w:b/>
          <w:sz w:val="36"/>
        </w:rPr>
        <w:t>Глава пета</w:t>
      </w:r>
      <w:r>
        <w:rPr>
          <w:b/>
          <w:sz w:val="36"/>
        </w:rPr>
        <w:br/>
        <w:t>УСЛОВИЯ И РЕД ЗА СЪЗДАВАНЕ, ПОДДЪРЖАНЕ, ДОСТЪП И ПОЛЗВАНЕ НА</w:t>
      </w:r>
      <w:r>
        <w:rPr>
          <w:b/>
          <w:sz w:val="36"/>
        </w:rPr>
        <w:br/>
        <w:t xml:space="preserve">ИНТЕГРИРАНАТА СИСТЕМА ЗА КОНТРОЛ И </w:t>
      </w:r>
      <w:r>
        <w:rPr>
          <w:b/>
          <w:sz w:val="36"/>
        </w:rPr>
        <w:lastRenderedPageBreak/>
        <w:t>САНКЦИИ</w:t>
      </w:r>
      <w:r>
        <w:rPr>
          <w:b/>
          <w:sz w:val="36"/>
        </w:rPr>
        <w:br/>
        <w:t>(Загл. доп. – ДВ, бр. 62 от 2023 г., в сила от 21.07.2023 г.)</w:t>
      </w:r>
    </w:p>
    <w:p w:rsidR="005E7E95" w:rsidRDefault="005E7E95">
      <w:pPr>
        <w:autoSpaceDE w:val="0"/>
        <w:autoSpaceDN w:val="0"/>
        <w:adjustRightInd w:val="0"/>
        <w:spacing w:before="120"/>
        <w:ind w:firstLine="990"/>
      </w:pPr>
      <w:r>
        <w:t>Чл. 24. (1) Интегрираната система за контрол включва административни проверки на подадените заявления за подпомагане и проверки на място.</w:t>
      </w:r>
    </w:p>
    <w:p w:rsidR="005E7E95" w:rsidRDefault="005E7E95">
      <w:pPr>
        <w:autoSpaceDE w:val="0"/>
        <w:autoSpaceDN w:val="0"/>
        <w:adjustRightInd w:val="0"/>
      </w:pPr>
      <w:r>
        <w:t>(2) (Изм. – ДВ, бр. 16 от 2015 г., бр. 62 от 2023 г., в сила от 21.07.2023 г.) Държавен фонд "Земеделие" извършва административни проверки на подадените заявления и искания, като съпоставя включените в тях данни с данните от системата за регистрация на кандидатите, на заявленията за подпомагане и на исканията за плащане, системата за идентификация на земеделските парцели, системата за идентификация и регистрация на животните, системата за мониторинг на площта и системата за геопространствени заявления и за заявления въз основа на броя на животните.</w:t>
      </w:r>
    </w:p>
    <w:p w:rsidR="005E7E95" w:rsidRDefault="005E7E95">
      <w:pPr>
        <w:autoSpaceDE w:val="0"/>
        <w:autoSpaceDN w:val="0"/>
        <w:adjustRightInd w:val="0"/>
      </w:pPr>
      <w:r>
        <w:t>(3) Административните проверки на подадените заявления включват:</w:t>
      </w:r>
    </w:p>
    <w:p w:rsidR="005E7E95" w:rsidRDefault="005E7E95">
      <w:pPr>
        <w:autoSpaceDE w:val="0"/>
        <w:autoSpaceDN w:val="0"/>
        <w:adjustRightInd w:val="0"/>
      </w:pPr>
      <w:r>
        <w:t>1. проверки за допустимост на кандидата;</w:t>
      </w:r>
    </w:p>
    <w:p w:rsidR="005E7E95" w:rsidRDefault="005E7E95">
      <w:pPr>
        <w:autoSpaceDE w:val="0"/>
        <w:autoSpaceDN w:val="0"/>
        <w:adjustRightInd w:val="0"/>
      </w:pPr>
      <w:r>
        <w:t>2. проверки за допустимост на земеделските площи;</w:t>
      </w:r>
    </w:p>
    <w:p w:rsidR="005E7E95" w:rsidRDefault="005E7E95">
      <w:pPr>
        <w:autoSpaceDE w:val="0"/>
        <w:autoSpaceDN w:val="0"/>
        <w:adjustRightInd w:val="0"/>
      </w:pPr>
      <w:r>
        <w:t>3. кръстосани проверки между данните в заявлението и отделните регистри;</w:t>
      </w:r>
    </w:p>
    <w:p w:rsidR="005E7E95" w:rsidRDefault="005E7E95">
      <w:pPr>
        <w:autoSpaceDE w:val="0"/>
        <w:autoSpaceDN w:val="0"/>
        <w:adjustRightInd w:val="0"/>
      </w:pPr>
      <w:r>
        <w:t>4. (доп. – ДВ, бр. 62 от 2023 г., в сила от 21.07.2023 г.) кръстосани проверки между данните в отделните заявления за подпомагане и плащане по всички мерки и интервенции;</w:t>
      </w:r>
    </w:p>
    <w:p w:rsidR="005E7E95" w:rsidRDefault="005E7E95">
      <w:pPr>
        <w:autoSpaceDE w:val="0"/>
        <w:autoSpaceDN w:val="0"/>
        <w:adjustRightInd w:val="0"/>
      </w:pPr>
      <w:r>
        <w:t>5. (нова – ДВ, бр. 62 от 2023 г., в сила от 21.07.2023 г.) проверка за спазването на критерии за допустимост, ангажименти и други задължения по съответната мярка и интервенция и на условията, при които се предоставя подпомагане, включително на ниво бенефициент.</w:t>
      </w:r>
    </w:p>
    <w:p w:rsidR="005E7E95" w:rsidRDefault="005E7E95">
      <w:pPr>
        <w:autoSpaceDE w:val="0"/>
        <w:autoSpaceDN w:val="0"/>
        <w:adjustRightInd w:val="0"/>
        <w:spacing w:before="120"/>
        <w:ind w:firstLine="990"/>
      </w:pPr>
      <w:r>
        <w:t>Чл. 25. (Доп. – ДВ, бр. 16 от 2015 г., изм., бр. 62 от 2023 г., в сила от 21.07.2023 г.) Държавен фонд "Земеделие" въвежда резултатите от проверките на място в интегрираната информационна система.</w:t>
      </w:r>
    </w:p>
    <w:p w:rsidR="005E7E95" w:rsidRDefault="005E7E95">
      <w:pPr>
        <w:autoSpaceDE w:val="0"/>
        <w:autoSpaceDN w:val="0"/>
        <w:adjustRightInd w:val="0"/>
        <w:spacing w:before="120"/>
        <w:ind w:firstLine="990"/>
      </w:pPr>
      <w:r>
        <w:t xml:space="preserve">Чл. 26. (Доп. - ДВ, бр. 18 от 2011 г., бр. 16 от 2015 г., изм., бр. 24 от 2018 г., в сила от 16.03.2018 г., бр. 62 от 2023 г., в сила от 21.07.2023 г.) Достъп до данните в интегрираната система за администриране и контрол имат: </w:t>
      </w:r>
    </w:p>
    <w:p w:rsidR="005E7E95" w:rsidRDefault="005E7E95">
      <w:pPr>
        <w:autoSpaceDE w:val="0"/>
        <w:autoSpaceDN w:val="0"/>
        <w:adjustRightInd w:val="0"/>
      </w:pPr>
      <w:r>
        <w:t>1. служителите на ДФЗ;</w:t>
      </w:r>
    </w:p>
    <w:p w:rsidR="005E7E95" w:rsidRDefault="005E7E95">
      <w:pPr>
        <w:autoSpaceDE w:val="0"/>
        <w:autoSpaceDN w:val="0"/>
        <w:adjustRightInd w:val="0"/>
      </w:pPr>
      <w:r>
        <w:t>2. служители на Министерството на земеделието и храните;</w:t>
      </w:r>
    </w:p>
    <w:p w:rsidR="005E7E95" w:rsidRDefault="005E7E95">
      <w:pPr>
        <w:autoSpaceDE w:val="0"/>
        <w:autoSpaceDN w:val="0"/>
        <w:adjustRightInd w:val="0"/>
      </w:pPr>
      <w:r>
        <w:t>3. представители на Сметната палата на Република България, специализираното звено за контрол по чл. 2в, ал. 1 от ЗПЗП, сертифициращият орган по чл. 28б, ал. 1 от ЗПЗП и представители на Европейската комисия и Европейската сметна палата;</w:t>
      </w:r>
    </w:p>
    <w:p w:rsidR="005E7E95" w:rsidRDefault="005E7E95">
      <w:pPr>
        <w:autoSpaceDE w:val="0"/>
        <w:autoSpaceDN w:val="0"/>
        <w:adjustRightInd w:val="0"/>
      </w:pPr>
      <w:r>
        <w:t>4. други лица, определени със закон или със заповед на изпълнителния директор на ДФЗ или на министъра на земеделието.</w:t>
      </w:r>
    </w:p>
    <w:p w:rsidR="005E7E95" w:rsidRDefault="005E7E95">
      <w:pPr>
        <w:autoSpaceDE w:val="0"/>
        <w:autoSpaceDN w:val="0"/>
        <w:adjustRightInd w:val="0"/>
        <w:spacing w:before="120"/>
        <w:ind w:firstLine="990"/>
      </w:pPr>
      <w:r>
        <w:t>Чл. 27. (Доп. – ДВ, бр. 62 от 2023 г., в сила от 21.07.2023 г.) Данните от интегрираната система за контрол и санкции се ползват:</w:t>
      </w:r>
    </w:p>
    <w:p w:rsidR="005E7E95" w:rsidRDefault="005E7E95">
      <w:pPr>
        <w:autoSpaceDE w:val="0"/>
        <w:autoSpaceDN w:val="0"/>
        <w:adjustRightInd w:val="0"/>
      </w:pPr>
      <w:r>
        <w:t>1. (доп. – ДВ, бр. 62 от 2023 г., в сила от 21.07.2023 г.) при извършване на контрол на кандидатите и подадените заявления за подпомагане и искания за плащане;</w:t>
      </w:r>
    </w:p>
    <w:p w:rsidR="005E7E95" w:rsidRDefault="005E7E95">
      <w:pPr>
        <w:autoSpaceDE w:val="0"/>
        <w:autoSpaceDN w:val="0"/>
        <w:adjustRightInd w:val="0"/>
      </w:pPr>
      <w:r>
        <w:t>2. при изчисляване на финансовите помощи за кандидатите;</w:t>
      </w:r>
    </w:p>
    <w:p w:rsidR="005E7E95" w:rsidRDefault="005E7E95">
      <w:pPr>
        <w:autoSpaceDE w:val="0"/>
        <w:autoSpaceDN w:val="0"/>
        <w:adjustRightInd w:val="0"/>
      </w:pPr>
      <w:r>
        <w:t>3. при осчетоводяване на плащанията;</w:t>
      </w:r>
    </w:p>
    <w:p w:rsidR="005E7E95" w:rsidRDefault="005E7E95">
      <w:pPr>
        <w:autoSpaceDE w:val="0"/>
        <w:autoSpaceDN w:val="0"/>
        <w:adjustRightInd w:val="0"/>
      </w:pPr>
      <w:r>
        <w:t>4. за изготвяне на справки и отчети;</w:t>
      </w:r>
    </w:p>
    <w:p w:rsidR="005E7E95" w:rsidRDefault="005E7E95">
      <w:pPr>
        <w:autoSpaceDE w:val="0"/>
        <w:autoSpaceDN w:val="0"/>
        <w:adjustRightInd w:val="0"/>
      </w:pPr>
      <w:r>
        <w:t>5. (нова – ДВ, бр. 62 от 2023 г., в сила от 21.07.2023 г.) за наблюдаване и докладване на данни по чл. 134 от Регламент (ЕС) 2021/2115;</w:t>
      </w:r>
    </w:p>
    <w:p w:rsidR="005E7E95" w:rsidRDefault="005E7E95">
      <w:pPr>
        <w:autoSpaceDE w:val="0"/>
        <w:autoSpaceDN w:val="0"/>
        <w:adjustRightInd w:val="0"/>
      </w:pPr>
      <w:r>
        <w:t>6. (нова – ДВ, бр. 62 от 2023 г., в сила от 21.07.2023 г.) при контрола на изискванията на предварителните условия по чл. 55 от ЗПЗП;</w:t>
      </w:r>
    </w:p>
    <w:p w:rsidR="005E7E95" w:rsidRDefault="005E7E95">
      <w:pPr>
        <w:autoSpaceDE w:val="0"/>
        <w:autoSpaceDN w:val="0"/>
        <w:adjustRightInd w:val="0"/>
      </w:pPr>
      <w:r>
        <w:t>7. (нова – ДВ, бр. 62 от 2023 г., в сила от 21.07.2023 г.) при контрола за спазването на всички критерии за допустимост, ангажименти и други задължения по съответната мярка или интервенция и на условията, при които се предоставя подпомагане, включително на ниво бенефициент;</w:t>
      </w:r>
    </w:p>
    <w:p w:rsidR="005E7E95" w:rsidRDefault="005E7E95">
      <w:pPr>
        <w:autoSpaceDE w:val="0"/>
        <w:autoSpaceDN w:val="0"/>
        <w:adjustRightInd w:val="0"/>
      </w:pPr>
      <w:r>
        <w:lastRenderedPageBreak/>
        <w:t>8. (нова – ДВ, бр. 62 от 2023 г., в сила от 21.07.2023 г.) за изпълнение на други функции на ДФЗ.</w:t>
      </w:r>
    </w:p>
    <w:p w:rsidR="005E7E95" w:rsidRDefault="005E7E95">
      <w:pPr>
        <w:pStyle w:val="Heading3"/>
        <w:spacing w:after="321"/>
        <w:jc w:val="center"/>
        <w:rPr>
          <w:b/>
          <w:sz w:val="36"/>
        </w:rPr>
      </w:pPr>
      <w:r>
        <w:rPr>
          <w:b/>
          <w:sz w:val="36"/>
        </w:rPr>
        <w:t>Глава шеста</w:t>
      </w:r>
      <w:r>
        <w:rPr>
          <w:b/>
          <w:sz w:val="36"/>
        </w:rPr>
        <w:br/>
        <w:t>УСЛОВИЯ И РЕД ЗА СЪЗДАВАНЕ, ПОДДЪРЖАНЕ, ДОСТЪП И ПОЛЗВАНЕ НА</w:t>
      </w:r>
      <w:r>
        <w:rPr>
          <w:b/>
          <w:sz w:val="36"/>
        </w:rPr>
        <w:br/>
        <w:t>ИНТЕГРИРАНА ИНФОРМАЦИОННА СИСТЕМА</w:t>
      </w:r>
    </w:p>
    <w:p w:rsidR="005E7E95" w:rsidRDefault="005E7E95">
      <w:pPr>
        <w:autoSpaceDE w:val="0"/>
        <w:autoSpaceDN w:val="0"/>
        <w:adjustRightInd w:val="0"/>
        <w:spacing w:before="120"/>
        <w:ind w:firstLine="990"/>
      </w:pPr>
      <w:r>
        <w:t>Чл. 28. (1) (Изм. – ДВ, бр. 16 от 2015 г., бр. 62 от 2023 г., в сила от 21.07.2023 г.) Държавен фонд "Земеделие" създава интегрирана информационна система, като обединява данните от системите по чл. 1, регистрите и информацията по чл. 52, ал. 6 – 8 от ЗПЗП.</w:t>
      </w:r>
    </w:p>
    <w:p w:rsidR="005E7E95" w:rsidRDefault="005E7E95">
      <w:pPr>
        <w:autoSpaceDE w:val="0"/>
        <w:autoSpaceDN w:val="0"/>
        <w:adjustRightInd w:val="0"/>
      </w:pPr>
      <w:r>
        <w:t>(2) Интегрираната информационна система се създава и поддържа съгласно:</w:t>
      </w:r>
    </w:p>
    <w:p w:rsidR="005E7E95" w:rsidRDefault="005E7E95">
      <w:pPr>
        <w:autoSpaceDE w:val="0"/>
        <w:autoSpaceDN w:val="0"/>
        <w:adjustRightInd w:val="0"/>
      </w:pPr>
      <w:r>
        <w:t>1. (изм. – ДВ, бр. 62 от 2023 г., в сила от 21.07.2023 г.) информационна стратегия, одобрена от изпълнителния директор на ДФЗ;</w:t>
      </w:r>
    </w:p>
    <w:p w:rsidR="005E7E95" w:rsidRDefault="005E7E95">
      <w:pPr>
        <w:autoSpaceDE w:val="0"/>
        <w:autoSpaceDN w:val="0"/>
        <w:adjustRightInd w:val="0"/>
      </w:pPr>
      <w:r>
        <w:t>2. установени правила и процедури за информационни системи и бази данни в РА;</w:t>
      </w:r>
    </w:p>
    <w:p w:rsidR="005E7E95" w:rsidRDefault="005E7E95">
      <w:pPr>
        <w:autoSpaceDE w:val="0"/>
        <w:autoSpaceDN w:val="0"/>
        <w:adjustRightInd w:val="0"/>
      </w:pPr>
      <w:r>
        <w:t>3. международните стандарти за информационни системи;</w:t>
      </w:r>
    </w:p>
    <w:p w:rsidR="005E7E95" w:rsidRDefault="005E7E95">
      <w:pPr>
        <w:autoSpaceDE w:val="0"/>
        <w:autoSpaceDN w:val="0"/>
        <w:adjustRightInd w:val="0"/>
      </w:pPr>
      <w:r>
        <w:t>4. изискванията на законодателството на Европейския съюз;</w:t>
      </w:r>
    </w:p>
    <w:p w:rsidR="005E7E95" w:rsidRDefault="005E7E95">
      <w:pPr>
        <w:autoSpaceDE w:val="0"/>
        <w:autoSpaceDN w:val="0"/>
        <w:adjustRightInd w:val="0"/>
      </w:pPr>
      <w:r>
        <w:t>5. (нова - ДВ, бр. 21 от 2012 г.) изискванията на Закона за защита на личните данни, Закона за достъп до обществена информация и Закона за електронното управление.</w:t>
      </w:r>
    </w:p>
    <w:p w:rsidR="005E7E95" w:rsidRDefault="005E7E95">
      <w:pPr>
        <w:autoSpaceDE w:val="0"/>
        <w:autoSpaceDN w:val="0"/>
        <w:adjustRightInd w:val="0"/>
        <w:spacing w:before="120"/>
        <w:ind w:firstLine="990"/>
      </w:pPr>
      <w:r>
        <w:t>Чл. 29. (1) (Доп. - ДВ, бр. 18 от 2011 г., изм. и доп., бр. 16 от 2015 г., изм., бр. 24 от 2018 г., в сила от 16.03.2018 г., бр. 62 от 2023 г., в сила от 21.07.2023 г.) Достъп до интегрираната информационна система имат:</w:t>
      </w:r>
    </w:p>
    <w:p w:rsidR="005E7E95" w:rsidRDefault="005E7E95">
      <w:pPr>
        <w:autoSpaceDE w:val="0"/>
        <w:autoSpaceDN w:val="0"/>
        <w:adjustRightInd w:val="0"/>
      </w:pPr>
      <w:r>
        <w:t>1. служителите на ДФЗ;</w:t>
      </w:r>
    </w:p>
    <w:p w:rsidR="005E7E95" w:rsidRDefault="005E7E95">
      <w:pPr>
        <w:autoSpaceDE w:val="0"/>
        <w:autoSpaceDN w:val="0"/>
        <w:adjustRightInd w:val="0"/>
      </w:pPr>
      <w:r>
        <w:t>2. служители на Министерството на земеделието и храните;</w:t>
      </w:r>
    </w:p>
    <w:p w:rsidR="005E7E95" w:rsidRDefault="005E7E95">
      <w:pPr>
        <w:autoSpaceDE w:val="0"/>
        <w:autoSpaceDN w:val="0"/>
        <w:adjustRightInd w:val="0"/>
      </w:pPr>
      <w:r>
        <w:t>3. представители на Сметната палата на Република България, специализираното звено по чл. 2в, ал. 1 от ЗПЗП, сертифициращият орган по чл. 28б, ал. 1 от ЗПЗП и представители на Европейската комисия и Европейската сметна палата;</w:t>
      </w:r>
    </w:p>
    <w:p w:rsidR="005E7E95" w:rsidRDefault="005E7E95">
      <w:pPr>
        <w:autoSpaceDE w:val="0"/>
        <w:autoSpaceDN w:val="0"/>
        <w:adjustRightInd w:val="0"/>
      </w:pPr>
      <w:r>
        <w:t>4. лицата по чл. 36, ал. 4 от ЗПЗП и други лица, определени със закон или със заповед на изпълнителния директор на ДФЗ или на министъра на земеделието и храните.</w:t>
      </w:r>
    </w:p>
    <w:p w:rsidR="005E7E95" w:rsidRDefault="005E7E95">
      <w:pPr>
        <w:autoSpaceDE w:val="0"/>
        <w:autoSpaceDN w:val="0"/>
        <w:adjustRightInd w:val="0"/>
      </w:pPr>
      <w:r>
        <w:t>(2) Достъпът по ал. 1 се осигурява съгласно вътрешните правила за защита на данните в интегрираната информационна система.</w:t>
      </w:r>
    </w:p>
    <w:p w:rsidR="005E7E95" w:rsidRDefault="005E7E95">
      <w:pPr>
        <w:pStyle w:val="Heading3"/>
        <w:spacing w:after="321"/>
        <w:jc w:val="center"/>
        <w:rPr>
          <w:b/>
          <w:sz w:val="36"/>
        </w:rPr>
      </w:pPr>
      <w:r>
        <w:rPr>
          <w:b/>
          <w:sz w:val="36"/>
        </w:rPr>
        <w:t>Глава седма</w:t>
      </w:r>
      <w:r>
        <w:rPr>
          <w:b/>
          <w:sz w:val="36"/>
        </w:rPr>
        <w:br/>
        <w:t xml:space="preserve">(Нова – ДВ, бр. 11 от 2021 г., в сила от 9.02.2021 г.) </w:t>
      </w:r>
      <w:r>
        <w:rPr>
          <w:b/>
          <w:sz w:val="36"/>
        </w:rPr>
        <w:br/>
        <w:t>СИСТЕМА ЗА ЕЛЕКТРОННИ УСЛУГИ</w:t>
      </w:r>
    </w:p>
    <w:p w:rsidR="005E7E95" w:rsidRDefault="005E7E95">
      <w:pPr>
        <w:autoSpaceDE w:val="0"/>
        <w:autoSpaceDN w:val="0"/>
        <w:adjustRightInd w:val="0"/>
        <w:spacing w:before="120"/>
        <w:ind w:firstLine="990"/>
      </w:pPr>
      <w:r>
        <w:t>Чл. 30. (Нов – ДВ, бр. 11 от 2021 г., в сила от 9.02.2021 г., изм., бр. 62 от 2023 г., в сила от 21.07.2023 г.) (1) Системата за електронни услуги съдържа данни и възможност за:</w:t>
      </w:r>
    </w:p>
    <w:p w:rsidR="005E7E95" w:rsidRDefault="005E7E95">
      <w:pPr>
        <w:autoSpaceDE w:val="0"/>
        <w:autoSpaceDN w:val="0"/>
        <w:adjustRightInd w:val="0"/>
      </w:pPr>
      <w:r>
        <w:t>1. идентификация на лица, площи и животни;</w:t>
      </w:r>
    </w:p>
    <w:p w:rsidR="005E7E95" w:rsidRDefault="005E7E95">
      <w:pPr>
        <w:autoSpaceDE w:val="0"/>
        <w:autoSpaceDN w:val="0"/>
        <w:adjustRightInd w:val="0"/>
      </w:pPr>
      <w:r>
        <w:t>2. визуализация на геопространствени обекти;</w:t>
      </w:r>
    </w:p>
    <w:p w:rsidR="005E7E95" w:rsidRDefault="005E7E95">
      <w:pPr>
        <w:autoSpaceDE w:val="0"/>
        <w:autoSpaceDN w:val="0"/>
        <w:adjustRightInd w:val="0"/>
      </w:pPr>
      <w:r>
        <w:t>3. визуализация на оперативна информация по заявени схеми, мерки и интервенции за подпомагане;</w:t>
      </w:r>
    </w:p>
    <w:p w:rsidR="005E7E95" w:rsidRDefault="005E7E95">
      <w:pPr>
        <w:autoSpaceDE w:val="0"/>
        <w:autoSpaceDN w:val="0"/>
        <w:adjustRightInd w:val="0"/>
      </w:pPr>
      <w:r>
        <w:t>4. връчване на издадени индивидуални административни актове;</w:t>
      </w:r>
    </w:p>
    <w:p w:rsidR="005E7E95" w:rsidRDefault="005E7E95">
      <w:pPr>
        <w:autoSpaceDE w:val="0"/>
        <w:autoSpaceDN w:val="0"/>
        <w:adjustRightInd w:val="0"/>
      </w:pPr>
      <w:r>
        <w:t>5. генериране на общи и специфични електронни документи;</w:t>
      </w:r>
    </w:p>
    <w:p w:rsidR="005E7E95" w:rsidRDefault="005E7E95">
      <w:pPr>
        <w:autoSpaceDE w:val="0"/>
        <w:autoSpaceDN w:val="0"/>
        <w:adjustRightInd w:val="0"/>
      </w:pPr>
      <w:r>
        <w:t>6. подаване на заявления за подпомагане и искания за плащане по интервенциите, включени в Стратегическия план, съгласно чл. 52, ал. 3 от ЗПЗП;</w:t>
      </w:r>
    </w:p>
    <w:p w:rsidR="005E7E95" w:rsidRDefault="005E7E95">
      <w:pPr>
        <w:autoSpaceDE w:val="0"/>
        <w:autoSpaceDN w:val="0"/>
        <w:adjustRightInd w:val="0"/>
      </w:pPr>
      <w:r>
        <w:t xml:space="preserve">7. осъществяване на комуникация между органите по чл. 52, ал. 1 от ЗПЗП и кандидатите или бенефициентите по отношение на подпомагането. </w:t>
      </w:r>
    </w:p>
    <w:p w:rsidR="005E7E95" w:rsidRDefault="005E7E95">
      <w:pPr>
        <w:autoSpaceDE w:val="0"/>
        <w:autoSpaceDN w:val="0"/>
        <w:adjustRightInd w:val="0"/>
      </w:pPr>
      <w:r>
        <w:t>(2) Системата се използва за:</w:t>
      </w:r>
    </w:p>
    <w:p w:rsidR="005E7E95" w:rsidRDefault="005E7E95">
      <w:pPr>
        <w:autoSpaceDE w:val="0"/>
        <w:autoSpaceDN w:val="0"/>
        <w:adjustRightInd w:val="0"/>
      </w:pPr>
      <w:r>
        <w:lastRenderedPageBreak/>
        <w:t>1. визуализиране на публична информация, свързана със схемите, мерките и интервенциите за подпомагане, администрирани от Държавен фонд "Земеделие" и Управляващия орган на Стратегическия план за развитието на земеделието и селските райони на Република България за периода 2023 – 2027 г., наричан по-нататък Стратегическия план;</w:t>
      </w:r>
    </w:p>
    <w:p w:rsidR="005E7E95" w:rsidRDefault="005E7E95">
      <w:pPr>
        <w:autoSpaceDE w:val="0"/>
        <w:autoSpaceDN w:val="0"/>
        <w:adjustRightInd w:val="0"/>
      </w:pPr>
      <w:r>
        <w:t>2. визуализиране на индивидуална информация, електронно генериране и подаване на данни и документи, касаещи схеми, мерки и интервенции за подпомагане, администрирани от Държавен фонд "Земеделие" и Управляващия орган на Стратегическия план;</w:t>
      </w:r>
    </w:p>
    <w:p w:rsidR="005E7E95" w:rsidRDefault="005E7E95">
      <w:pPr>
        <w:autoSpaceDE w:val="0"/>
        <w:autoSpaceDN w:val="0"/>
        <w:adjustRightInd w:val="0"/>
      </w:pPr>
      <w:r>
        <w:t>3. осигуряване на интеграция с други регистри, поддържани от държавни или общински администрации, за получаване по служебен път на необходимата информация от съответния първичен регистратор на данни.</w:t>
      </w:r>
    </w:p>
    <w:p w:rsidR="005E7E95" w:rsidRDefault="005E7E95">
      <w:pPr>
        <w:autoSpaceDE w:val="0"/>
        <w:autoSpaceDN w:val="0"/>
        <w:adjustRightInd w:val="0"/>
        <w:spacing w:before="120"/>
        <w:ind w:firstLine="990"/>
      </w:pPr>
      <w:r>
        <w:t>Чл. 31. (Нов – ДВ, бр. 11 от 2021 г., в сила от 9.02.2021 г., изм., бр. 62 от 2023 г., в сила от 21.07.2023 г.) (1) Достъпът до системата е публичен и индивидуален.</w:t>
      </w:r>
    </w:p>
    <w:p w:rsidR="005E7E95" w:rsidRDefault="005E7E95">
      <w:pPr>
        <w:autoSpaceDE w:val="0"/>
        <w:autoSpaceDN w:val="0"/>
        <w:adjustRightInd w:val="0"/>
      </w:pPr>
      <w:r>
        <w:t>(2) Публичният достъп се осъществява без регистрация и дава възможност за извършване на действията по чл. 30, ал. 2, т. 1.</w:t>
      </w:r>
    </w:p>
    <w:p w:rsidR="005E7E95" w:rsidRDefault="005E7E95">
      <w:pPr>
        <w:autoSpaceDE w:val="0"/>
        <w:autoSpaceDN w:val="0"/>
        <w:adjustRightInd w:val="0"/>
      </w:pPr>
      <w:r>
        <w:t xml:space="preserve">(3) Индивидуалният достъп се осъществява след регистрация и създаване на индивидуален профил на потребител, като предоставя възможност за извършване на действията по чл. 30, ал. 2, т. 2 и 3. </w:t>
      </w:r>
    </w:p>
    <w:p w:rsidR="005E7E95" w:rsidRDefault="005E7E95">
      <w:pPr>
        <w:autoSpaceDE w:val="0"/>
        <w:autoSpaceDN w:val="0"/>
        <w:adjustRightInd w:val="0"/>
      </w:pPr>
      <w:r>
        <w:t>(4) Регистрацията по ал. 3 се потвърждава от потребителя, когато се извършва с неговия личен Квалифициран електронен подпис (КЕП) или от длъжностно лице в Областна дирекция на ДФЗ при лично посещение от потребителя при липса на КЕП.</w:t>
      </w:r>
    </w:p>
    <w:p w:rsidR="005E7E95" w:rsidRDefault="005E7E95">
      <w:pPr>
        <w:autoSpaceDE w:val="0"/>
        <w:autoSpaceDN w:val="0"/>
        <w:adjustRightInd w:val="0"/>
        <w:spacing w:before="120"/>
        <w:ind w:firstLine="990"/>
      </w:pPr>
      <w:r>
        <w:t>Чл. 32. (Нов – ДВ, бр. 11 от 2021 г., в сила от 9.02.2021 г., изм., бр. 62 от 2023 г., в сила от 21.07.2023 г.) (1) В СЕУ се записват и съхраняват в цифров вид данни за всяка операция по съответната интервенция от Стратегическия план, необходими за мониторинга, оценката и финансовото управление, включително данни за отделните участници в операциите, и когато е приложимо, подаването на заявлението за подпомагане и искането за плащане.</w:t>
      </w:r>
    </w:p>
    <w:p w:rsidR="005E7E95" w:rsidRDefault="005E7E95">
      <w:pPr>
        <w:autoSpaceDE w:val="0"/>
        <w:autoSpaceDN w:val="0"/>
        <w:adjustRightInd w:val="0"/>
      </w:pPr>
      <w:r>
        <w:t>(2) Структурата и съдържанието на информацията, въвеждана по ал. 1, трябва да отговарят на минималните изисквания на Регламент за изпълнение (ЕС) 2022/1475 на Комисията от 6 септември 2022 г. за определяне на подробни правила за прилагането на Регламент (ЕС)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(OB, L 232/8, 7 септември 2022 г.), на Стратегическия план, на ЗПЗП и на тази наредба.</w:t>
      </w:r>
    </w:p>
    <w:p w:rsidR="005E7E95" w:rsidRDefault="005E7E95">
      <w:pPr>
        <w:autoSpaceDE w:val="0"/>
        <w:autoSpaceDN w:val="0"/>
        <w:adjustRightInd w:val="0"/>
      </w:pPr>
      <w:r>
        <w:t>(3) Между ИСАК и Информационната система за управление и наблюдение на средствата от Европейските фондове при споделено управление (ИСУН) се създават услуги за електронен обмен на информация във връзка с подхода "Водено от общностите местно развитие". Обменът на информация между ИСАК и ИСУН се извършва съгласно споразумението по чл. 52, ал. 8 от ЗПЗП.</w:t>
      </w:r>
    </w:p>
    <w:p w:rsidR="005E7E95" w:rsidRDefault="005E7E95">
      <w:pPr>
        <w:autoSpaceDE w:val="0"/>
        <w:autoSpaceDN w:val="0"/>
        <w:adjustRightInd w:val="0"/>
      </w:pPr>
      <w:r>
        <w:t>(4) Държавен фонд "Земеделие" или Управляващият орган на Стратегическия план не изискват от кандидатите и бенефициентите да предоставят чрез СЕУ или по друг начин документи или копия на документи, информацията от които вече е въведена в ИСАК в структуриран вид.</w:t>
      </w:r>
    </w:p>
    <w:p w:rsidR="005E7E95" w:rsidRDefault="005E7E95">
      <w:pPr>
        <w:autoSpaceDE w:val="0"/>
        <w:autoSpaceDN w:val="0"/>
        <w:adjustRightInd w:val="0"/>
      </w:pPr>
      <w:r>
        <w:t>(5) Органите по ал. 4 се задължават да предоставят на кандидатите и на бенефициентите по Стратегическия план възможност за кандидатстване и отчитане на проекти по електронен път чрез СЕУ и да ги информират по подходящ, разбираем и достъпен начин за това.</w:t>
      </w:r>
    </w:p>
    <w:p w:rsidR="005E7E95" w:rsidRDefault="005E7E95">
      <w:pPr>
        <w:autoSpaceDE w:val="0"/>
        <w:autoSpaceDN w:val="0"/>
        <w:adjustRightInd w:val="0"/>
        <w:spacing w:before="120"/>
        <w:ind w:firstLine="990"/>
      </w:pPr>
      <w:r>
        <w:t xml:space="preserve">Чл. 33. (Нов – ДВ, бр. 62 от 2023 г., в сила от 21.07.2023 г.) (1) Държавен фонд "Земеделие" или Управляващият орган на Стратегическия план и бенефициентите са длъжни да събират, обработват и предоставят лични данни във и чрез СЕУ само във връзка с воденето на производствата посредством СЕУ и за осигуряването на записване и съхраняване на цифрови данни за всяка операция, необходими за мониторинга, оценката, финансовото управление, включително данни за отделните участници в операциите, когато е приложимо за съответната интервенция, включена в Стратегическия план. </w:t>
      </w:r>
    </w:p>
    <w:p w:rsidR="005E7E95" w:rsidRDefault="005E7E95">
      <w:pPr>
        <w:autoSpaceDE w:val="0"/>
        <w:autoSpaceDN w:val="0"/>
        <w:adjustRightInd w:val="0"/>
      </w:pPr>
      <w:r>
        <w:lastRenderedPageBreak/>
        <w:t>(2) Данните по ал. 1 могат да се ползват за статистически цели.</w:t>
      </w:r>
    </w:p>
    <w:p w:rsidR="005E7E95" w:rsidRDefault="005E7E95">
      <w:pPr>
        <w:autoSpaceDE w:val="0"/>
        <w:autoSpaceDN w:val="0"/>
        <w:adjustRightInd w:val="0"/>
      </w:pPr>
      <w:r>
        <w:t>(3) Събраните данни не могат да се използват за цели, различни от посочените в ал. 1, освен с изричното писмено съгласие на лицето, за което се отнасят, или ако това е разрешено със закон.</w:t>
      </w:r>
    </w:p>
    <w:p w:rsidR="005E7E95" w:rsidRDefault="005E7E95">
      <w:pPr>
        <w:autoSpaceDE w:val="0"/>
        <w:autoSpaceDN w:val="0"/>
        <w:adjustRightInd w:val="0"/>
        <w:spacing w:before="120"/>
        <w:ind w:firstLine="990"/>
      </w:pPr>
      <w:r>
        <w:t>Чл. 34. (Нов – ДВ, бр. 62 от 2023 г., в сила от 21.07.2023 г.) При използването на ИСАК всички потребители съобразяват действията си с актуалната към момента на извършване на действието политика за информационна сигурност, както и с процедурите и правилата за информационна сигурност на ИСАК.</w:t>
      </w:r>
    </w:p>
    <w:p w:rsidR="005E7E95" w:rsidRDefault="005E7E95">
      <w:pPr>
        <w:autoSpaceDE w:val="0"/>
        <w:autoSpaceDN w:val="0"/>
        <w:adjustRightInd w:val="0"/>
        <w:spacing w:before="120"/>
        <w:ind w:firstLine="990"/>
      </w:pPr>
      <w:r>
        <w:t>Чл. 35. (Нов – ДВ, бр. 62 от 2023 г., в сила от 21.07.2023 г.) Идентифицирането в системата на представителите на Държавен фонд "Земеделие", на служителите на Министерството на земеделието и храните, на Управляващия орган на Стратегическия план, на кандидатите и на бенефициентите се осъществява чрез потребителско име и парола и/или чрез квалифициран електронен подпис.</w:t>
      </w:r>
    </w:p>
    <w:p w:rsidR="005E7E95" w:rsidRDefault="005E7E95">
      <w:pPr>
        <w:autoSpaceDE w:val="0"/>
        <w:autoSpaceDN w:val="0"/>
        <w:adjustRightInd w:val="0"/>
        <w:spacing w:before="120"/>
        <w:ind w:firstLine="990"/>
      </w:pPr>
      <w:r>
        <w:t>Чл. 36. (Нов – ДВ, бр. 62 от 2023 г., в сила от 21.07.2023 г.) В системата се поддържа запис на извършените ключови потребителски действия с регистър на изпратените документи. Записът се поддържа, съхранява и извежда по начин, гарантиращ интегритета, авторството и времето на извършените действия и движението на документите в системата.</w:t>
      </w:r>
    </w:p>
    <w:p w:rsidR="005E7E95" w:rsidRDefault="005E7E95">
      <w:pPr>
        <w:autoSpaceDE w:val="0"/>
        <w:autoSpaceDN w:val="0"/>
        <w:adjustRightInd w:val="0"/>
        <w:spacing w:before="120"/>
        <w:ind w:firstLine="990"/>
      </w:pPr>
      <w:r>
        <w:t>Чл. 37. (Нов – ДВ, бр. 62 от 2023 г., в сила от 21.07.2023 г., изм., бр. 92 от 2024 г., в сила от 1.11.2024 г.) (1) Съобщаването на индивидуален административен акт, електронен документ, електронно изявление и/или комуникация, съгласно чл. 28 от ЗПЗП се извършва чрез съобщение в системата за електронни услуги (СЕУ).</w:t>
      </w:r>
    </w:p>
    <w:p w:rsidR="005E7E95" w:rsidRDefault="005E7E95">
      <w:pPr>
        <w:autoSpaceDE w:val="0"/>
        <w:autoSpaceDN w:val="0"/>
        <w:adjustRightInd w:val="0"/>
      </w:pPr>
      <w:r>
        <w:t>(2) Когато индивидуалният административен акт, с който се отказва изцяло или частично изплащането на безвъзмездна финансова помощ по интервенциите по чл. 52, ал. 1, т. 1 и 2 от ЗПЗП, не бъде изтеглен в срок до 6 месеца от публикуването му в СЕУ, актът се счита за връчен.</w:t>
      </w:r>
    </w:p>
    <w:p w:rsidR="005E7E95" w:rsidRDefault="005E7E95">
      <w:pPr>
        <w:autoSpaceDE w:val="0"/>
        <w:autoSpaceDN w:val="0"/>
        <w:adjustRightInd w:val="0"/>
      </w:pPr>
      <w:r>
        <w:t>(3) Когато индивидуален административен акт по чл. 73 от ЗПЗП, с който се възстановява недължимо платена финансова помощ не бъде изтеглен в срок до един месец от публикуването му в СЕУ, актът се счита за връчен.</w:t>
      </w:r>
    </w:p>
    <w:p w:rsidR="005E7E95" w:rsidRDefault="005E7E95">
      <w:pPr>
        <w:autoSpaceDE w:val="0"/>
        <w:autoSpaceDN w:val="0"/>
        <w:adjustRightInd w:val="0"/>
      </w:pPr>
      <w:r>
        <w:t>(4) Индивидуални административни актове, извън посочените в ал. 2 и 3, както и електронни документи, изявления и комуникация до кандидатите и бенефициентите за производствата пред Държавен фонд "Земеделие" или от Управляващия орган на Стратегическия план се считат за връчени със съобщаването им в системата по ал. 1.</w:t>
      </w:r>
    </w:p>
    <w:p w:rsidR="005E7E95" w:rsidRDefault="005E7E95">
      <w:pPr>
        <w:autoSpaceDE w:val="0"/>
        <w:autoSpaceDN w:val="0"/>
        <w:adjustRightInd w:val="0"/>
      </w:pPr>
      <w:r>
        <w:t>(5) Кандидатите и бенефициентите получават всички индивидуални административни актове, електронни документи, изявления и комуникация от Държавен фонд "Земеделие" или от Управляващия орган на Стратегическия план, свързани с производствата по чл. 52, ал. 1 от ЗПЗП, само чрез СЕУ в индивидуалния им профил.</w:t>
      </w:r>
    </w:p>
    <w:p w:rsidR="005E7E95" w:rsidRDefault="005E7E95">
      <w:pPr>
        <w:autoSpaceDE w:val="0"/>
        <w:autoSpaceDN w:val="0"/>
        <w:adjustRightInd w:val="0"/>
      </w:pPr>
      <w:r>
        <w:t>(6) Кандидатите и бенефициентите изпращат отговор, когато такъв се изисква, в срок до 15 дни. Сроковете за отговор започват да текат от деня, следващ връчването по ал. 4.</w:t>
      </w:r>
    </w:p>
    <w:p w:rsidR="005E7E95" w:rsidRDefault="005E7E95">
      <w:pPr>
        <w:autoSpaceDE w:val="0"/>
        <w:autoSpaceDN w:val="0"/>
        <w:adjustRightInd w:val="0"/>
      </w:pPr>
      <w:r>
        <w:t>(7) След изтичането на срока за отговор по ал. 6 кандидатите и бенефициентите нямат право да предоставят документи и информация. Предоставените документи и информация след изтичането на срока по ал. 6 или на такива, които не са изрично изискани, се считат за неполучени от органите по чл. 52, ал. 1 от ЗПЗП и не подлежат на разглеждане. Документи, които не са изпратени чрез СЕУ, не се разглеждат.</w:t>
      </w:r>
    </w:p>
    <w:p w:rsidR="005E7E95" w:rsidRDefault="005E7E95">
      <w:pPr>
        <w:autoSpaceDE w:val="0"/>
        <w:autoSpaceDN w:val="0"/>
        <w:adjustRightInd w:val="0"/>
      </w:pPr>
      <w:r>
        <w:t>(8) Съгласието на кандидатите или бенефициентите за приемане на индивидуални административни актове, електронни документи, изявления и комуникация и за съобщаване се приема за дадено с подаването на заявление за подпомагане или на искане за плащане в СЕУ.</w:t>
      </w:r>
    </w:p>
    <w:p w:rsidR="005E7E95" w:rsidRDefault="005E7E95">
      <w:pPr>
        <w:autoSpaceDE w:val="0"/>
        <w:autoSpaceDN w:val="0"/>
        <w:adjustRightInd w:val="0"/>
        <w:spacing w:before="120"/>
        <w:ind w:firstLine="990"/>
      </w:pPr>
      <w:r>
        <w:t xml:space="preserve">Чл. 38. (Нов – ДВ, бр. 62 от 2023 г., в сила от 21.07.2023 г.) Бенефициентът е длъжен да съобщи на Държавен фонд "Земеделие" или на Управляващия орган на </w:t>
      </w:r>
      <w:r>
        <w:lastRenderedPageBreak/>
        <w:t>Стратегическия план всички промени, свързани с представителната му власт и с адреса на електронната му поща, с която е направена регистрацията в Системата за електронни услуги.</w:t>
      </w:r>
    </w:p>
    <w:p w:rsidR="005E7E95" w:rsidRDefault="005E7E95">
      <w:pPr>
        <w:autoSpaceDE w:val="0"/>
        <w:autoSpaceDN w:val="0"/>
        <w:adjustRightInd w:val="0"/>
        <w:spacing w:before="120"/>
        <w:ind w:firstLine="990"/>
      </w:pPr>
      <w:r>
        <w:t>Чл. 39. (Нов – ДВ, бр. 62 от 2023 г., в сила от 21.07.2023 г.) (1) Проектите на документите по чл. 68, ал. 2 от ЗПЗП се публикуват в СЕУ.</w:t>
      </w:r>
    </w:p>
    <w:p w:rsidR="005E7E95" w:rsidRDefault="005E7E95">
      <w:pPr>
        <w:autoSpaceDE w:val="0"/>
        <w:autoSpaceDN w:val="0"/>
        <w:adjustRightInd w:val="0"/>
      </w:pPr>
      <w:r>
        <w:t>(2) Всички заинтересовани лица подават своите писмени възражения и предложения в срока по чл. 68, ал. 3 от ЗПЗП посредством СЕУ.</w:t>
      </w:r>
    </w:p>
    <w:p w:rsidR="005E7E95" w:rsidRDefault="005E7E95">
      <w:pPr>
        <w:autoSpaceDE w:val="0"/>
        <w:autoSpaceDN w:val="0"/>
        <w:adjustRightInd w:val="0"/>
        <w:spacing w:before="120"/>
        <w:ind w:firstLine="990"/>
      </w:pPr>
      <w:r>
        <w:t>Чл. 40. (Нов – ДВ, бр. 62 от 2023 г., в сила от 21.07.2023 г.) След тяхното утвърждаване по чл. 68, ал. 5 от ЗПЗП документите и измененията в тях се публикуват в СЕУ.</w:t>
      </w:r>
    </w:p>
    <w:p w:rsidR="005E7E95" w:rsidRDefault="005E7E95">
      <w:pPr>
        <w:autoSpaceDE w:val="0"/>
        <w:autoSpaceDN w:val="0"/>
        <w:adjustRightInd w:val="0"/>
        <w:spacing w:before="120"/>
        <w:ind w:firstLine="990"/>
      </w:pPr>
      <w:r>
        <w:t>Чл. 41. (Нов – ДВ, бр. 62 от 2023 г., в сила от 21.07.2023 г.) (1) Кандидат в процедура може да иска разяснения по чл. 68, ал. 4 от ЗПЗП посредством СЕУ.</w:t>
      </w:r>
    </w:p>
    <w:p w:rsidR="005E7E95" w:rsidRDefault="005E7E95">
      <w:pPr>
        <w:autoSpaceDE w:val="0"/>
        <w:autoSpaceDN w:val="0"/>
        <w:adjustRightInd w:val="0"/>
      </w:pPr>
      <w:r>
        <w:t>(2) Всички искани разяснения и отговорите по тях по чл. 68, ал. 4 от ЗПЗП се публикуват в СЕУ.</w:t>
      </w:r>
    </w:p>
    <w:p w:rsidR="005E7E95" w:rsidRDefault="005E7E95">
      <w:pPr>
        <w:pStyle w:val="Heading3"/>
        <w:spacing w:after="321"/>
        <w:jc w:val="center"/>
        <w:rPr>
          <w:b/>
          <w:sz w:val="36"/>
        </w:rPr>
      </w:pPr>
      <w:r>
        <w:rPr>
          <w:b/>
          <w:sz w:val="36"/>
        </w:rPr>
        <w:t>Глава осма</w:t>
      </w:r>
      <w:r>
        <w:rPr>
          <w:b/>
          <w:sz w:val="36"/>
        </w:rPr>
        <w:br/>
        <w:t xml:space="preserve">(Нова – ДВ, бр. 62 от 2023 г., в сила от 21.07.2023 г.) </w:t>
      </w:r>
      <w:r>
        <w:rPr>
          <w:b/>
          <w:sz w:val="36"/>
        </w:rPr>
        <w:br/>
        <w:t>СИСТЕМА ЗА МОНИТОРИНГ НА ПЛОЩТА</w:t>
      </w:r>
    </w:p>
    <w:p w:rsidR="005E7E95" w:rsidRDefault="005E7E95">
      <w:pPr>
        <w:autoSpaceDE w:val="0"/>
        <w:autoSpaceDN w:val="0"/>
        <w:adjustRightInd w:val="0"/>
        <w:spacing w:before="120"/>
        <w:ind w:firstLine="990"/>
      </w:pPr>
      <w:r>
        <w:t xml:space="preserve">Чл. 42. (Нов – ДВ, бр. 62 от 2023 г., в сила от 21.07.2023 г.) (1) Системата за мониторинг на площта се прилага на всички заявени за подпомагане парцели, по отношение на интервенции, основаващи се на площ, включващи условия за допустимост, които могат да бъдат обект на мониторинг с помощта на данните от спътниците Сентинел по програмата "Коперник". </w:t>
      </w:r>
    </w:p>
    <w:p w:rsidR="005E7E95" w:rsidRDefault="005E7E95">
      <w:pPr>
        <w:autoSpaceDE w:val="0"/>
        <w:autoSpaceDN w:val="0"/>
        <w:adjustRightInd w:val="0"/>
      </w:pPr>
      <w:r>
        <w:t>(2) За целите на системата за мониторинг на площта дадено условие за допустимост се счита за подлежащо на мониторинг, когато може да бъде мониторирано чрез данните от спътниците Сентинел по програмата "Коперник" или с всякакви други данни с поне еквивалентна стойност, съгласно чл. 10 на Регламент за изпълнение (ЕС) 2022/1173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(OB, L 183/27, 8 юли 2022 г.) (Регламент за изпълнение (ЕС) 2022/1173).</w:t>
      </w:r>
    </w:p>
    <w:p w:rsidR="005E7E95" w:rsidRDefault="005E7E95">
      <w:pPr>
        <w:autoSpaceDE w:val="0"/>
        <w:autoSpaceDN w:val="0"/>
        <w:adjustRightInd w:val="0"/>
      </w:pPr>
      <w:r>
        <w:t xml:space="preserve">(3) Системата за мониторинг на площта се прилага съгласно чл. 10 от Регламент за изпълнение (ЕС) 2022/1173 на равнище земеделски парцел. </w:t>
      </w:r>
    </w:p>
    <w:p w:rsidR="005E7E95" w:rsidRDefault="005E7E95">
      <w:pPr>
        <w:autoSpaceDE w:val="0"/>
        <w:autoSpaceDN w:val="0"/>
        <w:adjustRightInd w:val="0"/>
      </w:pPr>
      <w:r>
        <w:t>(4) Държавен фонд "Земеделие" съобщава на бенефициентите информацията по чл. 10, параграф 8 от Регламент за изпълнение (ЕС) 2022/1173 чрез Системата за електронни услуги по чл. 30, ал. 2, т. 6 от ЗПЗП.</w:t>
      </w:r>
    </w:p>
    <w:p w:rsidR="005E7E95" w:rsidRDefault="005E7E95">
      <w:pPr>
        <w:autoSpaceDE w:val="0"/>
        <w:autoSpaceDN w:val="0"/>
        <w:adjustRightInd w:val="0"/>
      </w:pPr>
      <w:r>
        <w:t>(5) За наблюдение на условията за допустимост по ал. 2 системата за мониторинг на площта се използва с точност, равняваща се на пространствената разделителна способност на спътниците Сентинел по програма "Коперник".</w:t>
      </w:r>
    </w:p>
    <w:p w:rsidR="005E7E95" w:rsidRDefault="005E7E95">
      <w:pPr>
        <w:autoSpaceDE w:val="0"/>
        <w:autoSpaceDN w:val="0"/>
        <w:adjustRightInd w:val="0"/>
        <w:spacing w:before="120"/>
        <w:ind w:firstLine="990"/>
      </w:pPr>
      <w:r>
        <w:t>Чл. 43. (Нов – ДВ, бр. 62 от 2023 г., в сила от 21.07.2023 г.) (1) Системата за мониторинг на площ подлежи на оценка на качеството по чл. 5 от Делегиран регламент (ЕС) 2022/1172 на Комисията от 4 май 2022 г.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(OB, L 183/12, 8 юли 2022 г.).</w:t>
      </w:r>
    </w:p>
    <w:p w:rsidR="005E7E95" w:rsidRDefault="005E7E95">
      <w:pPr>
        <w:autoSpaceDE w:val="0"/>
        <w:autoSpaceDN w:val="0"/>
        <w:adjustRightInd w:val="0"/>
      </w:pPr>
      <w:r>
        <w:t>(2) Оценката на качеството се извършва чрез проверка на представителна извадка от парцели, избрани на случаен принцип, за които е подадено заявление за подпомагане или искане за плащане, за площ базирана интервенция.</w:t>
      </w:r>
    </w:p>
    <w:p w:rsidR="005E7E95" w:rsidRDefault="005E7E95">
      <w:pPr>
        <w:autoSpaceDE w:val="0"/>
        <w:autoSpaceDN w:val="0"/>
        <w:adjustRightInd w:val="0"/>
        <w:spacing w:before="120"/>
        <w:ind w:firstLine="990"/>
      </w:pPr>
      <w:r>
        <w:lastRenderedPageBreak/>
        <w:t>Чл. 44. (Нов – ДВ, бр. 62 от 2023 г., в сила от 21.07.2023 г.) Системата за наблюдаване и докладване на данни по чл. 134 от Регламент (ЕС) 2021/2115 използва наличните в ИСАК данни за заявленията за подпомагане, исканията за плащане, проектни предложения, резултатите от извършените върху тях проверки и плащания от ДФЗ.</w:t>
      </w:r>
    </w:p>
    <w:p w:rsidR="005E7E95" w:rsidRDefault="005E7E95">
      <w:pPr>
        <w:pStyle w:val="Heading3"/>
        <w:spacing w:after="321"/>
        <w:jc w:val="center"/>
        <w:rPr>
          <w:b/>
          <w:sz w:val="36"/>
        </w:rPr>
      </w:pPr>
      <w:r>
        <w:rPr>
          <w:b/>
          <w:sz w:val="36"/>
        </w:rPr>
        <w:t>Глава девета</w:t>
      </w:r>
      <w:r>
        <w:rPr>
          <w:b/>
          <w:sz w:val="36"/>
        </w:rPr>
        <w:br/>
        <w:t xml:space="preserve">(Нова – ДВ, бр. 62 от 2023 г., в сила от 21.07.2023 г.) </w:t>
      </w:r>
      <w:r>
        <w:rPr>
          <w:b/>
          <w:sz w:val="36"/>
        </w:rPr>
        <w:br/>
        <w:t>СИСТЕМА ЗА ГЕОПРОСТРАНСТВЕНИ ЗАЯВЛЕНИЯ И ЗА ЗАЯВЛЕНИЯ ВЪЗ ОСНОВА НА БРОЯ НА ЖИВОТНИТЕ</w:t>
      </w:r>
    </w:p>
    <w:p w:rsidR="005E7E95" w:rsidRDefault="005E7E95">
      <w:pPr>
        <w:autoSpaceDE w:val="0"/>
        <w:autoSpaceDN w:val="0"/>
        <w:adjustRightInd w:val="0"/>
        <w:spacing w:before="120"/>
        <w:ind w:firstLine="990"/>
      </w:pPr>
      <w:r>
        <w:t>Чл. 45. (Нов – ДВ, бр. 62 от 2023 г., в сила от 21.07.2023 г.) (1) Система за геопространствени заявления и за заявления въз основа на броя на животните се прилага за интервенциите, посочени в чл. 52, ал. 1, т. 1 и чл. 65, т. 2 и 3 от ЗПЗП.</w:t>
      </w:r>
    </w:p>
    <w:p w:rsidR="005E7E95" w:rsidRDefault="005E7E95">
      <w:pPr>
        <w:autoSpaceDE w:val="0"/>
        <w:autoSpaceDN w:val="0"/>
        <w:adjustRightInd w:val="0"/>
      </w:pPr>
      <w:r>
        <w:t>(2) За подпомагане по интервенциите по чл. 52, ал. 1, т. 1 и чл. 65, т. 3 от ЗПЗП, свързани с площ, се изисква подаване на геопространствено заявление.</w:t>
      </w:r>
    </w:p>
    <w:p w:rsidR="005E7E95" w:rsidRDefault="005E7E95">
      <w:pPr>
        <w:autoSpaceDE w:val="0"/>
        <w:autoSpaceDN w:val="0"/>
        <w:adjustRightInd w:val="0"/>
      </w:pPr>
      <w:r>
        <w:t>(3) За подпомагане по интервенции по чл. 52, ал. 1, т. 1 и чл. 65, т. 2, свързани с животни, се изисква подаване на заявление.</w:t>
      </w:r>
    </w:p>
    <w:p w:rsidR="005E7E95" w:rsidRDefault="005E7E95">
      <w:pPr>
        <w:autoSpaceDE w:val="0"/>
        <w:autoSpaceDN w:val="0"/>
        <w:adjustRightInd w:val="0"/>
      </w:pPr>
      <w:r>
        <w:t>(4) Заявленията по ал. 2 и 3 са част от съдържанието на заявлението за подпомагане по чл. 7, ал. 1 от Наредба № 4 от 2023 г. за условията и реда за подаване на заявления за подпомагане по интервенции за подпомагане на площ и за животни (ДВ, бр. 30 от 2023 г.).</w:t>
      </w:r>
    </w:p>
    <w:p w:rsidR="005E7E95" w:rsidRDefault="005E7E95">
      <w:pPr>
        <w:autoSpaceDE w:val="0"/>
        <w:autoSpaceDN w:val="0"/>
        <w:adjustRightInd w:val="0"/>
      </w:pPr>
      <w:r>
        <w:t>(5) Системата по ал. 1 предоставя предварително попълнено заявление с информация от системите по чл. 1, ал. 1, т. 1 – 3 и т. 7 или от системата по чл. 30, ал. 2 от ЗПЗП.</w:t>
      </w:r>
    </w:p>
    <w:p w:rsidR="005E7E95" w:rsidRDefault="005E7E95">
      <w:pPr>
        <w:pStyle w:val="Heading3"/>
        <w:spacing w:after="321"/>
        <w:jc w:val="center"/>
        <w:rPr>
          <w:b/>
          <w:sz w:val="36"/>
        </w:rPr>
      </w:pPr>
      <w:r>
        <w:rPr>
          <w:b/>
          <w:sz w:val="36"/>
        </w:rPr>
        <w:t>Глава десета</w:t>
      </w:r>
      <w:r>
        <w:rPr>
          <w:b/>
          <w:sz w:val="36"/>
        </w:rPr>
        <w:br/>
        <w:t xml:space="preserve">(Нова – ДВ, бр. 62 от 2023 г., в сила от 21.07.2023 г.) </w:t>
      </w:r>
      <w:r>
        <w:rPr>
          <w:b/>
          <w:sz w:val="36"/>
        </w:rPr>
        <w:br/>
        <w:t>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w:t>
      </w:r>
    </w:p>
    <w:p w:rsidR="005E7E95" w:rsidRDefault="005E7E95">
      <w:pPr>
        <w:autoSpaceDE w:val="0"/>
        <w:autoSpaceDN w:val="0"/>
        <w:adjustRightInd w:val="0"/>
        <w:spacing w:before="120"/>
        <w:ind w:firstLine="990"/>
      </w:pPr>
      <w:r>
        <w:t>Чл. 46. (Нов – ДВ, бр. 62 от 2023 г., в сила от 21.07.2023 г.) Заявленията за подпомагане и исканията за плащане по интервенциите по чл. 52, ал. 1 от ЗПЗП се подават чрез СЕУ, която е достъпна на интернет адрес https://seu.dfz.bg.</w:t>
      </w:r>
    </w:p>
    <w:p w:rsidR="005E7E95" w:rsidRDefault="005E7E95">
      <w:pPr>
        <w:autoSpaceDE w:val="0"/>
        <w:autoSpaceDN w:val="0"/>
        <w:adjustRightInd w:val="0"/>
        <w:spacing w:before="120"/>
        <w:ind w:firstLine="990"/>
      </w:pPr>
      <w:r>
        <w:t>Чл. 47. (Нов – ДВ, бр. 62 от 2023 г., в сила от 21.07.2023 г.) Всички открити за кандидатстване процедури, публикуваните за тях документи по чл. 68, ал. 2 от ЗПЗП и разясненията по чл. 68, ал. 4 от ЗПЗП са видими и за нерегистрирани в СЕУ потребители.</w:t>
      </w:r>
    </w:p>
    <w:p w:rsidR="005E7E95" w:rsidRDefault="005E7E95">
      <w:pPr>
        <w:autoSpaceDE w:val="0"/>
        <w:autoSpaceDN w:val="0"/>
        <w:adjustRightInd w:val="0"/>
        <w:spacing w:before="120"/>
        <w:ind w:firstLine="990"/>
      </w:pPr>
      <w:r>
        <w:t xml:space="preserve">Чл. 48. (Нов – ДВ, бр. 62 от 2023 г., в сила от 21.07.2023 г.) (1) Потребител, регистриран по чл. 31, ал. 3 в СЕУ, има право да извършва следните действия: </w:t>
      </w:r>
    </w:p>
    <w:p w:rsidR="005E7E95" w:rsidRDefault="005E7E95">
      <w:pPr>
        <w:autoSpaceDE w:val="0"/>
        <w:autoSpaceDN w:val="0"/>
        <w:adjustRightInd w:val="0"/>
      </w:pPr>
      <w:r>
        <w:t>1. да подаде заявление за подпомагане или искане за плащане;</w:t>
      </w:r>
    </w:p>
    <w:p w:rsidR="005E7E95" w:rsidRDefault="005E7E95">
      <w:pPr>
        <w:autoSpaceDE w:val="0"/>
        <w:autoSpaceDN w:val="0"/>
        <w:adjustRightInd w:val="0"/>
      </w:pPr>
      <w:r>
        <w:t xml:space="preserve">2. да опише и да приложи към заявлението за подпомагане или искането за плащане всички допълнителни документи; </w:t>
      </w:r>
    </w:p>
    <w:p w:rsidR="005E7E95" w:rsidRDefault="005E7E95">
      <w:pPr>
        <w:autoSpaceDE w:val="0"/>
        <w:autoSpaceDN w:val="0"/>
        <w:adjustRightInd w:val="0"/>
      </w:pPr>
      <w:r>
        <w:t xml:space="preserve">3. да прикачи в СЕУ оригинални електронни документи или сканирани копия на документи; </w:t>
      </w:r>
    </w:p>
    <w:p w:rsidR="005E7E95" w:rsidRDefault="005E7E95">
      <w:pPr>
        <w:autoSpaceDE w:val="0"/>
        <w:autoSpaceDN w:val="0"/>
        <w:adjustRightInd w:val="0"/>
      </w:pPr>
      <w:r>
        <w:t>4. да подаде искане за изменение или прекратяване на административния договор;</w:t>
      </w:r>
    </w:p>
    <w:p w:rsidR="005E7E95" w:rsidRDefault="005E7E95">
      <w:pPr>
        <w:autoSpaceDE w:val="0"/>
        <w:autoSpaceDN w:val="0"/>
        <w:adjustRightInd w:val="0"/>
      </w:pPr>
      <w:r>
        <w:t>5. да оттегля, изменя или коригира подадено заявление за подпомагане;</w:t>
      </w:r>
    </w:p>
    <w:p w:rsidR="005E7E95" w:rsidRDefault="005E7E95">
      <w:pPr>
        <w:autoSpaceDE w:val="0"/>
        <w:autoSpaceDN w:val="0"/>
        <w:adjustRightInd w:val="0"/>
      </w:pPr>
      <w:r>
        <w:lastRenderedPageBreak/>
        <w:t>6. да оттегля, изменя или коригира подадено искане за плащане;</w:t>
      </w:r>
    </w:p>
    <w:p w:rsidR="005E7E95" w:rsidRDefault="005E7E95">
      <w:pPr>
        <w:autoSpaceDE w:val="0"/>
        <w:autoSpaceDN w:val="0"/>
        <w:adjustRightInd w:val="0"/>
      </w:pPr>
      <w:r>
        <w:t>7. да получава индивидуални административни актове и цялата кореспонденция във връзка с подадено заявление;</w:t>
      </w:r>
    </w:p>
    <w:p w:rsidR="005E7E95" w:rsidRDefault="005E7E95">
      <w:pPr>
        <w:autoSpaceDE w:val="0"/>
        <w:autoSpaceDN w:val="0"/>
        <w:adjustRightInd w:val="0"/>
      </w:pPr>
      <w:r>
        <w:t>8. да осъществява цялата комуникация с органите по чл. 52, ал. 1 от ЗПЗП;</w:t>
      </w:r>
    </w:p>
    <w:p w:rsidR="005E7E95" w:rsidRDefault="005E7E95">
      <w:pPr>
        <w:autoSpaceDE w:val="0"/>
        <w:autoSpaceDN w:val="0"/>
        <w:adjustRightInd w:val="0"/>
      </w:pPr>
      <w:r>
        <w:t>9. да подписва административен договор;</w:t>
      </w:r>
    </w:p>
    <w:p w:rsidR="005E7E95" w:rsidRDefault="005E7E95">
      <w:pPr>
        <w:autoSpaceDE w:val="0"/>
        <w:autoSpaceDN w:val="0"/>
        <w:adjustRightInd w:val="0"/>
      </w:pPr>
      <w:r>
        <w:t>10. да подписва допълнителни споразумения към административен договор.</w:t>
      </w:r>
    </w:p>
    <w:p w:rsidR="005E7E95" w:rsidRDefault="005E7E95">
      <w:pPr>
        <w:autoSpaceDE w:val="0"/>
        <w:autoSpaceDN w:val="0"/>
        <w:adjustRightInd w:val="0"/>
      </w:pPr>
      <w:r>
        <w:t xml:space="preserve">(2) Потребителите по ал. 1 имат право да упълномощават други регистрирани потребители в СЕУ да извършват действията по ал. 1, както и други действия, предвидени по интервенциите, включени в Стратегическия план. </w:t>
      </w:r>
    </w:p>
    <w:p w:rsidR="005E7E95" w:rsidRDefault="005E7E95">
      <w:pPr>
        <w:autoSpaceDE w:val="0"/>
        <w:autoSpaceDN w:val="0"/>
        <w:adjustRightInd w:val="0"/>
      </w:pPr>
      <w:r>
        <w:t>(3) Упълномощителят чрез индивидуалния си профил определя пълномощника и обхвата на правата му, включително оттеглянето им, което се потвърждава с КЕП.</w:t>
      </w:r>
    </w:p>
    <w:p w:rsidR="005E7E95" w:rsidRDefault="005E7E95">
      <w:pPr>
        <w:autoSpaceDE w:val="0"/>
        <w:autoSpaceDN w:val="0"/>
        <w:adjustRightInd w:val="0"/>
      </w:pPr>
      <w:r>
        <w:t>(4) Всички действия, извършени чрез профилите в СЕУ по реда на ал. 1 и 2, се считат за валидно волеизявление на бенефициента.</w:t>
      </w:r>
    </w:p>
    <w:p w:rsidR="005E7E95" w:rsidRDefault="005E7E95">
      <w:pPr>
        <w:autoSpaceDE w:val="0"/>
        <w:autoSpaceDN w:val="0"/>
        <w:adjustRightInd w:val="0"/>
        <w:spacing w:before="120"/>
        <w:ind w:firstLine="990"/>
      </w:pPr>
      <w:r>
        <w:t>Чл. 49. (Нов – ДВ, бр. 62 от 2023 г., в сила от 21.07.2023 г.) Достоверността и коректното въвеждане на цялата информация и всички данни в заявление за подпомагане или искане за плащане и придружаващите ги документи са отговорност на кандидата или бенефициента.</w:t>
      </w:r>
    </w:p>
    <w:p w:rsidR="005E7E95" w:rsidRDefault="005E7E95">
      <w:pPr>
        <w:autoSpaceDE w:val="0"/>
        <w:autoSpaceDN w:val="0"/>
        <w:adjustRightInd w:val="0"/>
        <w:spacing w:before="120"/>
        <w:ind w:firstLine="990"/>
      </w:pPr>
      <w:r>
        <w:t>Чл. 50. (Нов – ДВ, бр. 62 от 2023 г., в сила от 21.07.2023 г.) (1) Заявление за подпомагане или искане за плащане могат да бъдат подадени само от регистриран потребител посредством КЕП.</w:t>
      </w:r>
    </w:p>
    <w:p w:rsidR="005E7E95" w:rsidRDefault="005E7E95">
      <w:pPr>
        <w:autoSpaceDE w:val="0"/>
        <w:autoSpaceDN w:val="0"/>
        <w:adjustRightInd w:val="0"/>
      </w:pPr>
      <w:r>
        <w:t>(2) Заявлението за подпомагане или искане за плащане се генерират в СЕУ чрез индивидуалните профили на всеки потребител, от които са създадени.</w:t>
      </w:r>
    </w:p>
    <w:p w:rsidR="005E7E95" w:rsidRDefault="005E7E95">
      <w:pPr>
        <w:autoSpaceDE w:val="0"/>
        <w:autoSpaceDN w:val="0"/>
        <w:adjustRightInd w:val="0"/>
      </w:pPr>
      <w:r>
        <w:t>(3) След попълване на заявлението за подпомагане или искането за плащане, прикачване на всички изискуеми документи и приложения заявлението или искането се подписват електронно и за да се считат за подадени, следва да се премине през етап "Подаване".</w:t>
      </w:r>
    </w:p>
    <w:p w:rsidR="005E7E95" w:rsidRDefault="005E7E95">
      <w:pPr>
        <w:autoSpaceDE w:val="0"/>
        <w:autoSpaceDN w:val="0"/>
        <w:adjustRightInd w:val="0"/>
      </w:pPr>
      <w:r>
        <w:t xml:space="preserve">(4) С подаването на заявлението за подпомагане или искането за плащане кандидатът или бенефициентът се съгласява комуникацията по отношение на подпомагането да става единствено посредством СЕУ, в индивидуалния профил, от който е подадено заявлението или искането за плащане. </w:t>
      </w:r>
    </w:p>
    <w:p w:rsidR="005E7E95" w:rsidRDefault="005E7E95">
      <w:pPr>
        <w:autoSpaceDE w:val="0"/>
        <w:autoSpaceDN w:val="0"/>
        <w:adjustRightInd w:val="0"/>
      </w:pPr>
      <w:r>
        <w:t>(5) Съобщенията, получени на електронната поща, посочена от кандидата, не са част от кореспонденцията по повод на и във връзка с подпомагането. Кандидатът е задължен да проверява по своя инициатива профила в СЕУ, чрез който е подадено заявление за подпомагане или искане за плащане, за наличието на съобщения, отправени към него по повод и във връзка с подпомагането с безвъзмездната финансова помощ.</w:t>
      </w:r>
    </w:p>
    <w:p w:rsidR="005E7E95" w:rsidRDefault="005E7E95">
      <w:pPr>
        <w:autoSpaceDE w:val="0"/>
        <w:autoSpaceDN w:val="0"/>
        <w:adjustRightInd w:val="0"/>
        <w:spacing w:before="120"/>
        <w:ind w:firstLine="990"/>
      </w:pPr>
      <w:r>
        <w:t>Чл. 51. (Нов – ДВ, бр. 62 от 2023 г., в сила от 21.07.2023 г.) Регистрацията на документите, получавани или изпращани от и в Държавен фонд "Земеделие" или Управляващия орган на Стратегическия план във връзка с воденето на производствата по чл. 52, ал. 1 от ЗПЗП, се извършва в официален документен регистър, представляващ база данни в СЕУ.</w:t>
      </w:r>
    </w:p>
    <w:p w:rsidR="005E7E95" w:rsidRDefault="005E7E95">
      <w:pPr>
        <w:autoSpaceDE w:val="0"/>
        <w:autoSpaceDN w:val="0"/>
        <w:adjustRightInd w:val="0"/>
        <w:spacing w:before="120"/>
        <w:ind w:firstLine="990"/>
      </w:pPr>
      <w:r>
        <w:t>Чл. 52. (Нов – ДВ, бр. 62 от 2023 г., в сила от 21.07.2023 г.) (1) Системата по чл. 1, ал. 1, т. 8 предоставя в индивидуалния профил на кандидата предварителни данни за заявление за подпомагане с информация от системите по чл. 1, ал. 1, т. 1 – 3 и т. 7 или от друга система по чл. 30, ал. 2, т. 3.</w:t>
      </w:r>
    </w:p>
    <w:p w:rsidR="005E7E95" w:rsidRDefault="005E7E95">
      <w:pPr>
        <w:autoSpaceDE w:val="0"/>
        <w:autoSpaceDN w:val="0"/>
        <w:adjustRightInd w:val="0"/>
      </w:pPr>
      <w:r>
        <w:t>(2) Информацията от попълненото заявление по ал. 1 може да се коригира от кандидата.</w:t>
      </w:r>
    </w:p>
    <w:p w:rsidR="005E7E95" w:rsidRDefault="005E7E95">
      <w:pPr>
        <w:autoSpaceDE w:val="0"/>
        <w:autoSpaceDN w:val="0"/>
        <w:adjustRightInd w:val="0"/>
      </w:pPr>
      <w:r>
        <w:t>(3) Личните данни и структурираната информация, налични в ИСАК, се попълват автоматично в заявлението за подпомагане или искането за плащане, като кандидатите при промяна могат да коригират част от тях.</w:t>
      </w:r>
    </w:p>
    <w:p w:rsidR="005E7E95" w:rsidRDefault="005E7E95">
      <w:pPr>
        <w:autoSpaceDE w:val="0"/>
        <w:autoSpaceDN w:val="0"/>
        <w:adjustRightInd w:val="0"/>
      </w:pPr>
      <w:r>
        <w:t>(4) Системата по чл. 1, ал. 1, т. 8 предоставя информация за данните, които могат да бъдат коригирани.</w:t>
      </w:r>
    </w:p>
    <w:p w:rsidR="005E7E95" w:rsidRDefault="005E7E95">
      <w:pPr>
        <w:autoSpaceDE w:val="0"/>
        <w:autoSpaceDN w:val="0"/>
        <w:adjustRightInd w:val="0"/>
      </w:pPr>
      <w:r>
        <w:lastRenderedPageBreak/>
        <w:t>(5) След извършване на корекциите по ал. 1 и 2 и прикачване на всички изискуеми документи и приложения попълненото заявление се подписва с квалифициран електронен подпис и се преминава през етап "Подаване".</w:t>
      </w:r>
    </w:p>
    <w:p w:rsidR="005E7E95" w:rsidRDefault="005E7E95">
      <w:pPr>
        <w:autoSpaceDE w:val="0"/>
        <w:autoSpaceDN w:val="0"/>
        <w:adjustRightInd w:val="0"/>
      </w:pPr>
      <w:r>
        <w:t>(6) Достоверността и коректното въвеждане на цялата информация и всички данни в заявлението за подпомагане и на придружаващите го документи и приложения са отговорност на кандидата.</w:t>
      </w:r>
    </w:p>
    <w:p w:rsidR="005E7E95" w:rsidRDefault="005E7E95">
      <w:pPr>
        <w:autoSpaceDE w:val="0"/>
        <w:autoSpaceDN w:val="0"/>
        <w:adjustRightInd w:val="0"/>
        <w:spacing w:before="120"/>
        <w:ind w:firstLine="990"/>
      </w:pPr>
      <w:r>
        <w:t>Чл. 53. (Нов – ДВ, бр. 62 от 2023 г., в сила от 21.07.2023 г.) (1) Подаденото заявление за подпомагане може да бъде оттеглено чрез ИСАК.</w:t>
      </w:r>
    </w:p>
    <w:p w:rsidR="005E7E95" w:rsidRDefault="005E7E95">
      <w:pPr>
        <w:autoSpaceDE w:val="0"/>
        <w:autoSpaceDN w:val="0"/>
        <w:adjustRightInd w:val="0"/>
      </w:pPr>
      <w:r>
        <w:t>(2) След получаване на съобщение в СЕУ от Държавен фонд "Земеделие" кандидатът за подпомагане може да измени заявлението по ал. 1. Изменението се извършва чрез индивидуалния профил на кандидата, от който е подадено заявлението за подпомагане.</w:t>
      </w:r>
    </w:p>
    <w:p w:rsidR="005E7E95" w:rsidRDefault="005E7E95">
      <w:pPr>
        <w:autoSpaceDE w:val="0"/>
        <w:autoSpaceDN w:val="0"/>
        <w:adjustRightInd w:val="0"/>
        <w:spacing w:before="120"/>
        <w:ind w:firstLine="990"/>
      </w:pPr>
      <w:r>
        <w:t>Чл. 54. (Нов – ДВ, бр. 62 от 2023 г., в сила от 21.07.2023 г.) (1) Електронно заявление за подпомагане може да бъде създадено и попълнено само от регистриран потребител посредством КЕП.</w:t>
      </w:r>
    </w:p>
    <w:p w:rsidR="005E7E95" w:rsidRDefault="005E7E95">
      <w:pPr>
        <w:autoSpaceDE w:val="0"/>
        <w:autoSpaceDN w:val="0"/>
        <w:adjustRightInd w:val="0"/>
      </w:pPr>
      <w:r>
        <w:t>(2) Заявлението за подпомагане е достъпно в СЕУ чрез индивидуалния профил на всеки потребител.</w:t>
      </w:r>
    </w:p>
    <w:p w:rsidR="005E7E95" w:rsidRDefault="005E7E95">
      <w:pPr>
        <w:autoSpaceDE w:val="0"/>
        <w:autoSpaceDN w:val="0"/>
        <w:adjustRightInd w:val="0"/>
      </w:pPr>
      <w:r>
        <w:t>(3) След попълване на заявлението за подпомагане, прикачване на всички изискуеми документи и приложения и тяхното подписване, за да се считат за подадени, следва да се премине през етап "Подаване". Подписват се само електронните документи, изисквани в оригинал, и заявлението за подпомагане.</w:t>
      </w:r>
    </w:p>
    <w:p w:rsidR="005E7E95" w:rsidRDefault="005E7E95">
      <w:pPr>
        <w:autoSpaceDE w:val="0"/>
        <w:autoSpaceDN w:val="0"/>
        <w:adjustRightInd w:val="0"/>
      </w:pPr>
      <w:r>
        <w:t xml:space="preserve">(4) Достоверността на електронните копия на документи – приложения към заявлението за подпомагане, се удостоверява чрез подписването на заявлението посредством СЕУ. </w:t>
      </w:r>
    </w:p>
    <w:p w:rsidR="005E7E95" w:rsidRDefault="005E7E95">
      <w:pPr>
        <w:autoSpaceDE w:val="0"/>
        <w:autoSpaceDN w:val="0"/>
        <w:adjustRightInd w:val="0"/>
      </w:pPr>
      <w:r>
        <w:t>(5) При електронно подадено проектно предложение в последната секция на заявлението се прикачват всички изискуеми документи и приложения към него, посочени в документите по чл. 68, ал. 2 от ЗПЗП за конкретната процедура, или документите и приложенията, посочени в наредбите по чл. 66 и чл. 68, ал. 1, т. 2 от същия закон.</w:t>
      </w:r>
    </w:p>
    <w:p w:rsidR="005E7E95" w:rsidRDefault="005E7E95">
      <w:pPr>
        <w:autoSpaceDE w:val="0"/>
        <w:autoSpaceDN w:val="0"/>
        <w:adjustRightInd w:val="0"/>
      </w:pPr>
      <w:r>
        <w:t>(6) С подаване на електронно проектно предложение кандидатът се съгласява комуникацията по време на оценката да се извършва само посредством СЕУ в профила, от който е подадено предложението.</w:t>
      </w:r>
    </w:p>
    <w:p w:rsidR="005E7E95" w:rsidRDefault="005E7E95">
      <w:pPr>
        <w:pStyle w:val="Heading3"/>
        <w:spacing w:after="321"/>
        <w:jc w:val="center"/>
        <w:rPr>
          <w:b/>
          <w:sz w:val="36"/>
        </w:rPr>
      </w:pPr>
      <w:r>
        <w:rPr>
          <w:b/>
          <w:sz w:val="36"/>
        </w:rPr>
        <w:t>Глава единадесета</w:t>
      </w:r>
      <w:r>
        <w:rPr>
          <w:b/>
          <w:sz w:val="36"/>
        </w:rPr>
        <w:br/>
        <w:t xml:space="preserve">(Нова – ДВ, бр. 62 от 2023 г., в сила от 21.07.2023 г.) </w:t>
      </w:r>
      <w:r>
        <w:rPr>
          <w:b/>
          <w:sz w:val="36"/>
        </w:rPr>
        <w:br/>
        <w:t>ОТЧИТАНЕ НА РАЗХОДИ, ПОДЛЕЖАЩИ НА ВЪЗСТАНОВЯВАНЕ ПО ИНТЕРВЕНЦИИТЕ ПО ЧЛ. 52, АЛ. 1, Т. 2 И 3 ОТ ЗПЗП</w:t>
      </w:r>
    </w:p>
    <w:p w:rsidR="005E7E95" w:rsidRDefault="005E7E95">
      <w:pPr>
        <w:autoSpaceDE w:val="0"/>
        <w:autoSpaceDN w:val="0"/>
        <w:adjustRightInd w:val="0"/>
        <w:spacing w:before="120"/>
        <w:ind w:firstLine="990"/>
      </w:pPr>
      <w:r>
        <w:t>Чл. 55. (Нов – ДВ, бр. 62 от 2023 г., в сила от 21.07.2023 г.) (1) Всички действия в СЕУ, свързани с изпълнението и отчитането на проекта от страна на бенефициента, се извършват чрез индивидуалния му профил, от който е подадено заявлението за подпомагане, въз основа на електронно искане от бенефициента.</w:t>
      </w:r>
    </w:p>
    <w:p w:rsidR="005E7E95" w:rsidRDefault="005E7E95">
      <w:pPr>
        <w:autoSpaceDE w:val="0"/>
        <w:autoSpaceDN w:val="0"/>
        <w:adjustRightInd w:val="0"/>
      </w:pPr>
      <w:r>
        <w:t>(2) При подаване на искането за плащане бенефициентът получава в индивидуалния си профил предварително попълнени данни за отчитаните разходи, които подлежат на възстановяване по одобрения проект.</w:t>
      </w:r>
    </w:p>
    <w:p w:rsidR="005E7E95" w:rsidRDefault="005E7E95">
      <w:pPr>
        <w:autoSpaceDE w:val="0"/>
        <w:autoSpaceDN w:val="0"/>
        <w:adjustRightInd w:val="0"/>
      </w:pPr>
      <w:r>
        <w:t>(3) След попълване на искането за плащане, прикачване на всички изискуеми документи и приложения и подписване, за да се считат за подадени, следва да се премине през етап "Подаване".</w:t>
      </w:r>
    </w:p>
    <w:p w:rsidR="005E7E95" w:rsidRDefault="005E7E95">
      <w:pPr>
        <w:autoSpaceDE w:val="0"/>
        <w:autoSpaceDN w:val="0"/>
        <w:adjustRightInd w:val="0"/>
      </w:pPr>
      <w:r>
        <w:t>(4) Искането за плащане се подписва с квалифициран електронен подпис.</w:t>
      </w:r>
    </w:p>
    <w:p w:rsidR="005E7E95" w:rsidRDefault="005E7E95">
      <w:pPr>
        <w:autoSpaceDE w:val="0"/>
        <w:autoSpaceDN w:val="0"/>
        <w:adjustRightInd w:val="0"/>
      </w:pPr>
      <w:r>
        <w:t>(5) Всички действия, извършени чрез профила за достъп в системата, се считат за валидно волеизявление на бенефициента.</w:t>
      </w:r>
    </w:p>
    <w:p w:rsidR="005E7E95" w:rsidRDefault="005E7E95">
      <w:pPr>
        <w:autoSpaceDE w:val="0"/>
        <w:autoSpaceDN w:val="0"/>
        <w:adjustRightInd w:val="0"/>
      </w:pPr>
      <w:r>
        <w:lastRenderedPageBreak/>
        <w:t>(6) Цялата комуникация между Държавен фонд "Земеделие" или Управляващия орган на Стратегическия план и бенефициентите по отношение искането за плащане се осъществява в СЕУ.</w:t>
      </w:r>
    </w:p>
    <w:p w:rsidR="005E7E95" w:rsidRDefault="005E7E95">
      <w:pPr>
        <w:pStyle w:val="Heading3"/>
        <w:spacing w:after="321"/>
        <w:jc w:val="center"/>
        <w:rPr>
          <w:b/>
          <w:sz w:val="36"/>
        </w:rPr>
      </w:pPr>
      <w:r>
        <w:rPr>
          <w:b/>
          <w:sz w:val="36"/>
        </w:rPr>
        <w:t>ДОПЪЛНИТЕЛНИ РАЗПОРЕДБИ</w:t>
      </w:r>
    </w:p>
    <w:p w:rsidR="005E7E95" w:rsidRDefault="005E7E95">
      <w:pPr>
        <w:autoSpaceDE w:val="0"/>
        <w:autoSpaceDN w:val="0"/>
        <w:adjustRightInd w:val="0"/>
        <w:spacing w:before="120"/>
        <w:ind w:firstLine="990"/>
      </w:pPr>
      <w:r>
        <w:t>§ 1. По смисъла на тази наредба:</w:t>
      </w:r>
    </w:p>
    <w:p w:rsidR="005E7E95" w:rsidRDefault="005E7E95">
      <w:pPr>
        <w:autoSpaceDE w:val="0"/>
        <w:autoSpaceDN w:val="0"/>
        <w:adjustRightInd w:val="0"/>
      </w:pPr>
      <w:r>
        <w:t xml:space="preserve">1. (Изм. - ДВ, бр. 37 от 2008 г., отм., бр. 16 от 2015 г.). </w:t>
      </w:r>
    </w:p>
    <w:p w:rsidR="005E7E95" w:rsidRDefault="005E7E95">
      <w:pPr>
        <w:autoSpaceDE w:val="0"/>
        <w:autoSpaceDN w:val="0"/>
        <w:adjustRightInd w:val="0"/>
      </w:pPr>
      <w:r>
        <w:t>2. (Отм. – ДВ, бр. 16 от 2015 г.).</w:t>
      </w:r>
    </w:p>
    <w:p w:rsidR="005E7E95" w:rsidRDefault="005E7E95">
      <w:pPr>
        <w:autoSpaceDE w:val="0"/>
        <w:autoSpaceDN w:val="0"/>
        <w:adjustRightInd w:val="0"/>
      </w:pPr>
      <w:r>
        <w:t xml:space="preserve">3. (Нова – ДВ, бр. 22 от 2014 г., в сила от 11.03.2014 г., отм., бр. 24 от 2018 г., в сила от 16.03.2018 г.). </w:t>
      </w:r>
    </w:p>
    <w:p w:rsidR="005E7E95" w:rsidRDefault="005E7E95">
      <w:pPr>
        <w:autoSpaceDE w:val="0"/>
        <w:autoSpaceDN w:val="0"/>
        <w:adjustRightInd w:val="0"/>
      </w:pPr>
      <w:r>
        <w:t>4. (Нова – ДВ, бр. 24 от 2018 г., в сила от 16.03.2018 г.) "Дешифриране" е процес на разчитане на ЦОФК, определяне и очертаване/дигитализиране в ГИС среда на цифрови географски и атрибутивни данни на обекти и слоеве, основно граници.</w:t>
      </w:r>
    </w:p>
    <w:p w:rsidR="005E7E95" w:rsidRDefault="005E7E95">
      <w:pPr>
        <w:autoSpaceDE w:val="0"/>
        <w:autoSpaceDN w:val="0"/>
        <w:adjustRightInd w:val="0"/>
      </w:pPr>
      <w:r>
        <w:t>5. (Нова – ДВ, бр. 11 от 2021 г., в сила от 9.02.2021 г.) "Shape формат" е векторен цифров формат за запис на пространствено местонахождение и атрибутна информация на географски обекти.</w:t>
      </w:r>
    </w:p>
    <w:p w:rsidR="005E7E95" w:rsidRDefault="005E7E95">
      <w:pPr>
        <w:autoSpaceDE w:val="0"/>
        <w:autoSpaceDN w:val="0"/>
        <w:adjustRightInd w:val="0"/>
        <w:spacing w:before="120"/>
        <w:ind w:firstLine="990"/>
      </w:pPr>
      <w:r>
        <w:t>§ 2. (Изм. – ДВ, бр. 16 от 2015 г., отм., бр. 24 от 2018 г., в сила от 16.03.2018 г.).</w:t>
      </w:r>
    </w:p>
    <w:p w:rsidR="005E7E95" w:rsidRDefault="005E7E95">
      <w:pPr>
        <w:autoSpaceDE w:val="0"/>
        <w:autoSpaceDN w:val="0"/>
        <w:adjustRightInd w:val="0"/>
        <w:spacing w:before="120"/>
        <w:ind w:firstLine="990"/>
      </w:pPr>
      <w:r>
        <w:t>§ 3. (Доп. – ДВ, бр. 16 от 2015 г., отм., бр. 24 от 2018 г., в сила от 16.03.2018 г.).</w:t>
      </w:r>
    </w:p>
    <w:p w:rsidR="005E7E95" w:rsidRDefault="005E7E95">
      <w:pPr>
        <w:pStyle w:val="Heading3"/>
        <w:spacing w:after="321"/>
        <w:jc w:val="center"/>
        <w:rPr>
          <w:b/>
          <w:sz w:val="36"/>
        </w:rPr>
      </w:pPr>
      <w:r>
        <w:rPr>
          <w:b/>
          <w:sz w:val="36"/>
        </w:rPr>
        <w:t>ЗАКЛЮЧИТЕЛНА РАЗПОРЕДБА</w:t>
      </w:r>
    </w:p>
    <w:p w:rsidR="005E7E95" w:rsidRDefault="005E7E95">
      <w:pPr>
        <w:autoSpaceDE w:val="0"/>
        <w:autoSpaceDN w:val="0"/>
        <w:adjustRightInd w:val="0"/>
        <w:spacing w:before="120"/>
        <w:ind w:firstLine="990"/>
      </w:pPr>
      <w:r>
        <w:t xml:space="preserve">§ 4. Наредбата се издава на основание чл. 30, ал. 6 от Закона за подпомагане на земеделските производители. </w:t>
      </w:r>
    </w:p>
    <w:p w:rsidR="005E7E95" w:rsidRDefault="00A52CC1">
      <w:pPr>
        <w:autoSpaceDE w:val="0"/>
        <w:autoSpaceDN w:val="0"/>
        <w:adjustRightInd w:val="0"/>
        <w:spacing w:before="120"/>
        <w:ind w:firstLine="990"/>
      </w:pPr>
      <w:r>
        <w:rPr>
          <w:noProof/>
        </w:rPr>
        <w:drawing>
          <wp:inline distT="0" distB="0" distL="0" distR="0">
            <wp:extent cx="612457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19050"/>
                    </a:xfrm>
                    <a:prstGeom prst="rect">
                      <a:avLst/>
                    </a:prstGeom>
                    <a:noFill/>
                    <a:ln>
                      <a:noFill/>
                    </a:ln>
                  </pic:spPr>
                </pic:pic>
              </a:graphicData>
            </a:graphic>
          </wp:inline>
        </w:drawing>
      </w:r>
    </w:p>
    <w:p w:rsidR="005E7E95" w:rsidRDefault="005E7E95">
      <w:pPr>
        <w:autoSpaceDE w:val="0"/>
        <w:autoSpaceDN w:val="0"/>
        <w:adjustRightInd w:val="0"/>
        <w:spacing w:before="120"/>
        <w:ind w:firstLine="990"/>
      </w:pPr>
    </w:p>
    <w:p w:rsidR="005E7E95" w:rsidRDefault="005E7E95">
      <w:pPr>
        <w:autoSpaceDE w:val="0"/>
        <w:autoSpaceDN w:val="0"/>
        <w:adjustRightInd w:val="0"/>
        <w:spacing w:before="120"/>
        <w:ind w:firstLine="990"/>
      </w:pPr>
      <w:r>
        <w:t xml:space="preserve">ПРЕХОДНИ И ЗАКЛЮЧИТЕЛНИ РАЗПОРЕДБИ </w:t>
      </w:r>
    </w:p>
    <w:p w:rsidR="005E7E95" w:rsidRDefault="005E7E95">
      <w:pPr>
        <w:autoSpaceDE w:val="0"/>
        <w:autoSpaceDN w:val="0"/>
        <w:adjustRightInd w:val="0"/>
      </w:pPr>
      <w:r>
        <w:t xml:space="preserve">към Постановление № 168 на Министерския съвет от 23 юли 2007 г. </w:t>
      </w:r>
    </w:p>
    <w:p w:rsidR="005E7E95" w:rsidRDefault="005E7E95">
      <w:pPr>
        <w:autoSpaceDE w:val="0"/>
        <w:autoSpaceDN w:val="0"/>
        <w:adjustRightInd w:val="0"/>
      </w:pPr>
      <w:r>
        <w:t xml:space="preserve">за преобразуване на Националното управление по горите в Държавна агенция по горите </w:t>
      </w:r>
    </w:p>
    <w:p w:rsidR="005E7E95" w:rsidRDefault="005E7E95">
      <w:pPr>
        <w:autoSpaceDE w:val="0"/>
        <w:autoSpaceDN w:val="0"/>
        <w:adjustRightInd w:val="0"/>
      </w:pPr>
      <w:r>
        <w:t>(ДВ, бр. 62 от 2007 г., в сила от 19.07.2007 г.)</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6. В нормативните актове на Министерския съвет:</w:t>
      </w:r>
    </w:p>
    <w:p w:rsidR="005E7E95" w:rsidRDefault="005E7E95">
      <w:pPr>
        <w:autoSpaceDE w:val="0"/>
        <w:autoSpaceDN w:val="0"/>
        <w:adjustRightInd w:val="0"/>
      </w:pPr>
      <w: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5E7E95" w:rsidRDefault="005E7E95">
      <w:pPr>
        <w:autoSpaceDE w:val="0"/>
        <w:autoSpaceDN w:val="0"/>
        <w:adjustRightInd w:val="0"/>
      </w:pPr>
      <w: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5E7E95" w:rsidRDefault="005E7E95">
      <w:pPr>
        <w:autoSpaceDE w:val="0"/>
        <w:autoSpaceDN w:val="0"/>
        <w:adjustRightInd w:val="0"/>
      </w:pPr>
      <w: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5E7E95" w:rsidRDefault="005E7E95">
      <w:pPr>
        <w:autoSpaceDE w:val="0"/>
        <w:autoSpaceDN w:val="0"/>
        <w:adjustRightInd w:val="0"/>
      </w:pPr>
      <w: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5E7E95" w:rsidRDefault="005E7E95">
      <w:pPr>
        <w:autoSpaceDE w:val="0"/>
        <w:autoSpaceDN w:val="0"/>
        <w:adjustRightInd w:val="0"/>
        <w:spacing w:before="120"/>
        <w:ind w:firstLine="990"/>
      </w:pPr>
      <w:r>
        <w:t>§ 7. Министърът на финансите да извърши необходимите корекции по бюджетите на Министерството на земеделието и продоволствието и на Министерския съвет.</w:t>
      </w:r>
    </w:p>
    <w:p w:rsidR="005E7E95" w:rsidRDefault="005E7E95">
      <w:pPr>
        <w:autoSpaceDE w:val="0"/>
        <w:autoSpaceDN w:val="0"/>
        <w:adjustRightInd w:val="0"/>
        <w:spacing w:before="120"/>
        <w:ind w:firstLine="990"/>
      </w:pPr>
      <w:r>
        <w:lastRenderedPageBreak/>
        <w:t>§ 8. Постановлението се приема на основание на Решение на Народното събрание от 18 юли 2007 г. за промяна в структурата на Министерския съвет и чл. 47, ал. 1 от Закона за администрацията.</w:t>
      </w:r>
    </w:p>
    <w:p w:rsidR="005E7E95" w:rsidRDefault="005E7E95">
      <w:pPr>
        <w:autoSpaceDE w:val="0"/>
        <w:autoSpaceDN w:val="0"/>
        <w:adjustRightInd w:val="0"/>
        <w:spacing w:before="120"/>
        <w:ind w:firstLine="990"/>
      </w:pPr>
      <w:r>
        <w:t>§ 9. Постановлението влиза в сила от 19 юли 2007 г.</w:t>
      </w:r>
    </w:p>
    <w:p w:rsidR="005E7E95" w:rsidRDefault="005E7E95">
      <w:pPr>
        <w:autoSpaceDE w:val="0"/>
        <w:autoSpaceDN w:val="0"/>
        <w:adjustRightInd w:val="0"/>
        <w:spacing w:before="120"/>
        <w:ind w:firstLine="990"/>
      </w:pPr>
      <w:r>
        <w:t xml:space="preserve">ЗАКЛЮЧИТЕЛНА РАЗПОРЕДБА </w:t>
      </w:r>
    </w:p>
    <w:p w:rsidR="005E7E95" w:rsidRDefault="005E7E95">
      <w:pPr>
        <w:autoSpaceDE w:val="0"/>
        <w:autoSpaceDN w:val="0"/>
        <w:adjustRightInd w:val="0"/>
      </w:pPr>
      <w:r>
        <w:t xml:space="preserve">към Постановление № 194 на Министерския съвет от 5 август 2008 г. </w:t>
      </w:r>
    </w:p>
    <w:p w:rsidR="005E7E95" w:rsidRDefault="005E7E95">
      <w:pPr>
        <w:autoSpaceDE w:val="0"/>
        <w:autoSpaceDN w:val="0"/>
        <w:adjustRightInd w:val="0"/>
      </w:pPr>
      <w:r>
        <w:t xml:space="preserve">за изменение на Тарифата за таксите, които се събират от Националната </w:t>
      </w:r>
    </w:p>
    <w:p w:rsidR="005E7E95" w:rsidRDefault="005E7E95">
      <w:pPr>
        <w:autoSpaceDE w:val="0"/>
        <w:autoSpaceDN w:val="0"/>
        <w:adjustRightInd w:val="0"/>
      </w:pPr>
      <w:r>
        <w:t>служба по зърното и фуражите към министъра на земеделието и храните</w:t>
      </w:r>
    </w:p>
    <w:p w:rsidR="005E7E95" w:rsidRDefault="005E7E95">
      <w:pPr>
        <w:autoSpaceDE w:val="0"/>
        <w:autoSpaceDN w:val="0"/>
        <w:adjustRightInd w:val="0"/>
      </w:pPr>
      <w:r>
        <w:t>(ДВ, бр. 71 от 2008 г.)</w:t>
      </w:r>
    </w:p>
    <w:p w:rsidR="005E7E95" w:rsidRDefault="005E7E95">
      <w:pPr>
        <w:autoSpaceDE w:val="0"/>
        <w:autoSpaceDN w:val="0"/>
        <w:adjustRightInd w:val="0"/>
        <w:spacing w:before="120"/>
        <w:ind w:firstLine="990"/>
      </w:pPr>
      <w:r>
        <w:t>§ 5. В нормативните актове на Министерския съвет:</w:t>
      </w:r>
    </w:p>
    <w:p w:rsidR="005E7E95" w:rsidRDefault="005E7E95">
      <w:pPr>
        <w:autoSpaceDE w:val="0"/>
        <w:autoSpaceDN w:val="0"/>
        <w:adjustRightInd w:val="0"/>
      </w:pPr>
      <w: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5E7E95" w:rsidRDefault="005E7E95">
      <w:pPr>
        <w:autoSpaceDE w:val="0"/>
        <w:autoSpaceDN w:val="0"/>
        <w:adjustRightInd w:val="0"/>
      </w:pPr>
      <w: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5E7E95" w:rsidRDefault="005E7E95">
      <w:pPr>
        <w:autoSpaceDE w:val="0"/>
        <w:autoSpaceDN w:val="0"/>
        <w:adjustRightInd w:val="0"/>
        <w:spacing w:before="120"/>
        <w:ind w:firstLine="990"/>
      </w:pPr>
      <w:r>
        <w:t>НАРЕДБА за изменение и допълнение на</w:t>
      </w:r>
    </w:p>
    <w:p w:rsidR="005E7E95" w:rsidRDefault="005E7E95">
      <w:pPr>
        <w:autoSpaceDE w:val="0"/>
        <w:autoSpaceDN w:val="0"/>
        <w:adjustRightInd w:val="0"/>
      </w:pPr>
      <w:r>
        <w:t xml:space="preserve">Наредба № 105 от 2006 г. за условията и реда за създаване, поддържане, </w:t>
      </w:r>
    </w:p>
    <w:p w:rsidR="005E7E95" w:rsidRDefault="005E7E95">
      <w:pPr>
        <w:autoSpaceDE w:val="0"/>
        <w:autoSpaceDN w:val="0"/>
        <w:adjustRightInd w:val="0"/>
      </w:pPr>
      <w:r>
        <w:t xml:space="preserve">достъп и ползване на интегрираната система за администриране и контрол </w:t>
      </w:r>
    </w:p>
    <w:p w:rsidR="005E7E95" w:rsidRDefault="005E7E95">
      <w:pPr>
        <w:autoSpaceDE w:val="0"/>
        <w:autoSpaceDN w:val="0"/>
        <w:adjustRightInd w:val="0"/>
      </w:pPr>
      <w:r>
        <w:t>(ДВ, бр. 101 от 2012 г., в сила от 18.12.2012 г.)</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5. Навсякъде в наредбата думите "Площи, допустими за подпомагане" се заменят с "Площи в добро земеделско състояние".</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ПРЕХОДНИ И ЗАКЛЮЧИТЕЛНИ РАЗПОРЕДБИ</w:t>
      </w:r>
    </w:p>
    <w:p w:rsidR="005E7E95" w:rsidRDefault="005E7E95">
      <w:pPr>
        <w:autoSpaceDE w:val="0"/>
        <w:autoSpaceDN w:val="0"/>
        <w:adjustRightInd w:val="0"/>
      </w:pPr>
      <w:r>
        <w:t xml:space="preserve">към Наредбата за изменение и допълнение на Наредба № 105 от 2006 г. за условията и реда за </w:t>
      </w:r>
    </w:p>
    <w:p w:rsidR="005E7E95" w:rsidRDefault="005E7E95">
      <w:pPr>
        <w:autoSpaceDE w:val="0"/>
        <w:autoSpaceDN w:val="0"/>
        <w:adjustRightInd w:val="0"/>
      </w:pPr>
      <w:r>
        <w:t xml:space="preserve">създаване, поддържане, достъп и ползване на интегрираната система за администриране и контрол </w:t>
      </w:r>
    </w:p>
    <w:p w:rsidR="005E7E95" w:rsidRDefault="005E7E95">
      <w:pPr>
        <w:autoSpaceDE w:val="0"/>
        <w:autoSpaceDN w:val="0"/>
        <w:adjustRightInd w:val="0"/>
      </w:pPr>
      <w:r>
        <w:t>(ДВ, бр. 22 от 2014 г., в сила от 11.03.2014 г., изм., бр. 43 от 2014 г., в сила от 23.05.2014 г.)</w:t>
      </w:r>
    </w:p>
    <w:p w:rsidR="005E7E95" w:rsidRDefault="005E7E95">
      <w:pPr>
        <w:autoSpaceDE w:val="0"/>
        <w:autoSpaceDN w:val="0"/>
        <w:adjustRightInd w:val="0"/>
        <w:spacing w:before="120"/>
        <w:ind w:firstLine="990"/>
      </w:pPr>
      <w:r>
        <w:t>§ 4. Параграф 2 влиза в сила от 1 октомври 2014 г.</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7. (Изм. – ДВ, бр. 43 от 2014 г., в сила от 23.05.2014 г.) В срок до 15 юни 2014 г. тютюнопроизводителите подават в общинските служби по земеделие по местопроизводството заявления по чл. 19, ал. 2 от Наредба № 3 за създаване и поддържане на регистър на земеделските производители (ДВ, бр. 10 от 1999 г.) за площите, на които са отглеждали тютюн, и за продадените и предадени през 2013 г. количества тютюн по сортови групи и класи. При необходимост министърът на земеделието и храните може със заповед да определя и други срокове за подаване на заявленията и документите към тях.</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xml:space="preserve">НАРЕДБА </w:t>
      </w:r>
    </w:p>
    <w:p w:rsidR="005E7E95" w:rsidRDefault="005E7E95">
      <w:pPr>
        <w:autoSpaceDE w:val="0"/>
        <w:autoSpaceDN w:val="0"/>
        <w:adjustRightInd w:val="0"/>
      </w:pPr>
      <w:r>
        <w:t xml:space="preserve">за изменение и допълнение на Наредба № 105 от 2006 г. за условията </w:t>
      </w:r>
    </w:p>
    <w:p w:rsidR="005E7E95" w:rsidRDefault="005E7E95">
      <w:pPr>
        <w:autoSpaceDE w:val="0"/>
        <w:autoSpaceDN w:val="0"/>
        <w:adjustRightInd w:val="0"/>
      </w:pPr>
      <w:r>
        <w:t xml:space="preserve">и реда за създаване, поддържане, достъп и ползване на интегрираната </w:t>
      </w:r>
    </w:p>
    <w:p w:rsidR="005E7E95" w:rsidRDefault="005E7E95">
      <w:pPr>
        <w:autoSpaceDE w:val="0"/>
        <w:autoSpaceDN w:val="0"/>
        <w:adjustRightInd w:val="0"/>
      </w:pPr>
      <w:r>
        <w:t>система за администриране и контрол</w:t>
      </w:r>
    </w:p>
    <w:p w:rsidR="005E7E95" w:rsidRDefault="005E7E95">
      <w:pPr>
        <w:autoSpaceDE w:val="0"/>
        <w:autoSpaceDN w:val="0"/>
        <w:adjustRightInd w:val="0"/>
      </w:pPr>
      <w:r>
        <w:t>(ДВ, бр. 16 от 2015 г.)</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25. Навсякъде в наредбата:</w:t>
      </w:r>
    </w:p>
    <w:p w:rsidR="005E7E95" w:rsidRDefault="005E7E95">
      <w:pPr>
        <w:autoSpaceDE w:val="0"/>
        <w:autoSpaceDN w:val="0"/>
        <w:adjustRightInd w:val="0"/>
      </w:pPr>
      <w:r>
        <w:lastRenderedPageBreak/>
        <w:t>1. думите "Площи в добро земеделско състояние" се заменят с "Площи, допустими за подпомагане";</w:t>
      </w:r>
    </w:p>
    <w:p w:rsidR="005E7E95" w:rsidRDefault="005E7E95">
      <w:pPr>
        <w:autoSpaceDE w:val="0"/>
        <w:autoSpaceDN w:val="0"/>
        <w:adjustRightInd w:val="0"/>
      </w:pPr>
      <w:r>
        <w:t>2. думите "блоковете на земеделските стопанства/блоковете на земеделското стопанство" се заменят с "площите, допустими за подпомагане";</w:t>
      </w:r>
    </w:p>
    <w:p w:rsidR="005E7E95" w:rsidRDefault="005E7E95">
      <w:pPr>
        <w:autoSpaceDE w:val="0"/>
        <w:autoSpaceDN w:val="0"/>
        <w:adjustRightInd w:val="0"/>
      </w:pPr>
      <w:r>
        <w:t>3. думите "Постоянни пасища" се заменят с "Постоянно затревени площи";</w:t>
      </w:r>
    </w:p>
    <w:p w:rsidR="005E7E95" w:rsidRDefault="005E7E95">
      <w:pPr>
        <w:autoSpaceDE w:val="0"/>
        <w:autoSpaceDN w:val="0"/>
        <w:adjustRightInd w:val="0"/>
      </w:pPr>
      <w:r>
        <w:t>4. преди съкращението "ЗПЗП" се добавя "от";</w:t>
      </w:r>
    </w:p>
    <w:p w:rsidR="005E7E95" w:rsidRDefault="005E7E95">
      <w:pPr>
        <w:autoSpaceDE w:val="0"/>
        <w:autoSpaceDN w:val="0"/>
        <w:adjustRightInd w:val="0"/>
      </w:pPr>
      <w:r>
        <w:t>5. думите "системата за регистрация на кандидатите и на заявленията за подпомагане" се заменят със "системата за регистрация на кандидатите, на заявленията за подпомагане и на заявките за плащане";</w:t>
      </w:r>
    </w:p>
    <w:p w:rsidR="005E7E95" w:rsidRDefault="005E7E95">
      <w:pPr>
        <w:autoSpaceDE w:val="0"/>
        <w:autoSpaceDN w:val="0"/>
        <w:adjustRightInd w:val="0"/>
      </w:pPr>
      <w:r>
        <w:t>6. думите "Българската агенция за безопасност на храните" се заменят с "Българската агенция по безопасност на храните".</w:t>
      </w:r>
    </w:p>
    <w:p w:rsidR="005E7E95" w:rsidRDefault="005E7E95">
      <w:pPr>
        <w:autoSpaceDE w:val="0"/>
        <w:autoSpaceDN w:val="0"/>
        <w:adjustRightInd w:val="0"/>
        <w:spacing w:before="120"/>
        <w:ind w:firstLine="990"/>
      </w:pPr>
      <w:r>
        <w:t xml:space="preserve">НАРЕДБА </w:t>
      </w:r>
    </w:p>
    <w:p w:rsidR="005E7E95" w:rsidRDefault="005E7E95">
      <w:pPr>
        <w:autoSpaceDE w:val="0"/>
        <w:autoSpaceDN w:val="0"/>
        <w:adjustRightInd w:val="0"/>
      </w:pPr>
      <w:r>
        <w:t xml:space="preserve">за изменение и допълнение на Наредба № 105 от 2006 г. за условията </w:t>
      </w:r>
    </w:p>
    <w:p w:rsidR="005E7E95" w:rsidRDefault="005E7E95">
      <w:pPr>
        <w:autoSpaceDE w:val="0"/>
        <w:autoSpaceDN w:val="0"/>
        <w:adjustRightInd w:val="0"/>
      </w:pPr>
      <w:r>
        <w:t xml:space="preserve">и реда за създаване, поддържане, достъп и ползване на Интегрираната </w:t>
      </w:r>
    </w:p>
    <w:p w:rsidR="005E7E95" w:rsidRDefault="005E7E95">
      <w:pPr>
        <w:autoSpaceDE w:val="0"/>
        <w:autoSpaceDN w:val="0"/>
        <w:adjustRightInd w:val="0"/>
      </w:pPr>
      <w:r>
        <w:t>система за администриране и контрол</w:t>
      </w:r>
    </w:p>
    <w:p w:rsidR="005E7E95" w:rsidRDefault="005E7E95">
      <w:pPr>
        <w:autoSpaceDE w:val="0"/>
        <w:autoSpaceDN w:val="0"/>
        <w:adjustRightInd w:val="0"/>
      </w:pPr>
      <w:r>
        <w:t>(ДВ, бр. 24 от 2018 г., в сила от 16.03.2018 г.)</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 14. Навсякъде в наредбата думите "Министърът/министъра на земеделието и храните" и "Министерството на земеделието и храните" се заменят с "Министърът/министъра на земеделието, храните и горите" и "Министерството на земеделието, храните и горите".</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ЗАКЛЮЧИТЕЛНИ РАЗПОРЕДБИ</w:t>
      </w:r>
    </w:p>
    <w:p w:rsidR="005E7E95" w:rsidRDefault="005E7E95">
      <w:pPr>
        <w:autoSpaceDE w:val="0"/>
        <w:autoSpaceDN w:val="0"/>
        <w:adjustRightInd w:val="0"/>
      </w:pPr>
      <w:r>
        <w:t>към Наредбата за изменение и допълнение на Наредба № 105 от 2006 г.</w:t>
      </w:r>
    </w:p>
    <w:p w:rsidR="005E7E95" w:rsidRDefault="005E7E95">
      <w:pPr>
        <w:autoSpaceDE w:val="0"/>
        <w:autoSpaceDN w:val="0"/>
        <w:adjustRightInd w:val="0"/>
      </w:pPr>
      <w:r>
        <w:t xml:space="preserve">за условията и реда за създаване, поддържане, достъп и ползване на </w:t>
      </w:r>
    </w:p>
    <w:p w:rsidR="005E7E95" w:rsidRDefault="005E7E95">
      <w:pPr>
        <w:autoSpaceDE w:val="0"/>
        <w:autoSpaceDN w:val="0"/>
        <w:adjustRightInd w:val="0"/>
      </w:pPr>
      <w:r>
        <w:t xml:space="preserve">Интегрираната система за администриране и контрол </w:t>
      </w:r>
    </w:p>
    <w:p w:rsidR="005E7E95" w:rsidRDefault="005E7E95">
      <w:pPr>
        <w:autoSpaceDE w:val="0"/>
        <w:autoSpaceDN w:val="0"/>
        <w:adjustRightInd w:val="0"/>
      </w:pPr>
      <w:r>
        <w:t>(ДВ, бр. 11 от 2021 г., в сила от 9.02.2021 г.)</w:t>
      </w:r>
    </w:p>
    <w:p w:rsidR="005E7E95" w:rsidRDefault="005E7E95">
      <w:pPr>
        <w:autoSpaceDE w:val="0"/>
        <w:autoSpaceDN w:val="0"/>
        <w:adjustRightInd w:val="0"/>
        <w:spacing w:before="120"/>
        <w:ind w:firstLine="990"/>
      </w:pPr>
      <w:r>
        <w:t>........................................................................................................................................</w:t>
      </w:r>
    </w:p>
    <w:p w:rsidR="005E7E95" w:rsidRDefault="005E7E95">
      <w:pPr>
        <w:autoSpaceDE w:val="0"/>
        <w:autoSpaceDN w:val="0"/>
        <w:adjustRightInd w:val="0"/>
      </w:pPr>
      <w:r>
        <w:t>§ 13. Наредбата влиза в сила от деня на обнародването й в "Държавен вестник" с изключение на § 11, който влиза в сила от кампания 2021.</w:t>
      </w:r>
    </w:p>
    <w:p w:rsidR="005E7E95" w:rsidRDefault="005E7E95">
      <w:pPr>
        <w:autoSpaceDE w:val="0"/>
        <w:autoSpaceDN w:val="0"/>
        <w:adjustRightInd w:val="0"/>
        <w:spacing w:before="120"/>
        <w:ind w:firstLine="990"/>
      </w:pPr>
      <w:r>
        <w:t xml:space="preserve">НАРЕДБА </w:t>
      </w:r>
    </w:p>
    <w:p w:rsidR="005E7E95" w:rsidRDefault="005E7E95">
      <w:pPr>
        <w:autoSpaceDE w:val="0"/>
        <w:autoSpaceDN w:val="0"/>
        <w:adjustRightInd w:val="0"/>
      </w:pPr>
      <w:r>
        <w:t>за изменение и допълнение на Наредба № 105 от 2006 г.</w:t>
      </w:r>
    </w:p>
    <w:p w:rsidR="005E7E95" w:rsidRDefault="005E7E95">
      <w:pPr>
        <w:autoSpaceDE w:val="0"/>
        <w:autoSpaceDN w:val="0"/>
        <w:adjustRightInd w:val="0"/>
      </w:pPr>
      <w:r>
        <w:t xml:space="preserve">за условията и реда за създаване, поддържане, достъп </w:t>
      </w:r>
    </w:p>
    <w:p w:rsidR="005E7E95" w:rsidRDefault="005E7E95">
      <w:pPr>
        <w:autoSpaceDE w:val="0"/>
        <w:autoSpaceDN w:val="0"/>
        <w:adjustRightInd w:val="0"/>
      </w:pPr>
      <w:r>
        <w:t xml:space="preserve">и ползване на Интегрираната система за администриране и контрол </w:t>
      </w:r>
    </w:p>
    <w:p w:rsidR="005E7E95" w:rsidRDefault="005E7E95">
      <w:pPr>
        <w:autoSpaceDE w:val="0"/>
        <w:autoSpaceDN w:val="0"/>
        <w:adjustRightInd w:val="0"/>
      </w:pPr>
      <w:r>
        <w:t>(ДВ, бр. 62 от 2023 г., в сила от 21.07.2023 г.)</w:t>
      </w:r>
    </w:p>
    <w:p w:rsidR="005E7E95" w:rsidRDefault="005E7E95">
      <w:pPr>
        <w:autoSpaceDE w:val="0"/>
        <w:autoSpaceDN w:val="0"/>
        <w:adjustRightInd w:val="0"/>
        <w:spacing w:before="120"/>
        <w:ind w:firstLine="990"/>
      </w:pPr>
      <w:r>
        <w:t>............................................................................................................</w:t>
      </w:r>
    </w:p>
    <w:p w:rsidR="005E7E95" w:rsidRDefault="005E7E95">
      <w:pPr>
        <w:autoSpaceDE w:val="0"/>
        <w:autoSpaceDN w:val="0"/>
        <w:adjustRightInd w:val="0"/>
      </w:pPr>
      <w:r>
        <w:t>§ 40. В останалите текстове на наредбата думите "Министерството на земеделието, храните и горите", "министърът на земеделието, храните и горите", "министъра на земеделието, храните и горите" се заменят съответно с "Министерството на земеделието и храните", "министърът на земеделието и храните" и "министъра на земеделието и храните".</w:t>
      </w:r>
    </w:p>
    <w:p w:rsidR="005E7E95" w:rsidRDefault="005E7E95">
      <w:pPr>
        <w:autoSpaceDE w:val="0"/>
        <w:autoSpaceDN w:val="0"/>
        <w:adjustRightInd w:val="0"/>
        <w:spacing w:before="120"/>
        <w:ind w:firstLine="990"/>
      </w:pPr>
      <w:r>
        <w:t>ПРЕХОДНИ И ЗАКЛЮЧИТЕЛНИ РАЗПОРЕДБИ</w:t>
      </w:r>
    </w:p>
    <w:p w:rsidR="005E7E95" w:rsidRDefault="005E7E95">
      <w:pPr>
        <w:autoSpaceDE w:val="0"/>
        <w:autoSpaceDN w:val="0"/>
        <w:adjustRightInd w:val="0"/>
        <w:spacing w:before="120"/>
        <w:ind w:firstLine="990"/>
      </w:pPr>
      <w:r>
        <w:t>§ 41. (1) Започналите производства във връзка с подадените преди 1.01.2023 г. заявления за подпомагане се довършват по досегашния ред.</w:t>
      </w:r>
    </w:p>
    <w:p w:rsidR="005E7E95" w:rsidRDefault="005E7E95">
      <w:pPr>
        <w:autoSpaceDE w:val="0"/>
        <w:autoSpaceDN w:val="0"/>
        <w:adjustRightInd w:val="0"/>
      </w:pPr>
      <w:r>
        <w:t>(2) Член 8, ал. 1, т. 2, буква "ж" се прилага от 1.01.2025 г.</w:t>
      </w:r>
    </w:p>
    <w:p w:rsidR="005E7E95" w:rsidRDefault="005E7E95">
      <w:pPr>
        <w:autoSpaceDE w:val="0"/>
        <w:autoSpaceDN w:val="0"/>
        <w:adjustRightInd w:val="0"/>
        <w:spacing w:before="120"/>
        <w:ind w:firstLine="990"/>
      </w:pPr>
      <w:r>
        <w:t>............................................................................................................</w:t>
      </w:r>
    </w:p>
    <w:p w:rsidR="005E7E95" w:rsidRDefault="005E7E95">
      <w:pPr>
        <w:autoSpaceDE w:val="0"/>
        <w:autoSpaceDN w:val="0"/>
        <w:adjustRightInd w:val="0"/>
      </w:pPr>
      <w:r>
        <w:t>§ 43. За кампания 2023 г. системата за мониторинг на площ се прилага съгласно чл. 10 от Регламент за изпълнение (ЕС) 2022/1173 за:</w:t>
      </w:r>
    </w:p>
    <w:p w:rsidR="005E7E95" w:rsidRDefault="005E7E95">
      <w:pPr>
        <w:autoSpaceDE w:val="0"/>
        <w:autoSpaceDN w:val="0"/>
        <w:adjustRightInd w:val="0"/>
      </w:pPr>
      <w:r>
        <w:t>1. Обработваемите земи:</w:t>
      </w:r>
    </w:p>
    <w:p w:rsidR="005E7E95" w:rsidRDefault="005E7E95">
      <w:pPr>
        <w:autoSpaceDE w:val="0"/>
        <w:autoSpaceDN w:val="0"/>
        <w:adjustRightInd w:val="0"/>
      </w:pPr>
      <w:r>
        <w:lastRenderedPageBreak/>
        <w:t>а) поддържане на обработваема земя чрез почвена обработка или косене;</w:t>
      </w:r>
    </w:p>
    <w:p w:rsidR="005E7E95" w:rsidRDefault="005E7E95">
      <w:pPr>
        <w:autoSpaceDE w:val="0"/>
        <w:autoSpaceDN w:val="0"/>
        <w:adjustRightInd w:val="0"/>
      </w:pPr>
      <w:r>
        <w:t>б) извършване на селскостопанска дейност по отглеждане на култура.</w:t>
      </w:r>
    </w:p>
    <w:p w:rsidR="005E7E95" w:rsidRDefault="005E7E95">
      <w:pPr>
        <w:autoSpaceDE w:val="0"/>
        <w:autoSpaceDN w:val="0"/>
        <w:adjustRightInd w:val="0"/>
      </w:pPr>
      <w:r>
        <w:t xml:space="preserve">2. Трайните насаждения – поддържане на трайни насаждения. </w:t>
      </w:r>
    </w:p>
    <w:p w:rsidR="005E7E95" w:rsidRDefault="005E7E95">
      <w:pPr>
        <w:autoSpaceDE w:val="0"/>
        <w:autoSpaceDN w:val="0"/>
        <w:adjustRightInd w:val="0"/>
      </w:pPr>
      <w:r>
        <w:t>3. Постоянно затревените площи:</w:t>
      </w:r>
    </w:p>
    <w:p w:rsidR="005E7E95" w:rsidRDefault="005E7E95">
      <w:pPr>
        <w:autoSpaceDE w:val="0"/>
        <w:autoSpaceDN w:val="0"/>
        <w:adjustRightInd w:val="0"/>
      </w:pPr>
      <w:r>
        <w:t>а) поддържане чрез косене;</w:t>
      </w:r>
    </w:p>
    <w:p w:rsidR="005E7E95" w:rsidRDefault="005E7E95">
      <w:pPr>
        <w:autoSpaceDE w:val="0"/>
        <w:autoSpaceDN w:val="0"/>
        <w:adjustRightInd w:val="0"/>
      </w:pPr>
      <w:r>
        <w:t>б) поддържане чрез паша.</w:t>
      </w:r>
    </w:p>
    <w:p w:rsidR="005E7E95" w:rsidRDefault="005E7E95">
      <w:pPr>
        <w:autoSpaceDE w:val="0"/>
        <w:autoSpaceDN w:val="0"/>
        <w:adjustRightInd w:val="0"/>
      </w:pPr>
      <w:r>
        <w:t>4. Наличие на неподходящи за подпомагане площи:</w:t>
      </w:r>
    </w:p>
    <w:p w:rsidR="005E7E95" w:rsidRDefault="005E7E95">
      <w:pPr>
        <w:autoSpaceDE w:val="0"/>
        <w:autoSpaceDN w:val="0"/>
        <w:adjustRightInd w:val="0"/>
      </w:pPr>
      <w:r>
        <w:t>а) наводнени площи;</w:t>
      </w:r>
    </w:p>
    <w:p w:rsidR="005E7E95" w:rsidRDefault="005E7E95">
      <w:pPr>
        <w:autoSpaceDE w:val="0"/>
        <w:autoSpaceDN w:val="0"/>
        <w:adjustRightInd w:val="0"/>
      </w:pPr>
      <w:r>
        <w:t>б) храсти и горска растителност;</w:t>
      </w:r>
    </w:p>
    <w:p w:rsidR="005E7E95" w:rsidRDefault="005E7E95">
      <w:pPr>
        <w:autoSpaceDE w:val="0"/>
        <w:autoSpaceDN w:val="0"/>
        <w:adjustRightInd w:val="0"/>
      </w:pPr>
      <w:r>
        <w:t>в) опожарени площи;</w:t>
      </w:r>
    </w:p>
    <w:p w:rsidR="005E7E95" w:rsidRDefault="005E7E95">
      <w:pPr>
        <w:autoSpaceDE w:val="0"/>
        <w:autoSpaceDN w:val="0"/>
        <w:adjustRightInd w:val="0"/>
      </w:pPr>
      <w:r>
        <w:t>г) площи с постоянен характер.</w:t>
      </w:r>
    </w:p>
    <w:p w:rsidR="005E7E95" w:rsidRDefault="005E7E95">
      <w:pPr>
        <w:autoSpaceDE w:val="0"/>
        <w:autoSpaceDN w:val="0"/>
        <w:adjustRightInd w:val="0"/>
      </w:pPr>
      <w:r>
        <w:t>..............................................................................................................</w:t>
      </w:r>
    </w:p>
    <w:p w:rsidR="005E7E95" w:rsidRDefault="005E7E95">
      <w:pPr>
        <w:autoSpaceDE w:val="0"/>
        <w:autoSpaceDN w:val="0"/>
        <w:adjustRightInd w:val="0"/>
        <w:spacing w:before="120"/>
        <w:ind w:firstLine="990"/>
      </w:pPr>
      <w:r>
        <w:t>ПРЕХОДНИ И ЗАКЛЮЧИТЕЛНИ РАЗПОРЕДБИ</w:t>
      </w:r>
    </w:p>
    <w:p w:rsidR="005E7E95" w:rsidRDefault="005E7E95">
      <w:pPr>
        <w:autoSpaceDE w:val="0"/>
        <w:autoSpaceDN w:val="0"/>
        <w:adjustRightInd w:val="0"/>
      </w:pPr>
      <w:r>
        <w:t xml:space="preserve">към Наредбата за изменение и допълнение на Наредба № 3 от 2023 г. </w:t>
      </w:r>
    </w:p>
    <w:p w:rsidR="005E7E95" w:rsidRDefault="005E7E95">
      <w:pPr>
        <w:autoSpaceDE w:val="0"/>
        <w:autoSpaceDN w:val="0"/>
        <w:adjustRightInd w:val="0"/>
      </w:pPr>
      <w:r>
        <w:t xml:space="preserve">за условията и реда за прилагане на интервенциите под формата на </w:t>
      </w:r>
    </w:p>
    <w:p w:rsidR="005E7E95" w:rsidRDefault="005E7E95">
      <w:pPr>
        <w:autoSpaceDE w:val="0"/>
        <w:autoSpaceDN w:val="0"/>
        <w:adjustRightInd w:val="0"/>
      </w:pPr>
      <w:r>
        <w:t xml:space="preserve">директни плащания, включени в Стратегическия план, за проверките, </w:t>
      </w:r>
    </w:p>
    <w:p w:rsidR="005E7E95" w:rsidRDefault="005E7E95">
      <w:pPr>
        <w:autoSpaceDE w:val="0"/>
        <w:autoSpaceDN w:val="0"/>
        <w:adjustRightInd w:val="0"/>
      </w:pPr>
      <w:r>
        <w:t xml:space="preserve">намаления на плащанията и реда за налагане на административни санкции </w:t>
      </w:r>
    </w:p>
    <w:p w:rsidR="005E7E95" w:rsidRDefault="005E7E95">
      <w:pPr>
        <w:autoSpaceDE w:val="0"/>
        <w:autoSpaceDN w:val="0"/>
        <w:adjustRightInd w:val="0"/>
      </w:pPr>
      <w:r>
        <w:t>(ДВ, бр. 92 от 2024 г., в сила от 1.11.2024 г.)</w:t>
      </w:r>
    </w:p>
    <w:p w:rsidR="005E7E95" w:rsidRDefault="005E7E95">
      <w:pPr>
        <w:autoSpaceDE w:val="0"/>
        <w:autoSpaceDN w:val="0"/>
        <w:adjustRightInd w:val="0"/>
        <w:spacing w:before="120"/>
        <w:ind w:firstLine="990"/>
      </w:pPr>
      <w:r>
        <w:t xml:space="preserve">.............................................................................................................. </w:t>
      </w:r>
    </w:p>
    <w:p w:rsidR="005E7E95" w:rsidRDefault="005E7E95">
      <w:pPr>
        <w:autoSpaceDE w:val="0"/>
        <w:autoSpaceDN w:val="0"/>
        <w:adjustRightInd w:val="0"/>
      </w:pPr>
      <w:r>
        <w:t>§ 10. За кампания 2024 г. системата за мониторинг на площ по чл. 42 от Наредба № 105 от 2006 г. за условията и реда за създаване, поддържане, достъп и ползване на Интегрираната система за администриране и контрол (ДВ, бр. 82 от 2006 г.) се прилага съгласно чл. 10 от Регламент за изпълнение (ЕС) 2022/1173 за:</w:t>
      </w:r>
    </w:p>
    <w:p w:rsidR="005E7E95" w:rsidRDefault="005E7E95">
      <w:pPr>
        <w:autoSpaceDE w:val="0"/>
        <w:autoSpaceDN w:val="0"/>
        <w:adjustRightInd w:val="0"/>
      </w:pPr>
      <w:r>
        <w:t>1. Обработваемите земи:</w:t>
      </w:r>
    </w:p>
    <w:p w:rsidR="005E7E95" w:rsidRDefault="005E7E95">
      <w:pPr>
        <w:autoSpaceDE w:val="0"/>
        <w:autoSpaceDN w:val="0"/>
        <w:adjustRightInd w:val="0"/>
      </w:pPr>
      <w:r>
        <w:t>а) поддържане на обработваема земя чрез почвена обработка или косене;</w:t>
      </w:r>
    </w:p>
    <w:p w:rsidR="005E7E95" w:rsidRDefault="005E7E95">
      <w:pPr>
        <w:autoSpaceDE w:val="0"/>
        <w:autoSpaceDN w:val="0"/>
        <w:adjustRightInd w:val="0"/>
      </w:pPr>
      <w:r>
        <w:t>б) извършване на селскостопанска дейност по отглеждане на култура.</w:t>
      </w:r>
    </w:p>
    <w:p w:rsidR="005E7E95" w:rsidRDefault="005E7E95">
      <w:pPr>
        <w:autoSpaceDE w:val="0"/>
        <w:autoSpaceDN w:val="0"/>
        <w:adjustRightInd w:val="0"/>
      </w:pPr>
      <w:r>
        <w:t>2. Трайните насаждения – поддържане на трайни насаждения.</w:t>
      </w:r>
    </w:p>
    <w:p w:rsidR="005E7E95" w:rsidRDefault="005E7E95">
      <w:pPr>
        <w:autoSpaceDE w:val="0"/>
        <w:autoSpaceDN w:val="0"/>
        <w:adjustRightInd w:val="0"/>
      </w:pPr>
      <w:r>
        <w:t>3. Постоянно затревените площи:</w:t>
      </w:r>
    </w:p>
    <w:p w:rsidR="005E7E95" w:rsidRDefault="005E7E95">
      <w:pPr>
        <w:autoSpaceDE w:val="0"/>
        <w:autoSpaceDN w:val="0"/>
        <w:adjustRightInd w:val="0"/>
      </w:pPr>
      <w:r>
        <w:t>а) поддържане чрез косене;</w:t>
      </w:r>
    </w:p>
    <w:p w:rsidR="005E7E95" w:rsidRDefault="005E7E95">
      <w:pPr>
        <w:autoSpaceDE w:val="0"/>
        <w:autoSpaceDN w:val="0"/>
        <w:adjustRightInd w:val="0"/>
      </w:pPr>
      <w:r>
        <w:t>б) поддържане чрез паша;</w:t>
      </w:r>
    </w:p>
    <w:p w:rsidR="005E7E95" w:rsidRDefault="005E7E95">
      <w:pPr>
        <w:autoSpaceDE w:val="0"/>
        <w:autoSpaceDN w:val="0"/>
        <w:adjustRightInd w:val="0"/>
      </w:pPr>
      <w:r>
        <w:t>в) спазване на срокове за забрана за косене в зони Натура 2000.</w:t>
      </w:r>
    </w:p>
    <w:p w:rsidR="005E7E95" w:rsidRDefault="005E7E95">
      <w:pPr>
        <w:autoSpaceDE w:val="0"/>
        <w:autoSpaceDN w:val="0"/>
        <w:adjustRightInd w:val="0"/>
      </w:pPr>
      <w:r>
        <w:t>4. Наличие на неподходящи за подпомагане площи:</w:t>
      </w:r>
    </w:p>
    <w:p w:rsidR="005E7E95" w:rsidRDefault="005E7E95">
      <w:pPr>
        <w:autoSpaceDE w:val="0"/>
        <w:autoSpaceDN w:val="0"/>
        <w:adjustRightInd w:val="0"/>
      </w:pPr>
      <w:r>
        <w:t>а) наводнени площи;</w:t>
      </w:r>
    </w:p>
    <w:p w:rsidR="005E7E95" w:rsidRDefault="005E7E95">
      <w:pPr>
        <w:autoSpaceDE w:val="0"/>
        <w:autoSpaceDN w:val="0"/>
        <w:adjustRightInd w:val="0"/>
      </w:pPr>
      <w:r>
        <w:t>б) храсти и горска растителност;</w:t>
      </w:r>
    </w:p>
    <w:p w:rsidR="005E7E95" w:rsidRDefault="005E7E95">
      <w:pPr>
        <w:autoSpaceDE w:val="0"/>
        <w:autoSpaceDN w:val="0"/>
        <w:adjustRightInd w:val="0"/>
      </w:pPr>
      <w:r>
        <w:t>в) опожарени площи;</w:t>
      </w:r>
    </w:p>
    <w:p w:rsidR="005E7E95" w:rsidRDefault="005E7E95">
      <w:pPr>
        <w:autoSpaceDE w:val="0"/>
        <w:autoSpaceDN w:val="0"/>
        <w:adjustRightInd w:val="0"/>
      </w:pPr>
      <w:r>
        <w:t>г) площи с постоянен характер.</w:t>
      </w:r>
    </w:p>
    <w:p w:rsidR="005E7E95" w:rsidRDefault="005E7E95">
      <w:pPr>
        <w:autoSpaceDE w:val="0"/>
        <w:autoSpaceDN w:val="0"/>
        <w:adjustRightInd w:val="0"/>
      </w:pPr>
      <w:r>
        <w:t xml:space="preserve">5. Разораване на площи, декларирани като постоянно затревени. </w:t>
      </w:r>
    </w:p>
    <w:p w:rsidR="005E7E95" w:rsidRDefault="005E7E95">
      <w:pPr>
        <w:autoSpaceDE w:val="0"/>
        <w:autoSpaceDN w:val="0"/>
        <w:adjustRightInd w:val="0"/>
      </w:pPr>
      <w:r>
        <w:t>..............................................................................................................</w:t>
      </w:r>
    </w:p>
    <w:p w:rsidR="005E7E95" w:rsidRDefault="005E7E95">
      <w:pPr>
        <w:autoSpaceDE w:val="0"/>
        <w:autoSpaceDN w:val="0"/>
        <w:adjustRightInd w:val="0"/>
      </w:pPr>
      <w:r>
        <w:t xml:space="preserve">Приложение </w:t>
      </w:r>
      <w:r>
        <w:br/>
        <w:t>към чл. 13, ал. 4</w:t>
      </w:r>
      <w:r>
        <w:br/>
        <w:t xml:space="preserve">(Ново – ДВ, бр. 24 от 2018 г., </w:t>
      </w:r>
      <w:r>
        <w:br/>
        <w:t xml:space="preserve">в сила от 16.03.2018 г., </w:t>
      </w:r>
      <w:r>
        <w:br/>
        <w:t xml:space="preserve">изм., бр. 11 от 2021 г., </w:t>
      </w:r>
      <w:r>
        <w:br/>
        <w:t>в сила от кампания 2021)</w:t>
      </w:r>
    </w:p>
    <w:tbl>
      <w:tblPr>
        <w:tblW w:w="9609" w:type="dxa"/>
        <w:tblLayout w:type="fixed"/>
        <w:tblCellMar>
          <w:left w:w="0" w:type="dxa"/>
          <w:right w:w="0" w:type="dxa"/>
        </w:tblCellMar>
        <w:tblLook w:val="0600" w:firstRow="0" w:lastRow="0" w:firstColumn="0" w:lastColumn="0" w:noHBand="1" w:noVBand="1"/>
      </w:tblPr>
      <w:tblGrid>
        <w:gridCol w:w="1425"/>
        <w:gridCol w:w="2958"/>
        <w:gridCol w:w="5226"/>
      </w:tblGrid>
      <w:tr w:rsidR="005E7E95">
        <w:tblPrEx>
          <w:tblCellMar>
            <w:top w:w="0" w:type="dxa"/>
            <w:left w:w="0" w:type="dxa"/>
            <w:bottom w:w="0" w:type="dxa"/>
            <w:right w:w="0" w:type="dxa"/>
          </w:tblCellMar>
        </w:tblPrEx>
        <w:tc>
          <w:tcPr>
            <w:tcW w:w="9609"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Номенклатура на начина на трайно ползване на физическите блокове</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Код</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Абревиатура</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Наименование</w:t>
            </w:r>
          </w:p>
        </w:tc>
      </w:tr>
      <w:tr w:rsidR="005E7E95">
        <w:tblPrEx>
          <w:tblCellMar>
            <w:top w:w="0" w:type="dxa"/>
            <w:left w:w="0" w:type="dxa"/>
            <w:bottom w:w="0" w:type="dxa"/>
            <w:right w:w="0" w:type="dxa"/>
          </w:tblCellMar>
        </w:tblPrEx>
        <w:tc>
          <w:tcPr>
            <w:tcW w:w="9609"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ЗЕМЕДЕЛСКИ ТИП ЗЕМИ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010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ОЗ</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Обработваеми земи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011</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ОП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Оранжерийни площи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012</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О</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Оризища</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021</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ЛН</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Лозови насаждения</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lastRenderedPageBreak/>
              <w:t>022</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ОН</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Овощни насаждения</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023</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ДТН</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Други трайни насаждения</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031</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ДМ</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Дворни места</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040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ПМЛ</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Пасища, мери и ливади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050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СЗП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Cмесено земеползване</w:t>
            </w:r>
          </w:p>
        </w:tc>
      </w:tr>
      <w:tr w:rsidR="005E7E95">
        <w:tblPrEx>
          <w:tblCellMar>
            <w:top w:w="0" w:type="dxa"/>
            <w:left w:w="0" w:type="dxa"/>
            <w:bottom w:w="0" w:type="dxa"/>
            <w:right w:w="0" w:type="dxa"/>
          </w:tblCellMar>
        </w:tblPrEx>
        <w:tc>
          <w:tcPr>
            <w:tcW w:w="9609"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НЕЗЕМЕДЕЛСКИ ТИП ЗЕМИ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101</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ХЗТ</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Храсти и затревени територии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102</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ДОП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Дерета, оврази и промойни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103</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ППП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Полски пътища, прокари и просеки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200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ГТ</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Горски територии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300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ЗП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Застроени площи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303</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ЗОС</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Зони за спорт и отдих</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304</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ГП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Гробищни паркове</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305</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АО</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Археологически обекти, паметници, могили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307</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ЕКИ</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Енергийна и комуникационна инфраструктура</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400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ВП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Водни площи и влажни зони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401</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РРК</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Реки и речни корита</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403</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ВТС</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Воднотехнически съоръжения</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500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НТ</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Нарушени терени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600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ТИ</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Транспортна инфраструктура</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700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ГЕТ</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Голи и ерозирали терени</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702</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ОБР</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Области с бедна растителност</w:t>
            </w:r>
          </w:p>
        </w:tc>
      </w:tr>
      <w:tr w:rsidR="005E7E95">
        <w:tblPrEx>
          <w:tblCellMar>
            <w:top w:w="0" w:type="dxa"/>
            <w:left w:w="0" w:type="dxa"/>
            <w:bottom w:w="0" w:type="dxa"/>
            <w:right w:w="0" w:type="dxa"/>
          </w:tblCellMar>
        </w:tblPrEx>
        <w:tc>
          <w:tcPr>
            <w:tcW w:w="1425" w:type="dxa"/>
            <w:tcBorders>
              <w:top w:val="nil"/>
              <w:left w:val="single" w:sz="8" w:space="0" w:color="000000"/>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900</w:t>
            </w:r>
          </w:p>
        </w:tc>
        <w:tc>
          <w:tcPr>
            <w:tcW w:w="2958"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jc w:val="center"/>
            </w:pPr>
            <w:r>
              <w:t>НЗП</w:t>
            </w:r>
          </w:p>
        </w:tc>
        <w:tc>
          <w:tcPr>
            <w:tcW w:w="5226" w:type="dxa"/>
            <w:tcBorders>
              <w:top w:val="nil"/>
              <w:left w:val="nil"/>
              <w:bottom w:val="single" w:sz="8" w:space="0" w:color="000000"/>
              <w:right w:val="single" w:sz="8" w:space="0" w:color="000000"/>
            </w:tcBorders>
            <w:tcMar>
              <w:left w:w="108" w:type="dxa"/>
              <w:right w:w="108" w:type="dxa"/>
            </w:tcMar>
            <w:vAlign w:val="center"/>
          </w:tcPr>
          <w:p w:rsidR="005E7E95" w:rsidRDefault="005E7E95">
            <w:pPr>
              <w:autoSpaceDE w:val="0"/>
              <w:autoSpaceDN w:val="0"/>
              <w:adjustRightInd w:val="0"/>
            </w:pPr>
            <w:r>
              <w:t>Площ с друго (неземеделско) предназначение</w:t>
            </w:r>
          </w:p>
        </w:tc>
      </w:tr>
    </w:tbl>
    <w:p w:rsidR="005E7E95" w:rsidRDefault="005E7E95">
      <w:pPr>
        <w:autoSpaceDE w:val="0"/>
        <w:autoSpaceDN w:val="0"/>
        <w:adjustRightInd w:val="0"/>
      </w:pPr>
      <w:r>
        <w:t> </w:t>
      </w:r>
    </w:p>
    <w:sectPr w:rsidR="005E7E95" w:rsidSect="0044246B">
      <w:footerReference w:type="default" r:id="rId7"/>
      <w:pgSz w:w="11907" w:h="16839"/>
      <w:pgMar w:top="1134" w:right="1134" w:bottom="1134" w:left="1134" w:header="720" w:footer="182"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1D" w:rsidRDefault="00E40C1D">
      <w:pPr>
        <w:autoSpaceDE w:val="0"/>
        <w:autoSpaceDN w:val="0"/>
        <w:adjustRightInd w:val="0"/>
      </w:pPr>
      <w:r>
        <w:separator/>
      </w:r>
    </w:p>
  </w:endnote>
  <w:endnote w:type="continuationSeparator" w:id="0">
    <w:p w:rsidR="00E40C1D" w:rsidRDefault="00E40C1D">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600" w:firstRow="0" w:lastRow="0" w:firstColumn="0" w:lastColumn="0" w:noHBand="1" w:noVBand="1"/>
    </w:tblPr>
    <w:tblGrid>
      <w:gridCol w:w="518"/>
      <w:gridCol w:w="9091"/>
    </w:tblGrid>
    <w:tr w:rsidR="005E7E95">
      <w:tblPrEx>
        <w:tblCellMar>
          <w:top w:w="0" w:type="dxa"/>
          <w:left w:w="0" w:type="dxa"/>
          <w:bottom w:w="0" w:type="dxa"/>
          <w:right w:w="0" w:type="dxa"/>
        </w:tblCellMar>
      </w:tblPrEx>
      <w:trPr>
        <w:trHeight w:val="375"/>
      </w:trPr>
      <w:tc>
        <w:tcPr>
          <w:tcW w:w="518" w:type="dxa"/>
          <w:tcBorders>
            <w:top w:val="single" w:sz="6" w:space="0" w:color="BDBDBD"/>
            <w:left w:val="nil"/>
            <w:bottom w:val="nil"/>
            <w:right w:val="nil"/>
          </w:tcBorders>
          <w:vAlign w:val="center"/>
        </w:tcPr>
        <w:p w:rsidR="005E7E95" w:rsidRDefault="005E7E95">
          <w:pPr>
            <w:autoSpaceDE w:val="0"/>
            <w:autoSpaceDN w:val="0"/>
            <w:adjustRightInd w:val="0"/>
            <w:spacing w:before="75"/>
            <w:ind w:right="150"/>
            <w:rPr>
              <w:rFonts w:ascii="Verdana" w:hAnsi="Verdana"/>
              <w:color w:val="000000"/>
              <w:sz w:val="15"/>
              <w:u w:color="000000"/>
            </w:rPr>
          </w:pPr>
        </w:p>
      </w:tc>
      <w:tc>
        <w:tcPr>
          <w:tcW w:w="9091" w:type="dxa"/>
          <w:tcBorders>
            <w:top w:val="single" w:sz="6" w:space="0" w:color="BDBDBD"/>
            <w:left w:val="nil"/>
            <w:bottom w:val="nil"/>
            <w:right w:val="nil"/>
          </w:tcBorders>
          <w:vAlign w:val="center"/>
        </w:tcPr>
        <w:p w:rsidR="005E7E95" w:rsidRDefault="005E7E95">
          <w:pPr>
            <w:autoSpaceDE w:val="0"/>
            <w:autoSpaceDN w:val="0"/>
            <w:adjustRightInd w:val="0"/>
            <w:rPr>
              <w:rFonts w:ascii="Verdana" w:hAnsi="Verdana"/>
              <w:color w:val="000000"/>
              <w:sz w:val="18"/>
              <w:u w:color="000000"/>
            </w:rPr>
          </w:pPr>
        </w:p>
      </w:tc>
    </w:tr>
  </w:tbl>
  <w:p w:rsidR="005E7E95" w:rsidRDefault="005E7E95">
    <w:pPr>
      <w:autoSpaceDE w:val="0"/>
      <w:autoSpaceDN w:val="0"/>
      <w:adjustRightInd w:val="0"/>
      <w:jc w:val="right"/>
    </w:pPr>
    <w:r>
      <w:rPr>
        <w:rFonts w:ascii="Verdana" w:hAnsi="Verdana"/>
        <w:sz w:val="20"/>
      </w:rPr>
      <w:t xml:space="preserve">стр. </w:t>
    </w:r>
    <w:r>
      <w:rPr>
        <w:rFonts w:ascii="Verdana" w:hAnsi="Verdana"/>
        <w:sz w:val="20"/>
      </w:rPr>
      <w:fldChar w:fldCharType="begin"/>
    </w:r>
    <w:r>
      <w:rPr>
        <w:rFonts w:ascii="Verdana" w:hAnsi="Verdana"/>
        <w:sz w:val="20"/>
      </w:rPr>
      <w:instrText xml:space="preserve">PAGE </w:instrText>
    </w:r>
    <w:r>
      <w:rPr>
        <w:rFonts w:ascii="Verdana" w:hAnsi="Verdana"/>
        <w:sz w:val="20"/>
      </w:rPr>
      <w:fldChar w:fldCharType="separate"/>
    </w:r>
    <w:r w:rsidR="00A52CC1">
      <w:rPr>
        <w:rFonts w:ascii="Verdana" w:hAnsi="Verdana"/>
        <w:noProof/>
        <w:sz w:val="20"/>
      </w:rPr>
      <w:t>2</w:t>
    </w:r>
    <w:r>
      <w:rPr>
        <w:rFonts w:ascii="Verdana" w:hAnsi="Verdana"/>
        <w:sz w:val="20"/>
      </w:rPr>
      <w:fldChar w:fldCharType="end"/>
    </w:r>
    <w:r>
      <w:rPr>
        <w:rFonts w:ascii="Verdana" w:hAnsi="Verdana"/>
        <w:sz w:val="20"/>
      </w:rPr>
      <w:t xml:space="preserve"> от </w:t>
    </w:r>
    <w:r>
      <w:rPr>
        <w:rFonts w:ascii="Verdana" w:hAnsi="Verdana"/>
        <w:sz w:val="20"/>
      </w:rPr>
      <w:fldChar w:fldCharType="begin"/>
    </w:r>
    <w:r>
      <w:rPr>
        <w:rFonts w:ascii="Verdana" w:hAnsi="Verdana"/>
        <w:sz w:val="20"/>
      </w:rPr>
      <w:instrText xml:space="preserve">NUMPAGES </w:instrText>
    </w:r>
    <w:r>
      <w:rPr>
        <w:rFonts w:ascii="Verdana" w:hAnsi="Verdana"/>
        <w:sz w:val="20"/>
      </w:rPr>
      <w:fldChar w:fldCharType="separate"/>
    </w:r>
    <w:r w:rsidR="00A52CC1">
      <w:rPr>
        <w:rFonts w:ascii="Verdana" w:hAnsi="Verdana"/>
        <w:noProof/>
        <w:sz w:val="20"/>
      </w:rPr>
      <w:t>25</w:t>
    </w:r>
    <w:r>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1D" w:rsidRDefault="00E40C1D">
      <w:pPr>
        <w:autoSpaceDE w:val="0"/>
        <w:autoSpaceDN w:val="0"/>
        <w:adjustRightInd w:val="0"/>
      </w:pPr>
      <w:r>
        <w:separator/>
      </w:r>
    </w:p>
  </w:footnote>
  <w:footnote w:type="continuationSeparator" w:id="0">
    <w:p w:rsidR="00E40C1D" w:rsidRDefault="00E40C1D">
      <w:pPr>
        <w:autoSpaceDE w:val="0"/>
        <w:autoSpaceDN w:val="0"/>
        <w:adjustRightInd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6B"/>
    <w:rsid w:val="0044246B"/>
    <w:rsid w:val="005E7E95"/>
    <w:rsid w:val="00A52CC1"/>
    <w:rsid w:val="00E4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02A827-0247-4BCC-AE7A-1EC1E783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autoSpaceDE w:val="0"/>
      <w:autoSpaceDN w:val="0"/>
      <w:adjustRightInd w:val="0"/>
      <w:outlineLvl w:val="0"/>
    </w:pPr>
  </w:style>
  <w:style w:type="paragraph" w:styleId="Heading2">
    <w:name w:val="heading 2"/>
    <w:basedOn w:val="Normal"/>
    <w:next w:val="Normal"/>
    <w:link w:val="Heading2Char"/>
    <w:uiPriority w:val="99"/>
    <w:qFormat/>
    <w:pPr>
      <w:autoSpaceDE w:val="0"/>
      <w:autoSpaceDN w:val="0"/>
      <w:adjustRightInd w:val="0"/>
      <w:outlineLvl w:val="1"/>
    </w:pPr>
  </w:style>
  <w:style w:type="paragraph" w:styleId="Heading3">
    <w:name w:val="heading 3"/>
    <w:basedOn w:val="Normal"/>
    <w:next w:val="Normal"/>
    <w:link w:val="Heading3Char"/>
    <w:uiPriority w:val="99"/>
    <w:qFormat/>
    <w:pPr>
      <w:autoSpaceDE w:val="0"/>
      <w:autoSpaceDN w:val="0"/>
      <w:adjustRightInd w:val="0"/>
      <w:outlineLvl w:val="2"/>
    </w:pPr>
  </w:style>
  <w:style w:type="paragraph" w:styleId="Heading4">
    <w:name w:val="heading 4"/>
    <w:basedOn w:val="Normal"/>
    <w:next w:val="Normal"/>
    <w:link w:val="Heading4Char"/>
    <w:uiPriority w:val="99"/>
    <w:qFormat/>
    <w:pPr>
      <w:autoSpaceDE w:val="0"/>
      <w:autoSpaceDN w:val="0"/>
      <w:adjustRightInd w:val="0"/>
      <w:outlineLvl w:val="3"/>
    </w:pPr>
  </w:style>
  <w:style w:type="paragraph" w:styleId="Heading5">
    <w:name w:val="heading 5"/>
    <w:basedOn w:val="Normal"/>
    <w:next w:val="Normal"/>
    <w:link w:val="Heading5Char"/>
    <w:uiPriority w:val="99"/>
    <w:qFormat/>
    <w:pPr>
      <w:autoSpaceDE w:val="0"/>
      <w:autoSpaceDN w:val="0"/>
      <w:adjustRightInd w:val="0"/>
      <w:outlineLvl w:val="4"/>
    </w:pPr>
  </w:style>
  <w:style w:type="paragraph" w:styleId="Heading6">
    <w:name w:val="heading 6"/>
    <w:basedOn w:val="Normal"/>
    <w:next w:val="Normal"/>
    <w:link w:val="Heading6Char"/>
    <w:uiPriority w:val="99"/>
    <w:qFormat/>
    <w:pPr>
      <w:autoSpaceDE w:val="0"/>
      <w:autoSpaceDN w:val="0"/>
      <w:adjustRightInd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heading11">
    <w:name w:val="heading 11"/>
    <w:uiPriority w:val="99"/>
    <w:pPr>
      <w:autoSpaceDE w:val="0"/>
      <w:autoSpaceDN w:val="0"/>
      <w:adjustRightInd w:val="0"/>
    </w:pPr>
  </w:style>
  <w:style w:type="paragraph" w:customStyle="1" w:styleId="heading21">
    <w:name w:val="heading 21"/>
    <w:uiPriority w:val="99"/>
    <w:pPr>
      <w:autoSpaceDE w:val="0"/>
      <w:autoSpaceDN w:val="0"/>
      <w:adjustRightInd w:val="0"/>
    </w:pPr>
  </w:style>
  <w:style w:type="paragraph" w:customStyle="1" w:styleId="heading31">
    <w:name w:val="heading 31"/>
    <w:uiPriority w:val="99"/>
    <w:pPr>
      <w:autoSpaceDE w:val="0"/>
      <w:autoSpaceDN w:val="0"/>
      <w:adjustRightInd w:val="0"/>
    </w:pPr>
  </w:style>
  <w:style w:type="paragraph" w:customStyle="1" w:styleId="heading41">
    <w:name w:val="heading 41"/>
    <w:uiPriority w:val="99"/>
    <w:pPr>
      <w:autoSpaceDE w:val="0"/>
      <w:autoSpaceDN w:val="0"/>
      <w:adjustRightInd w:val="0"/>
    </w:pPr>
  </w:style>
  <w:style w:type="paragraph" w:customStyle="1" w:styleId="heading51">
    <w:name w:val="heading 51"/>
    <w:uiPriority w:val="99"/>
    <w:pPr>
      <w:autoSpaceDE w:val="0"/>
      <w:autoSpaceDN w:val="0"/>
      <w:adjustRightInd w:val="0"/>
    </w:pPr>
  </w:style>
  <w:style w:type="paragraph" w:customStyle="1" w:styleId="heading61">
    <w:name w:val="heading 61"/>
    <w:uiPriority w:val="99"/>
    <w:pPr>
      <w:autoSpaceDE w:val="0"/>
      <w:autoSpaceDN w:val="0"/>
      <w:adjustRightInd w:val="0"/>
    </w:pPr>
  </w:style>
  <w:style w:type="paragraph" w:styleId="Header">
    <w:name w:val="header"/>
    <w:basedOn w:val="Normal"/>
    <w:link w:val="HeaderChar"/>
    <w:uiPriority w:val="99"/>
    <w:unhideWhenUsed/>
    <w:rsid w:val="0044246B"/>
    <w:pPr>
      <w:tabs>
        <w:tab w:val="center" w:pos="4703"/>
        <w:tab w:val="right" w:pos="9406"/>
      </w:tabs>
    </w:pPr>
  </w:style>
  <w:style w:type="character" w:customStyle="1" w:styleId="HeaderChar">
    <w:name w:val="Header Char"/>
    <w:basedOn w:val="DefaultParagraphFont"/>
    <w:link w:val="Header"/>
    <w:uiPriority w:val="99"/>
    <w:locked/>
    <w:rsid w:val="0044246B"/>
    <w:rPr>
      <w:rFonts w:cs="Times New Roman"/>
    </w:rPr>
  </w:style>
  <w:style w:type="paragraph" w:styleId="Footer">
    <w:name w:val="footer"/>
    <w:basedOn w:val="Normal"/>
    <w:link w:val="FooterChar"/>
    <w:uiPriority w:val="99"/>
    <w:unhideWhenUsed/>
    <w:rsid w:val="0044246B"/>
    <w:pPr>
      <w:tabs>
        <w:tab w:val="center" w:pos="4703"/>
        <w:tab w:val="right" w:pos="9406"/>
      </w:tabs>
    </w:pPr>
  </w:style>
  <w:style w:type="character" w:customStyle="1" w:styleId="FooterChar">
    <w:name w:val="Footer Char"/>
    <w:basedOn w:val="DefaultParagraphFont"/>
    <w:link w:val="Footer"/>
    <w:uiPriority w:val="99"/>
    <w:locked/>
    <w:rsid w:val="004424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12010</Words>
  <Characters>68460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Created by the \'abHTML to RTF .Net\'bb 7.4.4.30</dc:description>
  <cp:lastModifiedBy>User</cp:lastModifiedBy>
  <cp:revision>3</cp:revision>
  <dcterms:created xsi:type="dcterms:W3CDTF">2025-03-12T08:15:00Z</dcterms:created>
  <dcterms:modified xsi:type="dcterms:W3CDTF">2025-03-12T08:15:00Z</dcterms:modified>
</cp:coreProperties>
</file>