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05D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6 </w:t>
      </w:r>
      <w:r>
        <w:rPr>
          <w:b/>
          <w:sz w:val="36"/>
        </w:rPr>
        <w:t>от</w:t>
      </w:r>
      <w:r>
        <w:rPr>
          <w:b/>
          <w:sz w:val="36"/>
        </w:rPr>
        <w:t xml:space="preserve"> 30.05.2023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интервенцията</w:t>
      </w:r>
      <w:r>
        <w:rPr>
          <w:b/>
          <w:sz w:val="36"/>
        </w:rPr>
        <w:t xml:space="preserve"> "</w:t>
      </w:r>
      <w:r>
        <w:rPr>
          <w:b/>
          <w:sz w:val="36"/>
        </w:rPr>
        <w:t>Плащания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зони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Натура</w:t>
      </w:r>
      <w:r>
        <w:rPr>
          <w:b/>
          <w:sz w:val="36"/>
        </w:rPr>
        <w:t xml:space="preserve"> 2000", </w:t>
      </w:r>
      <w:r>
        <w:rPr>
          <w:b/>
          <w:sz w:val="36"/>
        </w:rPr>
        <w:t>включена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Стратегическия</w:t>
      </w:r>
      <w:r>
        <w:rPr>
          <w:b/>
          <w:sz w:val="36"/>
        </w:rPr>
        <w:t xml:space="preserve"> </w:t>
      </w:r>
      <w:r>
        <w:rPr>
          <w:b/>
          <w:sz w:val="36"/>
        </w:rPr>
        <w:t>план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развитие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земеделието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Република</w:t>
      </w:r>
      <w:r>
        <w:rPr>
          <w:b/>
          <w:sz w:val="36"/>
        </w:rPr>
        <w:t xml:space="preserve"> </w:t>
      </w:r>
      <w:r>
        <w:rPr>
          <w:b/>
          <w:sz w:val="36"/>
        </w:rPr>
        <w:t>България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периода</w:t>
      </w:r>
      <w:r>
        <w:rPr>
          <w:b/>
          <w:sz w:val="36"/>
        </w:rPr>
        <w:t xml:space="preserve"> 2023 </w:t>
      </w:r>
      <w:r>
        <w:rPr>
          <w:b/>
          <w:sz w:val="36"/>
        </w:rPr>
        <w:t>–</w:t>
      </w:r>
      <w:r>
        <w:rPr>
          <w:b/>
          <w:sz w:val="36"/>
        </w:rPr>
        <w:t xml:space="preserve"> 2027 </w:t>
      </w:r>
      <w:r>
        <w:rPr>
          <w:b/>
          <w:sz w:val="36"/>
        </w:rPr>
        <w:t>г</w:t>
      </w:r>
      <w:r>
        <w:rPr>
          <w:b/>
          <w:sz w:val="36"/>
        </w:rPr>
        <w:t>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, o</w:t>
      </w:r>
      <w:r>
        <w:rPr>
          <w:lang w:val="en-US"/>
        </w:rPr>
        <w:t>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2.06.2023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2.06.2023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605D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2000", </w:t>
      </w:r>
      <w:r>
        <w:rPr>
          <w:lang w:val="en-US"/>
        </w:rPr>
        <w:t>включена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2023 </w:t>
      </w:r>
      <w:r>
        <w:rPr>
          <w:lang w:val="en-US"/>
        </w:rPr>
        <w:t>–</w:t>
      </w:r>
      <w:r>
        <w:rPr>
          <w:lang w:val="en-US"/>
        </w:rPr>
        <w:t xml:space="preserve"> 2027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</w:t>
      </w:r>
      <w:r>
        <w:rPr>
          <w:lang w:val="en-US"/>
        </w:rPr>
        <w:t>ататък</w:t>
      </w:r>
      <w:r>
        <w:rPr>
          <w:lang w:val="en-US"/>
        </w:rPr>
        <w:t xml:space="preserve"> "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",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 xml:space="preserve">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еделието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 (</w:t>
      </w:r>
      <w:r>
        <w:rPr>
          <w:lang w:val="en-US"/>
        </w:rPr>
        <w:t>ЗБР</w:t>
      </w:r>
      <w:r>
        <w:rPr>
          <w:lang w:val="en-US"/>
        </w:rPr>
        <w:t xml:space="preserve">),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зареждат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. 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одина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ЗБР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(1)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изготвени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(</w:t>
      </w:r>
      <w:r>
        <w:rPr>
          <w:lang w:val="en-US"/>
        </w:rPr>
        <w:t>ЕФГЗ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</w:t>
      </w:r>
      <w:r>
        <w:rPr>
          <w:lang w:val="en-US"/>
        </w:rPr>
        <w:t>Р</w:t>
      </w:r>
      <w:r>
        <w:rPr>
          <w:lang w:val="en-US"/>
        </w:rPr>
        <w:t xml:space="preserve">),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(</w:t>
      </w:r>
      <w:r>
        <w:rPr>
          <w:lang w:val="en-US"/>
        </w:rPr>
        <w:t>ОВ</w:t>
      </w:r>
      <w:r>
        <w:rPr>
          <w:lang w:val="en-US"/>
        </w:rPr>
        <w:t xml:space="preserve">, L 435/1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2021/2115";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>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(</w:t>
      </w:r>
      <w:r>
        <w:rPr>
          <w:lang w:val="en-US"/>
        </w:rPr>
        <w:t>ОВ</w:t>
      </w:r>
      <w:r>
        <w:rPr>
          <w:lang w:val="en-US"/>
        </w:rPr>
        <w:t xml:space="preserve">, L 435/187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2021/2116";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2022/126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декем</w:t>
      </w:r>
      <w:r>
        <w:rPr>
          <w:lang w:val="en-US"/>
        </w:rPr>
        <w:t>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2023 </w:t>
      </w:r>
      <w:r>
        <w:rPr>
          <w:lang w:val="en-US"/>
        </w:rPr>
        <w:t>–</w:t>
      </w:r>
      <w:r>
        <w:rPr>
          <w:lang w:val="en-US"/>
        </w:rPr>
        <w:t xml:space="preserve"> 2027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съглас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със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20/52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2022/127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</w:t>
      </w:r>
      <w:r>
        <w:rPr>
          <w:lang w:val="en-US"/>
        </w:rPr>
        <w:t>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уравняването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сметките</w:t>
      </w:r>
      <w:r>
        <w:rPr>
          <w:lang w:val="en-US"/>
        </w:rPr>
        <w:t xml:space="preserve">, </w:t>
      </w:r>
      <w:r>
        <w:rPr>
          <w:lang w:val="en-US"/>
        </w:rPr>
        <w:t>обезпеченията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еврото</w:t>
      </w:r>
      <w:r>
        <w:rPr>
          <w:lang w:val="en-US"/>
        </w:rPr>
        <w:t xml:space="preserve"> (OB, L 20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2022/128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уравняв</w:t>
      </w:r>
      <w:r>
        <w:rPr>
          <w:lang w:val="en-US"/>
        </w:rPr>
        <w:t>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сметките</w:t>
      </w:r>
      <w:r>
        <w:rPr>
          <w:lang w:val="en-US"/>
        </w:rPr>
        <w:t xml:space="preserve">,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обезпеченията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прозрачността</w:t>
      </w:r>
      <w:r>
        <w:rPr>
          <w:lang w:val="en-US"/>
        </w:rPr>
        <w:t xml:space="preserve"> (OB, L 20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2022/1172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май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183/12 </w:t>
      </w:r>
      <w:r>
        <w:rPr>
          <w:lang w:val="en-US"/>
        </w:rPr>
        <w:t>от</w:t>
      </w:r>
      <w:r>
        <w:rPr>
          <w:lang w:val="en-US"/>
        </w:rPr>
        <w:t xml:space="preserve"> 8 </w:t>
      </w:r>
      <w:r>
        <w:rPr>
          <w:lang w:val="en-US"/>
        </w:rPr>
        <w:t>юли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</w:t>
      </w:r>
      <w:r>
        <w:rPr>
          <w:lang w:val="en-US"/>
        </w:rPr>
        <w:t xml:space="preserve"> 2022/1173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>, L 18</w:t>
      </w:r>
      <w:r>
        <w:rPr>
          <w:lang w:val="en-US"/>
        </w:rPr>
        <w:t xml:space="preserve">3/23 </w:t>
      </w:r>
      <w:r>
        <w:rPr>
          <w:lang w:val="en-US"/>
        </w:rPr>
        <w:t>от</w:t>
      </w:r>
      <w:r>
        <w:rPr>
          <w:lang w:val="en-US"/>
        </w:rPr>
        <w:t xml:space="preserve"> 8 </w:t>
      </w:r>
      <w:r>
        <w:rPr>
          <w:lang w:val="en-US"/>
        </w:rPr>
        <w:t>юли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2022/1475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септември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(OB, L 232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септември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2023/130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януари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(OB, L 17 </w:t>
      </w:r>
      <w:r>
        <w:rPr>
          <w:lang w:val="en-US"/>
        </w:rPr>
        <w:t>от</w:t>
      </w:r>
      <w:r>
        <w:rPr>
          <w:lang w:val="en-US"/>
        </w:rPr>
        <w:t xml:space="preserve"> 19 </w:t>
      </w:r>
      <w:r>
        <w:rPr>
          <w:lang w:val="en-US"/>
        </w:rPr>
        <w:t>януари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Директива</w:t>
      </w:r>
      <w:r>
        <w:rPr>
          <w:lang w:val="en-US"/>
        </w:rPr>
        <w:t xml:space="preserve"> 92/43/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май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естествените</w:t>
      </w:r>
      <w:r>
        <w:rPr>
          <w:lang w:val="en-US"/>
        </w:rPr>
        <w:t xml:space="preserve"> </w:t>
      </w:r>
      <w:r>
        <w:rPr>
          <w:lang w:val="en-US"/>
        </w:rPr>
        <w:t>местообитан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дивата</w:t>
      </w:r>
      <w:r>
        <w:rPr>
          <w:lang w:val="en-US"/>
        </w:rPr>
        <w:t xml:space="preserve"> </w:t>
      </w:r>
      <w:r>
        <w:rPr>
          <w:lang w:val="en-US"/>
        </w:rPr>
        <w:t>флора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фауна</w:t>
      </w:r>
      <w:r>
        <w:rPr>
          <w:lang w:val="en-US"/>
        </w:rPr>
        <w:t xml:space="preserve"> (OB, L 206 </w:t>
      </w:r>
      <w:r>
        <w:rPr>
          <w:lang w:val="en-US"/>
        </w:rPr>
        <w:t>от</w:t>
      </w:r>
      <w:r>
        <w:rPr>
          <w:lang w:val="en-US"/>
        </w:rPr>
        <w:t xml:space="preserve"> 22 </w:t>
      </w:r>
      <w:r>
        <w:rPr>
          <w:lang w:val="en-US"/>
        </w:rPr>
        <w:t>юли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Директива</w:t>
      </w:r>
      <w:r>
        <w:rPr>
          <w:lang w:val="en-US"/>
        </w:rPr>
        <w:t xml:space="preserve"> 92/43/</w:t>
      </w:r>
      <w:r>
        <w:rPr>
          <w:lang w:val="en-US"/>
        </w:rPr>
        <w:t>ЕИО</w:t>
      </w:r>
      <w:r>
        <w:rPr>
          <w:lang w:val="en-US"/>
        </w:rPr>
        <w:t>";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Директива</w:t>
      </w:r>
      <w:r>
        <w:rPr>
          <w:lang w:val="en-US"/>
        </w:rPr>
        <w:t xml:space="preserve"> 2009/147/</w:t>
      </w:r>
      <w:r>
        <w:rPr>
          <w:lang w:val="en-US"/>
        </w:rPr>
        <w:t>ЕО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дивите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 (OB, L 20 </w:t>
      </w:r>
      <w:r>
        <w:rPr>
          <w:lang w:val="en-US"/>
        </w:rPr>
        <w:t>от</w:t>
      </w:r>
      <w:r>
        <w:rPr>
          <w:lang w:val="en-US"/>
        </w:rPr>
        <w:t xml:space="preserve"> 26 </w:t>
      </w:r>
      <w:r>
        <w:rPr>
          <w:lang w:val="en-US"/>
        </w:rPr>
        <w:t>януари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Директива</w:t>
      </w:r>
      <w:r>
        <w:rPr>
          <w:lang w:val="en-US"/>
        </w:rPr>
        <w:t xml:space="preserve"> 2009/147/</w:t>
      </w:r>
      <w:r>
        <w:rPr>
          <w:lang w:val="en-US"/>
        </w:rPr>
        <w:t>ЕО</w:t>
      </w:r>
      <w:r>
        <w:rPr>
          <w:lang w:val="en-US"/>
        </w:rPr>
        <w:t xml:space="preserve">"; 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13.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рамка</w:t>
      </w:r>
      <w:r>
        <w:rPr>
          <w:lang w:val="en-US"/>
        </w:rPr>
        <w:t xml:space="preserve"> </w:t>
      </w:r>
      <w:r>
        <w:rPr>
          <w:lang w:val="en-US"/>
        </w:rPr>
        <w:t>з</w:t>
      </w:r>
      <w:bookmarkStart w:id="0" w:name="_GoBack"/>
      <w:bookmarkEnd w:id="0"/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приоритетни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програмния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2021 </w:t>
      </w:r>
      <w:r>
        <w:rPr>
          <w:lang w:val="en-US"/>
        </w:rPr>
        <w:t>–</w:t>
      </w:r>
      <w:r>
        <w:rPr>
          <w:lang w:val="en-US"/>
        </w:rPr>
        <w:t xml:space="preserve"> 2027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</w:t>
      </w:r>
      <w:r>
        <w:rPr>
          <w:lang w:val="en-US"/>
        </w:rPr>
        <w:t>.</w:t>
      </w:r>
    </w:p>
    <w:p w:rsidR="00000000" w:rsidRDefault="001605D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ИНТЕРВЕНЦИЯТА</w:t>
      </w:r>
      <w:r>
        <w:rPr>
          <w:b/>
          <w:sz w:val="36"/>
        </w:rPr>
        <w:t xml:space="preserve"> "</w:t>
      </w:r>
      <w:r>
        <w:rPr>
          <w:b/>
          <w:sz w:val="36"/>
        </w:rPr>
        <w:t>ПЛАЩАНИЯ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ЗОНИ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НАТУРА</w:t>
      </w:r>
      <w:r>
        <w:rPr>
          <w:b/>
          <w:sz w:val="36"/>
        </w:rPr>
        <w:t xml:space="preserve"> 2000"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 xml:space="preserve">. (1)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предостав</w:t>
      </w:r>
      <w:r>
        <w:rPr>
          <w:lang w:val="en-US"/>
        </w:rPr>
        <w:t>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идентифициране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параграф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(1)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наложените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, </w:t>
      </w:r>
      <w:r>
        <w:rPr>
          <w:lang w:val="en-US"/>
        </w:rPr>
        <w:t>разписани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защитената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режимите</w:t>
      </w:r>
      <w:r>
        <w:rPr>
          <w:lang w:val="en-US"/>
        </w:rPr>
        <w:t xml:space="preserve">, </w:t>
      </w:r>
      <w:r>
        <w:rPr>
          <w:lang w:val="en-US"/>
        </w:rPr>
        <w:t>разписани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утвърдения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стопанисваните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кандидат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3.</w:t>
      </w:r>
    </w:p>
    <w:p w:rsidR="00000000" w:rsidRDefault="001605D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ФИНАНСОВИ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 xml:space="preserve">.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72,</w:t>
      </w:r>
      <w:r>
        <w:rPr>
          <w:lang w:val="en-US"/>
        </w:rPr>
        <w:t xml:space="preserve"> </w:t>
      </w:r>
      <w:r>
        <w:rPr>
          <w:lang w:val="en-US"/>
        </w:rPr>
        <w:t>параграф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 xml:space="preserve">.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публичност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прозрачност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настоящ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приложимото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правна</w:t>
      </w:r>
      <w:r>
        <w:rPr>
          <w:lang w:val="en-US"/>
        </w:rPr>
        <w:t xml:space="preserve"> </w:t>
      </w:r>
      <w:r>
        <w:rPr>
          <w:lang w:val="en-US"/>
        </w:rPr>
        <w:t>уредба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</w:t>
      </w:r>
      <w:r>
        <w:rPr>
          <w:lang w:val="en-US"/>
        </w:rPr>
        <w:t>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съществува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превишаване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разполагаемия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. 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утвърди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</w:t>
      </w:r>
      <w:r>
        <w:rPr>
          <w:lang w:val="en-US"/>
        </w:rPr>
        <w:t>ЗП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(</w:t>
      </w:r>
      <w:r>
        <w:rPr>
          <w:lang w:val="en-US"/>
        </w:rPr>
        <w:t>оторизация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lastRenderedPageBreak/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приложи</w:t>
      </w:r>
      <w:r>
        <w:rPr>
          <w:lang w:val="en-US"/>
        </w:rPr>
        <w:t xml:space="preserve">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 xml:space="preserve">. (1)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забраните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>: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ериферията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центъра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бързодвижеща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15 </w:t>
      </w:r>
      <w:r>
        <w:rPr>
          <w:lang w:val="en-US"/>
        </w:rPr>
        <w:t>юли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периферията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центъра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15 </w:t>
      </w:r>
      <w:r>
        <w:rPr>
          <w:lang w:val="en-US"/>
        </w:rPr>
        <w:t>юни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неселективни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борба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вредителите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, </w:t>
      </w:r>
      <w:r>
        <w:rPr>
          <w:lang w:val="en-US"/>
        </w:rPr>
        <w:t>как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биоциди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пестициди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орове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, </w:t>
      </w:r>
      <w:r>
        <w:rPr>
          <w:lang w:val="en-US"/>
        </w:rPr>
        <w:t>изоставени</w:t>
      </w:r>
      <w:r>
        <w:rPr>
          <w:lang w:val="en-US"/>
        </w:rPr>
        <w:t xml:space="preserve"> </w:t>
      </w:r>
      <w:r>
        <w:rPr>
          <w:lang w:val="en-US"/>
        </w:rPr>
        <w:t>орни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биоциди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каламитет</w:t>
      </w:r>
      <w:r>
        <w:rPr>
          <w:lang w:val="en-US"/>
        </w:rPr>
        <w:t xml:space="preserve">, </w:t>
      </w:r>
      <w:r>
        <w:rPr>
          <w:lang w:val="en-US"/>
        </w:rPr>
        <w:t>епифитотия</w:t>
      </w:r>
      <w:r>
        <w:rPr>
          <w:lang w:val="en-US"/>
        </w:rPr>
        <w:t xml:space="preserve">, </w:t>
      </w:r>
      <w:r>
        <w:rPr>
          <w:lang w:val="en-US"/>
        </w:rPr>
        <w:t>епизоотия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епидемия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</w:t>
      </w:r>
      <w:r>
        <w:rPr>
          <w:lang w:val="en-US"/>
        </w:rPr>
        <w:t>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изкуствени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химически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Забраните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групират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>: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, </w:t>
      </w:r>
      <w:r>
        <w:rPr>
          <w:lang w:val="en-US"/>
        </w:rPr>
        <w:t>важащи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5, 6 </w:t>
      </w:r>
      <w:r>
        <w:rPr>
          <w:lang w:val="en-US"/>
        </w:rPr>
        <w:t>и</w:t>
      </w:r>
      <w:r>
        <w:rPr>
          <w:lang w:val="en-US"/>
        </w:rPr>
        <w:t xml:space="preserve"> 7;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B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, </w:t>
      </w:r>
      <w:r>
        <w:rPr>
          <w:lang w:val="en-US"/>
        </w:rPr>
        <w:t>важащи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3, 4 </w:t>
      </w:r>
      <w:r>
        <w:rPr>
          <w:lang w:val="en-US"/>
        </w:rPr>
        <w:t>и</w:t>
      </w:r>
      <w:r>
        <w:rPr>
          <w:lang w:val="en-US"/>
        </w:rPr>
        <w:t xml:space="preserve"> 7;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C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, </w:t>
      </w:r>
      <w:r>
        <w:rPr>
          <w:lang w:val="en-US"/>
        </w:rPr>
        <w:t>важащи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3, 4 </w:t>
      </w:r>
      <w:r>
        <w:rPr>
          <w:lang w:val="en-US"/>
        </w:rPr>
        <w:t>и</w:t>
      </w:r>
      <w:r>
        <w:rPr>
          <w:lang w:val="en-US"/>
        </w:rPr>
        <w:t xml:space="preserve"> 7.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Максималният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компенсаторно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групите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1605D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ПРОВЕРКИ</w:t>
      </w:r>
      <w:r>
        <w:rPr>
          <w:b/>
          <w:sz w:val="36"/>
        </w:rPr>
        <w:t xml:space="preserve">, </w:t>
      </w:r>
      <w:r>
        <w:rPr>
          <w:b/>
          <w:sz w:val="36"/>
        </w:rPr>
        <w:t>ОТКАЗ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НАМАЛЕНИ</w:t>
      </w:r>
      <w:r>
        <w:rPr>
          <w:b/>
          <w:sz w:val="36"/>
        </w:rPr>
        <w:t>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ПЛАЩАНИЯТА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</w:t>
      </w:r>
      <w:r>
        <w:rPr>
          <w:lang w:val="en-US"/>
        </w:rPr>
        <w:t>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,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VI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2;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отстранено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оценени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пълен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равен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исканото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възпрепятства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1605D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НАЛАГАНЕ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АДМИНИСТРАТИВНИ</w:t>
      </w:r>
      <w:r>
        <w:rPr>
          <w:b/>
          <w:sz w:val="36"/>
        </w:rPr>
        <w:t xml:space="preserve"> </w:t>
      </w:r>
      <w:r>
        <w:rPr>
          <w:b/>
          <w:sz w:val="36"/>
        </w:rPr>
        <w:t>САНКЦИИ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ОТТЕГЛЯНЕ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ИЗПЛАТЕНА</w:t>
      </w:r>
      <w:r>
        <w:rPr>
          <w:b/>
          <w:sz w:val="36"/>
        </w:rPr>
        <w:t xml:space="preserve"> </w:t>
      </w:r>
      <w:r>
        <w:rPr>
          <w:b/>
          <w:sz w:val="36"/>
        </w:rPr>
        <w:t>ФИНАНСОВА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базово</w:t>
      </w:r>
      <w:r>
        <w:rPr>
          <w:lang w:val="en-US"/>
        </w:rPr>
        <w:t xml:space="preserve"> </w:t>
      </w:r>
      <w:r>
        <w:rPr>
          <w:lang w:val="en-US"/>
        </w:rPr>
        <w:t>изискване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lang w:val="en-US"/>
        </w:rPr>
        <w:t xml:space="preserve">.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следната</w:t>
      </w:r>
      <w:r>
        <w:rPr>
          <w:lang w:val="en-US"/>
        </w:rPr>
        <w:t xml:space="preserve"> </w:t>
      </w:r>
      <w:r>
        <w:rPr>
          <w:lang w:val="en-US"/>
        </w:rPr>
        <w:t>последователност</w:t>
      </w:r>
      <w:r>
        <w:rPr>
          <w:lang w:val="en-US"/>
        </w:rPr>
        <w:t>: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роверките</w:t>
      </w:r>
      <w:r>
        <w:rPr>
          <w:lang w:val="en-US"/>
        </w:rPr>
        <w:t xml:space="preserve">,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;</w:t>
      </w:r>
    </w:p>
    <w:p w:rsidR="00000000" w:rsidRDefault="001605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методиката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оттегли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съгл</w:t>
      </w:r>
      <w:r>
        <w:rPr>
          <w:lang w:val="en-US"/>
        </w:rPr>
        <w:t>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1605D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1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1605D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1605D9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</w:t>
      </w:r>
      <w:r>
        <w:rPr>
          <w:rFonts w:ascii="Courier" w:hAnsi="Courier"/>
          <w:b/>
          <w:sz w:val="20"/>
          <w:lang w:val="en-US"/>
        </w:rPr>
        <w:t>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2 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605D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i/>
                <w:lang w:val="en-US"/>
              </w:rPr>
              <w:t>Таблица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№</w:t>
            </w:r>
            <w:r>
              <w:rPr>
                <w:i/>
                <w:lang w:val="en-US"/>
              </w:rPr>
              <w:t xml:space="preserve"> 1: </w:t>
            </w:r>
            <w:r>
              <w:rPr>
                <w:b/>
                <w:lang w:val="en-US"/>
              </w:rPr>
              <w:t>Максимален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размер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компенсаторни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плащания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защитени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зони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Директива</w:t>
            </w:r>
            <w:r>
              <w:rPr>
                <w:b/>
                <w:lang w:val="en-US"/>
              </w:rPr>
              <w:br/>
              <w:t>2009/147/</w:t>
            </w:r>
            <w:r>
              <w:rPr>
                <w:b/>
                <w:lang w:val="en-US"/>
              </w:rPr>
              <w:t>ЕО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земеделски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земи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до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левовата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равностойност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евро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605D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86"/>
              <w:gridCol w:w="2741"/>
              <w:gridCol w:w="950"/>
              <w:gridCol w:w="904"/>
              <w:gridCol w:w="94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274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95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</w:t>
                  </w:r>
                </w:p>
              </w:tc>
              <w:tc>
                <w:tcPr>
                  <w:tcW w:w="9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Група</w:t>
                  </w:r>
                  <w:r>
                    <w:rPr>
                      <w:lang w:val="en-US"/>
                    </w:rPr>
                    <w:t xml:space="preserve"> B</w:t>
                  </w:r>
                </w:p>
              </w:tc>
              <w:tc>
                <w:tcPr>
                  <w:tcW w:w="9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Група</w:t>
                  </w:r>
                  <w:r>
                    <w:rPr>
                      <w:lang w:val="en-US"/>
                    </w:rPr>
                    <w:t xml:space="preserve"> C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BG0002048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Суха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Ятата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BG0002017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острови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BG0002015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Конуш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Оризища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Цалапица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BG0002067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Голя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Лакът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BG0000242*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Залив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Ченгене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ске</w:t>
                  </w:r>
                  <w:r>
                    <w:rPr>
                      <w:lang w:val="en-US"/>
                    </w:rPr>
                    <w:t>ле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BG0002007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Ибиша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BG0002005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Понор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Златията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Овчарица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BG0002028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Стралджа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BG0002085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Чаиря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BG0002008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Цибър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Челопече</w:t>
                  </w:r>
                  <w:r>
                    <w:rPr>
                      <w:lang w:val="en-US"/>
                    </w:rPr>
                    <w:t>не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Руй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Обнова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Адата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Тунджа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BG0002095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Дъбник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Телиш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Цибърско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BG0000494*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Централен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BG0002018*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Вардим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Меч</w:t>
                  </w:r>
                  <w:r>
                    <w:rPr>
                      <w:lang w:val="en-US"/>
                    </w:rPr>
                    <w:t>ка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BG0002025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Ломовете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BG0002110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Априлци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BG0000241*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Сребърна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Орсоя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Стената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Гарванско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BG0002065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Преславец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Раяновци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BG0000209*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Пирин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Богров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Казичене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BG0002010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Пясъчник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Деветашко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Кресна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Жребчево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баир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BG0002078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Славянка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BG0002088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Микре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BG0000113*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Витоша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BG0000495*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Крумовица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Хърсовска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Свищовско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Беленска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низина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BG0000273*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Кочериново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BG0002105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Персенк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Велчево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Осогово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BG0002107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Бобошево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BG0002108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Скрино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BG0002020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Радинчево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</w:t>
                  </w:r>
                  <w:r>
                    <w:rPr>
                      <w:lang w:val="en-US"/>
                    </w:rPr>
                    <w:t>да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BG0002070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Хаджи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Димитрово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BG0002057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Бесапарски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ридове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Маджарово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Карлуковски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карст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BG0000240*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Студенец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Врачански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BG0002040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Странджа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Звъничево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Ноевци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Мещица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BG0002100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Козница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BG0002030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Калимок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Розов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BG0002058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Гребенец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</w:t>
                  </w:r>
                  <w:r>
                    <w:rPr>
                      <w:lang w:val="en-US"/>
                    </w:rPr>
                    <w:t>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Родопи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BG0002087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Лудогорие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BG0000237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Пожарево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BG0000270*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Атанасовско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BG0002027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Шарково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Никополско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BG0002090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Берковица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Харманлийска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Овчарово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Ропотамо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Първомай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BG0000152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Поморийско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Калиакра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Емине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BG0002050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Дуранкулашко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BG0000156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Шабленски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комплекс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BG0002098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Рупите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Мелнишки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пирамиди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Дервентски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Добростан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Васильовска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BG0002077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Бакърлъка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BG0002113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Триград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Мурсалица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Странджа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Сакар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BG0002060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Галата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Варненско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Белославско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BG0002082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Батова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BG0002061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Балчик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BG0000271*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Мандра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Пода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Камчийска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Палакария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BG0002038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Провадийско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Роя</w:t>
                  </w:r>
                  <w:r>
                    <w:rPr>
                      <w:lang w:val="en-US"/>
                    </w:rPr>
                    <w:t>кско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BG0002054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BG0002097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скали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BG0002045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BG0002128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Централен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BG0002126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Пирин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BG0000399*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Българка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BG0000496*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144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BG0002115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Било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8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BG0002129</w:t>
                  </w:r>
                </w:p>
              </w:tc>
              <w:tc>
                <w:tcPr>
                  <w:tcW w:w="274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</w:tbl>
          <w:p w:rsidR="00000000" w:rsidRDefault="001605D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605D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i/>
                <w:lang w:val="en-US"/>
              </w:rPr>
              <w:lastRenderedPageBreak/>
              <w:t>Таблица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№</w:t>
            </w:r>
            <w:r>
              <w:rPr>
                <w:i/>
                <w:lang w:val="en-US"/>
              </w:rPr>
              <w:t xml:space="preserve"> 2: </w:t>
            </w:r>
            <w:r>
              <w:rPr>
                <w:b/>
                <w:lang w:val="en-US"/>
              </w:rPr>
              <w:t>Максимален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размер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компенсаторни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плащания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защитени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зони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Директива</w:t>
            </w:r>
            <w:r>
              <w:rPr>
                <w:b/>
                <w:lang w:val="en-US"/>
              </w:rPr>
              <w:br/>
              <w:t>92/43/</w:t>
            </w:r>
            <w:r>
              <w:rPr>
                <w:b/>
                <w:lang w:val="en-US"/>
              </w:rPr>
              <w:t>ЕИО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земеделски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земи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до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левовата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равностойност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евро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605D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1"/>
              <w:gridCol w:w="2850"/>
              <w:gridCol w:w="940"/>
              <w:gridCol w:w="904"/>
              <w:gridCol w:w="93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285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</w:t>
                  </w:r>
                  <w:r>
                    <w:rPr>
                      <w:lang w:val="en-US"/>
                    </w:rPr>
                    <w:t>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</w:t>
                  </w:r>
                </w:p>
              </w:tc>
              <w:tc>
                <w:tcPr>
                  <w:tcW w:w="9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Група</w:t>
                  </w:r>
                  <w:r>
                    <w:rPr>
                      <w:lang w:val="en-US"/>
                    </w:rPr>
                    <w:t xml:space="preserve"> B</w:t>
                  </w:r>
                </w:p>
              </w:tc>
              <w:tc>
                <w:tcPr>
                  <w:tcW w:w="93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Група</w:t>
                  </w:r>
                  <w:r>
                    <w:rPr>
                      <w:lang w:val="en-US"/>
                    </w:rPr>
                    <w:t xml:space="preserve"> C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BG0000589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дупка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BG0000605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Божкова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дупка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BG0000587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Варкан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BG0000269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Пещера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Лястовицата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BG0000591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Седларката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BG0000552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Кутово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Ахелой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Равда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Несе</w:t>
                  </w:r>
                  <w:r>
                    <w:rPr>
                      <w:lang w:val="en-US"/>
                    </w:rPr>
                    <w:t>бър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BG0000610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Янтра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Калиакра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BG0000635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Девненски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хълмове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Крайморска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Добруджа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BG0000119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братя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Чокльово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BG0000205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Стралджа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BG0000291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Ши</w:t>
                  </w:r>
                  <w:r>
                    <w:rPr>
                      <w:lang w:val="en-US"/>
                    </w:rPr>
                    <w:t>шманци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BG0000295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Коритен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BG0000553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Тополчане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BG0000567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Блатец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BG0000593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Билерниците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Таушан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тепе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Изворо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Круше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Брестовица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BG0000255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Градинска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BG0000534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Чайка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145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BG0000554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Желю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145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Емен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BG0000203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Тулово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BG0000206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Съдиево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Цибър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BG0000532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Близна</w:t>
                  </w:r>
                  <w:r>
                    <w:rPr>
                      <w:lang w:val="en-US"/>
                    </w:rPr>
                    <w:t>ци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145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BG0000180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Боблата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Каменица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Батин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BG0000117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Луда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Провадийско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Роякско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>уха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Хърсовска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BG0000149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Ришки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проход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Камчийска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Еменска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Изворово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Краище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BG0000208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Босна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BG0000173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Островче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Луда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BG0000304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Голак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BG0000420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Гребенец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BG0000151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Айтоска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BG0000314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Ребро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Линево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BG0000569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Кардам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BG0000608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Ломовете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камъни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Раброво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Лозенска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BG0000616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Микре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BG0000365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Овчи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хълмове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Врачански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BG0000382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Шуменско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Любаш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Арчар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BG0000266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Пещера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Мандрата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103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Видбол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BG0001004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Емине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Иракли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BG0000500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Войница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Мартен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Ряхово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145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BG0001001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Ропотамо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BG0000507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Делейна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Езеро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Шаб</w:t>
                  </w:r>
                  <w:r>
                    <w:rPr>
                      <w:lang w:val="en-US"/>
                    </w:rPr>
                    <w:t>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Езерец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BG0000530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Пожарево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Гарван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Побитите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камъни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BG0000340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Петрово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BG0000374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Бебреш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BG0000377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Калимок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Бръшлен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BG0000519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Моминбродско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145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Макреш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Шишенци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Лудогорие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BG0000618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Видима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BG0000594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Божия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Понора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Оризището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BG0000366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Кресна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Илинденци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BG0000322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Драгоман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Беласица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Родопи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Източни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BG0001389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BG0001043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Етрополе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Байлово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BG0001042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Искърски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пролом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Ржана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BG0001040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Предбалкан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Родопи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Западни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Чирпански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BG0000146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Плаж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Градина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Златна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рибка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BG0001493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Централен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Карабоаз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Лудогорие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Сребърна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BG0000263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Скалско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BG0000275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Стамболийски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BG0000418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Керменски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BG0000421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</w:t>
                  </w:r>
                  <w:r>
                    <w:rPr>
                      <w:lang w:val="en-US"/>
                    </w:rPr>
                    <w:t>еславска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BG0000513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Войнишки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Бакаджик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BG0000517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Портитовци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Владимирово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Козлодуй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степ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Вадин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BG0000401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Свети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Илийски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BG0000402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Бакаджиците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BG0000533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</w:t>
                  </w:r>
                  <w:r>
                    <w:rPr>
                      <w:lang w:val="en-US"/>
                    </w:rPr>
                    <w:t>трови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Козлодуй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145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Росица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Лозница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Свищовска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BG0000602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Кабиюк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BG0000611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Дъбник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Конунски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BG0001011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Осоговска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BG0000182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Орсоя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Остър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камък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BG0000224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Огражден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Малешево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Ждрелото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Тунджа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Дряновски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BG0000254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Бесапарски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BG0000261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Копринка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Сакар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Тунджа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BG0000178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Тича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Мочурица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Попинци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BG0001375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Острица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BG0001386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Яденица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Никополско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BG0000181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Вит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Търновски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височини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Твърдишка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Караман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BG0001012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Земен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BG0001014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Карлуково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BG0000615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Деветашко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BG0000393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Екокоридор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Емине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</w:t>
                  </w:r>
                  <w:r>
                    <w:rPr>
                      <w:lang w:val="en-US"/>
                    </w:rPr>
                    <w:t>ия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BG0000609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Росица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парк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BG0000429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Стряма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BG0000424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Въча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Тракия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BG0000308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Верила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BG0000301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рид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BG0000396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Персина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BG0000289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Трилистник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BG0000372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Циганско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градище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Факийска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BG0000219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Дервентски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Дервентски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Пъстрина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BG0000118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</w:t>
                  </w:r>
                  <w:r>
                    <w:rPr>
                      <w:lang w:val="en-US"/>
                    </w:rPr>
                    <w:t>латни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пясъци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BG0001017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Кървав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камък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BG0001022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Орановски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пролом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Лешко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BG0001023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Рупите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Струмешница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BG0001028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Пирин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Алиботуш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BG0000103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Галата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BG0001021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Плаж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Шкорпиловци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BG0000154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Езеро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Дуранкулак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Родопи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Средни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BG0000171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Лудогорие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Боблата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BG0000190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Витата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стена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BG0000195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Тунджа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Варненско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Белославски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комплекс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BG0000102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Долината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</w:t>
                  </w:r>
                  <w:r>
                    <w:rPr>
                      <w:lang w:val="en-US"/>
                    </w:rPr>
                    <w:t>атова</w:t>
                  </w:r>
                </w:p>
              </w:tc>
              <w:tc>
                <w:tcPr>
                  <w:tcW w:w="94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1605D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</w:tbl>
          <w:p w:rsidR="00000000" w:rsidRDefault="001605D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605D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* </w:t>
            </w:r>
            <w:r>
              <w:rPr>
                <w:lang w:val="en-US"/>
              </w:rPr>
              <w:t>Защитена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Директива</w:t>
            </w:r>
            <w:r>
              <w:rPr>
                <w:lang w:val="en-US"/>
              </w:rPr>
              <w:t xml:space="preserve"> 2009/147/</w:t>
            </w:r>
            <w:r>
              <w:rPr>
                <w:lang w:val="en-US"/>
              </w:rPr>
              <w:t>ЕО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Директива</w:t>
            </w:r>
            <w:r>
              <w:rPr>
                <w:lang w:val="en-US"/>
              </w:rPr>
              <w:t xml:space="preserve"> 92/43/</w:t>
            </w:r>
            <w:r>
              <w:rPr>
                <w:lang w:val="en-US"/>
              </w:rPr>
              <w:t>ЕИО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1605D9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2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2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605D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Базови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изисквания</w:t>
            </w:r>
          </w:p>
          <w:p w:rsidR="00000000" w:rsidRDefault="001605D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а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ДЗЕС</w:t>
            </w:r>
            <w:r>
              <w:rPr>
                <w:lang w:val="en-US"/>
              </w:rPr>
              <w:t xml:space="preserve"> 1: </w:t>
            </w:r>
            <w:r>
              <w:rPr>
                <w:lang w:val="en-US"/>
              </w:rPr>
              <w:t>Поддържане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съотношението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ПЗП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към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национално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стопанство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б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ДЗЕС</w:t>
            </w:r>
            <w:r>
              <w:rPr>
                <w:lang w:val="en-US"/>
              </w:rPr>
              <w:t xml:space="preserve"> 8: </w:t>
            </w:r>
            <w:r>
              <w:rPr>
                <w:lang w:val="en-US"/>
              </w:rPr>
              <w:t>Минимален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дял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обработваемата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предназначен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непроизводствени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нужди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обекти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запазване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особеностите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ландшафта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забрана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рязане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плетове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дървета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през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размножителния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период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през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периода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отглеждане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птиците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върху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цялата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ДЗЕС</w:t>
            </w:r>
            <w:r>
              <w:rPr>
                <w:lang w:val="en-US"/>
              </w:rPr>
              <w:t xml:space="preserve"> 9: </w:t>
            </w:r>
            <w:r>
              <w:rPr>
                <w:lang w:val="en-US"/>
              </w:rPr>
              <w:t>Забрана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преобразуване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разораване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определени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екологично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чувствителни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Натура</w:t>
            </w:r>
            <w:r>
              <w:rPr>
                <w:lang w:val="en-US"/>
              </w:rPr>
              <w:t xml:space="preserve"> 2000.</w:t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Обработваеми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ДЗЕС</w:t>
            </w:r>
            <w:r>
              <w:rPr>
                <w:lang w:val="en-US"/>
              </w:rPr>
              <w:t xml:space="preserve"> 8: </w:t>
            </w:r>
            <w:r>
              <w:rPr>
                <w:lang w:val="en-US"/>
              </w:rPr>
              <w:t>Минимал</w:t>
            </w:r>
            <w:r>
              <w:rPr>
                <w:lang w:val="en-US"/>
              </w:rPr>
              <w:t>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дял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обработваемата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предназначен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непроизводствени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нужди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обекти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запазване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особеностите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ландшафта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забрана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рязане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плетове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дървета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през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размножителния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период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през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периода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отглеждане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птиците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върху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цялата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Трайни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насаждения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ДЗЕС</w:t>
            </w:r>
            <w:r>
              <w:rPr>
                <w:lang w:val="en-US"/>
              </w:rPr>
              <w:t xml:space="preserve"> 8: </w:t>
            </w:r>
            <w:r>
              <w:rPr>
                <w:lang w:val="en-US"/>
              </w:rPr>
              <w:t>Минимален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дял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обработваемата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предназначен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непроизводствени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нужди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обекти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запазване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особеностите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ландшафта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забрана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рязане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плетове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дървета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през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размножителния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период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през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периода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отг</w:t>
            </w:r>
            <w:r>
              <w:rPr>
                <w:lang w:val="en-US"/>
              </w:rPr>
              <w:t>леждане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птиците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върху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цялата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</w:t>
            </w:r>
            <w:r>
              <w:rPr>
                <w:lang w:val="en-US"/>
              </w:rPr>
              <w:t>.</w:t>
            </w:r>
          </w:p>
        </w:tc>
      </w:tr>
    </w:tbl>
    <w:p w:rsidR="001605D9" w:rsidRDefault="001605D9"/>
    <w:sectPr w:rsidR="001605D9">
      <w:footerReference w:type="default" r:id="rId6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D9" w:rsidRDefault="001605D9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1605D9" w:rsidRDefault="001605D9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1605D9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1605D9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1605D9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6E73BC">
      <w:rPr>
        <w:rFonts w:ascii="Arial" w:hAnsi="Arial"/>
        <w:sz w:val="20"/>
      </w:rPr>
      <w:fldChar w:fldCharType="separate"/>
    </w:r>
    <w:r w:rsidR="006E73BC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6E73BC">
      <w:rPr>
        <w:rFonts w:ascii="Arial" w:hAnsi="Arial"/>
        <w:sz w:val="20"/>
      </w:rPr>
      <w:fldChar w:fldCharType="separate"/>
    </w:r>
    <w:r w:rsidR="006E73BC">
      <w:rPr>
        <w:rFonts w:ascii="Arial" w:hAnsi="Arial"/>
        <w:noProof/>
        <w:sz w:val="20"/>
      </w:rPr>
      <w:t>13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D9" w:rsidRDefault="001605D9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1605D9" w:rsidRDefault="001605D9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BC"/>
    <w:rsid w:val="001605D9"/>
    <w:rsid w:val="006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C2255E1-CA43-44F2-B6F7-C97F9DB2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6E7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E73BC"/>
  </w:style>
  <w:style w:type="paragraph" w:styleId="a5">
    <w:name w:val="footer"/>
    <w:basedOn w:val="a"/>
    <w:link w:val="a6"/>
    <w:uiPriority w:val="99"/>
    <w:unhideWhenUsed/>
    <w:rsid w:val="006E7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E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2</cp:revision>
  <dcterms:created xsi:type="dcterms:W3CDTF">2023-06-06T13:08:00Z</dcterms:created>
  <dcterms:modified xsi:type="dcterms:W3CDTF">2023-06-06T13:08:00Z</dcterms:modified>
</cp:coreProperties>
</file>