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rsidR="00A975C3" w:rsidRPr="00467853" w:rsidRDefault="000144D9" w:rsidP="00A975C3">
      <w:pPr>
        <w:pStyle w:val="NormalWeb"/>
        <w:jc w:val="both"/>
        <w:rPr>
          <w:rFonts w:ascii="Arial" w:hAnsi="Arial" w:cs="Arial"/>
          <w:noProof/>
          <w:sz w:val="20"/>
          <w:szCs w:val="20"/>
        </w:rPr>
      </w:pPr>
      <w:r w:rsidRPr="00467853">
        <w:rPr>
          <w:rStyle w:val="longtext"/>
          <w:rFonts w:ascii="Arial" w:hAnsi="Arial" w:cs="Arial"/>
          <w:b/>
          <w:noProof/>
          <w:sz w:val="20"/>
        </w:rPr>
        <w:t>1.</w:t>
      </w:r>
      <w:r w:rsidR="00A975C3" w:rsidRPr="00467853">
        <w:rPr>
          <w:rStyle w:val="longtext"/>
          <w:rFonts w:ascii="Arial" w:hAnsi="Arial" w:cs="Arial"/>
          <w:b/>
          <w:noProof/>
          <w:sz w:val="20"/>
        </w:rPr>
        <w:t xml:space="preserve"> </w:t>
      </w:r>
      <w:r w:rsidR="003A3D0E" w:rsidRPr="00467853">
        <w:rPr>
          <w:rStyle w:val="longtext"/>
          <w:rFonts w:ascii="Arial" w:hAnsi="Arial" w:cs="Arial"/>
          <w:b/>
          <w:noProof/>
          <w:sz w:val="20"/>
        </w:rPr>
        <w:t xml:space="preserve">Напомняме на земеделските  стопани, че за кампания 2020 срокът </w:t>
      </w:r>
      <w:r w:rsidR="00A975C3" w:rsidRPr="00467853">
        <w:rPr>
          <w:rFonts w:ascii="Arial" w:hAnsi="Arial" w:cs="Arial"/>
          <w:b/>
          <w:noProof/>
          <w:sz w:val="20"/>
          <w:szCs w:val="20"/>
        </w:rPr>
        <w:t xml:space="preserve">за подаване на документи за реализация на продукцията </w:t>
      </w:r>
      <w:r w:rsidR="00A82ACC" w:rsidRPr="00467853">
        <w:rPr>
          <w:rFonts w:ascii="Arial" w:hAnsi="Arial" w:cs="Arial"/>
          <w:b/>
          <w:noProof/>
          <w:sz w:val="20"/>
          <w:szCs w:val="20"/>
        </w:rPr>
        <w:t>по С</w:t>
      </w:r>
      <w:r w:rsidR="003A3D0E" w:rsidRPr="00467853">
        <w:rPr>
          <w:rFonts w:ascii="Arial" w:hAnsi="Arial" w:cs="Arial"/>
          <w:b/>
          <w:noProof/>
          <w:sz w:val="20"/>
          <w:szCs w:val="20"/>
        </w:rPr>
        <w:t xml:space="preserve">хемите за обвързана подкрепа за плодове и зеленчуци е </w:t>
      </w:r>
      <w:r w:rsidR="00A975C3" w:rsidRPr="00467853">
        <w:rPr>
          <w:rFonts w:ascii="Arial" w:hAnsi="Arial" w:cs="Arial"/>
          <w:b/>
          <w:noProof/>
          <w:sz w:val="20"/>
          <w:szCs w:val="20"/>
        </w:rPr>
        <w:t>от 1 до 31 декември 2020 г., вместо от 1 до 31 януари 2021 г.</w:t>
      </w:r>
      <w:r w:rsidR="003A3D0E" w:rsidRPr="00467853">
        <w:rPr>
          <w:rFonts w:ascii="Arial" w:hAnsi="Arial" w:cs="Arial"/>
          <w:b/>
          <w:noProof/>
          <w:sz w:val="20"/>
          <w:szCs w:val="20"/>
        </w:rPr>
        <w:t>, с</w:t>
      </w:r>
      <w:r w:rsidR="00F86325" w:rsidRPr="00467853">
        <w:rPr>
          <w:rFonts w:ascii="Arial" w:hAnsi="Arial" w:cs="Arial"/>
          <w:b/>
          <w:noProof/>
          <w:sz w:val="20"/>
          <w:szCs w:val="20"/>
        </w:rPr>
        <w:t xml:space="preserve"> изключение на Схемата  за картофи, лук и чесън, </w:t>
      </w:r>
      <w:r w:rsidR="00A82ACC" w:rsidRPr="00467853">
        <w:rPr>
          <w:rFonts w:ascii="Arial" w:hAnsi="Arial" w:cs="Arial"/>
          <w:b/>
          <w:noProof/>
          <w:sz w:val="20"/>
          <w:szCs w:val="20"/>
        </w:rPr>
        <w:t>по която документи</w:t>
      </w:r>
      <w:r w:rsidR="00F86325" w:rsidRPr="00467853">
        <w:rPr>
          <w:rFonts w:ascii="Arial" w:hAnsi="Arial" w:cs="Arial"/>
          <w:b/>
          <w:noProof/>
          <w:sz w:val="20"/>
          <w:szCs w:val="20"/>
        </w:rPr>
        <w:t xml:space="preserve"> ще се представят в периода от 1 до 31 януари 2021 г.</w:t>
      </w:r>
      <w:r w:rsidR="002C69BE" w:rsidRPr="00467853">
        <w:rPr>
          <w:rFonts w:ascii="Arial" w:hAnsi="Arial" w:cs="Arial"/>
          <w:noProof/>
          <w:sz w:val="20"/>
          <w:szCs w:val="20"/>
        </w:rPr>
        <w:t xml:space="preserve"> </w:t>
      </w:r>
      <w:r w:rsidR="002C69BE" w:rsidRPr="00D0336A">
        <w:rPr>
          <w:rFonts w:ascii="Arial" w:hAnsi="Arial" w:cs="Arial"/>
          <w:noProof/>
          <w:sz w:val="20"/>
          <w:szCs w:val="20"/>
        </w:rPr>
        <w:t>Д</w:t>
      </w:r>
      <w:r w:rsidR="00A975C3" w:rsidRPr="00D0336A">
        <w:rPr>
          <w:rFonts w:ascii="Arial" w:hAnsi="Arial" w:cs="Arial"/>
          <w:noProof/>
          <w:color w:val="000000"/>
          <w:sz w:val="20"/>
          <w:szCs w:val="20"/>
          <w:shd w:val="clear" w:color="auto" w:fill="FEFEFE"/>
        </w:rPr>
        <w:t xml:space="preserve">окументите за реализация на </w:t>
      </w:r>
      <w:r w:rsidR="00381E85" w:rsidRPr="00D0336A">
        <w:rPr>
          <w:rFonts w:ascii="Arial" w:hAnsi="Arial" w:cs="Arial"/>
          <w:noProof/>
          <w:color w:val="000000"/>
          <w:sz w:val="20"/>
          <w:szCs w:val="20"/>
          <w:shd w:val="clear" w:color="auto" w:fill="FEFEFE"/>
        </w:rPr>
        <w:t>плодове и зеленчуци</w:t>
      </w:r>
      <w:r w:rsidR="00A975C3" w:rsidRPr="00D0336A">
        <w:rPr>
          <w:rFonts w:ascii="Arial" w:hAnsi="Arial" w:cs="Arial"/>
          <w:noProof/>
          <w:color w:val="000000"/>
          <w:sz w:val="20"/>
          <w:szCs w:val="20"/>
          <w:shd w:val="clear" w:color="auto" w:fill="FEFEFE"/>
        </w:rPr>
        <w:t xml:space="preserve"> следва да бъдат издадени в периода от 1 февруари до 31 декември 2020 г. </w:t>
      </w:r>
      <w:r w:rsidR="00381E85" w:rsidRPr="00D0336A">
        <w:rPr>
          <w:rFonts w:ascii="Arial" w:hAnsi="Arial" w:cs="Arial"/>
          <w:bCs/>
          <w:noProof/>
          <w:color w:val="000000"/>
          <w:sz w:val="20"/>
          <w:szCs w:val="20"/>
          <w:shd w:val="clear" w:color="auto" w:fill="FEFEFE"/>
        </w:rPr>
        <w:t>По</w:t>
      </w:r>
      <w:r w:rsidR="00381E85" w:rsidRPr="00D0336A">
        <w:rPr>
          <w:rFonts w:ascii="Arial" w:eastAsiaTheme="minorHAnsi" w:hAnsi="Arial" w:cs="Arial"/>
          <w:noProof/>
          <w:sz w:val="20"/>
          <w:szCs w:val="20"/>
          <w:lang w:eastAsia="en-US"/>
        </w:rPr>
        <w:t xml:space="preserve"> </w:t>
      </w:r>
      <w:r w:rsidR="00C861F8" w:rsidRPr="00D0336A">
        <w:rPr>
          <w:rFonts w:ascii="Arial" w:hAnsi="Arial" w:cs="Arial"/>
          <w:noProof/>
          <w:sz w:val="20"/>
          <w:szCs w:val="20"/>
        </w:rPr>
        <w:t>С</w:t>
      </w:r>
      <w:r w:rsidR="00381E85" w:rsidRPr="00D0336A">
        <w:rPr>
          <w:rFonts w:ascii="Arial" w:hAnsi="Arial" w:cs="Arial"/>
          <w:noProof/>
          <w:sz w:val="20"/>
          <w:szCs w:val="20"/>
        </w:rPr>
        <w:t>хемата за обвързано подпомагане за зеленчуците картофи, лук и чесън документите за реализация трябва да бъдат издадени в периода от 1 февруари 2020 г. до 31 януари 2021 г. П</w:t>
      </w:r>
      <w:r w:rsidR="00A975C3" w:rsidRPr="00D0336A">
        <w:rPr>
          <w:rFonts w:ascii="Arial" w:hAnsi="Arial" w:cs="Arial"/>
          <w:noProof/>
          <w:sz w:val="20"/>
          <w:szCs w:val="20"/>
        </w:rPr>
        <w:t xml:space="preserve">о-рано тази година </w:t>
      </w:r>
      <w:r w:rsidR="00381E85" w:rsidRPr="00D0336A">
        <w:rPr>
          <w:rFonts w:ascii="Arial" w:hAnsi="Arial" w:cs="Arial"/>
          <w:noProof/>
          <w:sz w:val="20"/>
          <w:szCs w:val="20"/>
        </w:rPr>
        <w:t xml:space="preserve">беше направено изменение на </w:t>
      </w:r>
      <w:r w:rsidR="00A975C3" w:rsidRPr="00D0336A">
        <w:rPr>
          <w:rFonts w:ascii="Arial" w:hAnsi="Arial" w:cs="Arial"/>
          <w:bCs/>
          <w:noProof/>
          <w:color w:val="000000"/>
          <w:sz w:val="20"/>
          <w:szCs w:val="20"/>
          <w:shd w:val="clear" w:color="auto" w:fill="FEFEFE"/>
        </w:rPr>
        <w:t>Наредба № 3 от 2015 г. за условията и реда за прилагане на схемите за директни плащания</w:t>
      </w:r>
      <w:r w:rsidR="00381E85" w:rsidRPr="00D0336A">
        <w:rPr>
          <w:rFonts w:ascii="Arial" w:hAnsi="Arial" w:cs="Arial"/>
          <w:bCs/>
          <w:noProof/>
          <w:color w:val="000000"/>
          <w:sz w:val="20"/>
          <w:szCs w:val="20"/>
          <w:shd w:val="clear" w:color="auto" w:fill="FEFEFE"/>
        </w:rPr>
        <w:t>, а промените са отразени в</w:t>
      </w:r>
      <w:r w:rsidR="00381E85" w:rsidRPr="00D0336A">
        <w:rPr>
          <w:rFonts w:ascii="Arial" w:hAnsi="Arial" w:cs="Arial"/>
          <w:noProof/>
          <w:sz w:val="20"/>
          <w:szCs w:val="20"/>
        </w:rPr>
        <w:t xml:space="preserve"> </w:t>
      </w:r>
      <w:r w:rsidR="00381E85" w:rsidRPr="00D0336A">
        <w:rPr>
          <w:rFonts w:ascii="Arial" w:hAnsi="Arial" w:cs="Arial"/>
          <w:bCs/>
          <w:noProof/>
          <w:color w:val="000000"/>
          <w:sz w:val="20"/>
          <w:szCs w:val="20"/>
          <w:shd w:val="clear" w:color="auto" w:fill="FEFEFE"/>
        </w:rPr>
        <w:t xml:space="preserve">Преходните и заключителни разпоредби. </w:t>
      </w:r>
      <w:r w:rsidR="00C72852" w:rsidRPr="00D0336A">
        <w:rPr>
          <w:rFonts w:ascii="Arial" w:hAnsi="Arial" w:cs="Arial"/>
          <w:noProof/>
          <w:color w:val="000000"/>
          <w:sz w:val="20"/>
          <w:szCs w:val="20"/>
          <w:shd w:val="clear" w:color="auto" w:fill="FEFEFE"/>
        </w:rPr>
        <w:t xml:space="preserve">Промяната ще позволи </w:t>
      </w:r>
      <w:r w:rsidR="00A975C3" w:rsidRPr="00D0336A">
        <w:rPr>
          <w:rFonts w:ascii="Arial" w:hAnsi="Arial" w:cs="Arial"/>
          <w:noProof/>
          <w:sz w:val="20"/>
          <w:szCs w:val="20"/>
        </w:rPr>
        <w:t>проверките по</w:t>
      </w:r>
      <w:r w:rsidR="00930753" w:rsidRPr="00D0336A">
        <w:rPr>
          <w:rFonts w:ascii="Arial" w:hAnsi="Arial" w:cs="Arial"/>
          <w:noProof/>
          <w:sz w:val="20"/>
          <w:szCs w:val="20"/>
        </w:rPr>
        <w:t xml:space="preserve"> </w:t>
      </w:r>
      <w:r w:rsidR="00A975C3" w:rsidRPr="00D0336A">
        <w:rPr>
          <w:rFonts w:ascii="Arial" w:hAnsi="Arial" w:cs="Arial"/>
          <w:noProof/>
          <w:sz w:val="20"/>
          <w:szCs w:val="20"/>
        </w:rPr>
        <w:t xml:space="preserve">представените документи и плащането към бенефициентите да бъдат извършени един месец по-рано, </w:t>
      </w:r>
      <w:r w:rsidR="00930753" w:rsidRPr="00D0336A">
        <w:rPr>
          <w:rFonts w:ascii="Arial" w:hAnsi="Arial" w:cs="Arial"/>
          <w:noProof/>
          <w:sz w:val="20"/>
          <w:szCs w:val="20"/>
        </w:rPr>
        <w:t>предвид необходимостта от</w:t>
      </w:r>
      <w:r w:rsidR="00C72852" w:rsidRPr="00D0336A">
        <w:rPr>
          <w:rFonts w:ascii="Arial" w:hAnsi="Arial" w:cs="Arial"/>
          <w:noProof/>
          <w:sz w:val="20"/>
          <w:szCs w:val="20"/>
        </w:rPr>
        <w:t xml:space="preserve"> </w:t>
      </w:r>
      <w:r w:rsidR="00A975C3" w:rsidRPr="00D0336A">
        <w:rPr>
          <w:rFonts w:ascii="Arial" w:hAnsi="Arial" w:cs="Arial"/>
          <w:noProof/>
          <w:sz w:val="20"/>
          <w:szCs w:val="20"/>
        </w:rPr>
        <w:t xml:space="preserve">планиране и подготовка на мероприятията за новия сезон и във връзка с последиците от епидемията Covid-19. </w:t>
      </w:r>
      <w:r w:rsidR="00A975C3" w:rsidRPr="00D0336A">
        <w:rPr>
          <w:rFonts w:ascii="Arial" w:hAnsi="Arial" w:cs="Arial"/>
          <w:noProof/>
          <w:color w:val="000000"/>
          <w:sz w:val="20"/>
          <w:szCs w:val="20"/>
          <w:shd w:val="clear" w:color="auto" w:fill="FEFEFE"/>
        </w:rPr>
        <w:t>Наредбата е достъпна на електронната страница на Министерство на земеделието, храните и горите, в подсекция Национално законодателство за прилагане на схемите към Директни плащания</w:t>
      </w:r>
      <w:r w:rsidR="00C861F8" w:rsidRPr="00D0336A">
        <w:rPr>
          <w:rFonts w:ascii="Arial" w:hAnsi="Arial" w:cs="Arial"/>
          <w:noProof/>
          <w:color w:val="000000"/>
          <w:sz w:val="20"/>
          <w:szCs w:val="20"/>
          <w:shd w:val="clear" w:color="auto" w:fill="FEFEFE"/>
        </w:rPr>
        <w:t>, част от секция Политики и програми</w:t>
      </w:r>
      <w:r w:rsidR="00A975C3" w:rsidRPr="00D0336A">
        <w:rPr>
          <w:rFonts w:ascii="Arial" w:hAnsi="Arial" w:cs="Arial"/>
          <w:noProof/>
          <w:color w:val="000000"/>
          <w:sz w:val="20"/>
          <w:szCs w:val="20"/>
          <w:shd w:val="clear" w:color="auto" w:fill="FEFEFE"/>
        </w:rPr>
        <w:t xml:space="preserve">. </w:t>
      </w:r>
      <w:r w:rsidR="00C72852" w:rsidRPr="00D0336A">
        <w:rPr>
          <w:rFonts w:ascii="Arial" w:hAnsi="Arial" w:cs="Arial"/>
          <w:noProof/>
          <w:color w:val="000000"/>
          <w:sz w:val="20"/>
          <w:szCs w:val="20"/>
          <w:shd w:val="clear" w:color="auto" w:fill="FEFEFE"/>
        </w:rPr>
        <w:t>И</w:t>
      </w:r>
      <w:r w:rsidR="00A975C3" w:rsidRPr="00D0336A">
        <w:rPr>
          <w:rFonts w:ascii="Arial" w:hAnsi="Arial" w:cs="Arial"/>
          <w:noProof/>
          <w:color w:val="000000"/>
          <w:sz w:val="20"/>
          <w:szCs w:val="20"/>
          <w:shd w:val="clear" w:color="auto" w:fill="FEFEFE"/>
        </w:rPr>
        <w:t xml:space="preserve">нформация </w:t>
      </w:r>
      <w:r w:rsidR="00930753" w:rsidRPr="00D0336A">
        <w:rPr>
          <w:rFonts w:ascii="Arial" w:hAnsi="Arial" w:cs="Arial"/>
          <w:noProof/>
          <w:color w:val="000000"/>
          <w:sz w:val="20"/>
          <w:szCs w:val="20"/>
          <w:shd w:val="clear" w:color="auto" w:fill="FEFEFE"/>
        </w:rPr>
        <w:t>за</w:t>
      </w:r>
      <w:r w:rsidR="00A975C3" w:rsidRPr="00D0336A">
        <w:rPr>
          <w:rFonts w:ascii="Arial" w:hAnsi="Arial" w:cs="Arial"/>
          <w:noProof/>
          <w:color w:val="000000"/>
          <w:sz w:val="20"/>
          <w:szCs w:val="20"/>
          <w:shd w:val="clear" w:color="auto" w:fill="FEFEFE"/>
        </w:rPr>
        <w:t xml:space="preserve"> изискуемите добиви </w:t>
      </w:r>
      <w:r w:rsidR="00C72852" w:rsidRPr="00D0336A">
        <w:rPr>
          <w:rFonts w:ascii="Arial" w:hAnsi="Arial" w:cs="Arial"/>
          <w:noProof/>
          <w:color w:val="000000"/>
          <w:sz w:val="20"/>
          <w:szCs w:val="20"/>
          <w:shd w:val="clear" w:color="auto" w:fill="FEFEFE"/>
        </w:rPr>
        <w:t>по</w:t>
      </w:r>
      <w:r w:rsidR="00A975C3" w:rsidRPr="00D0336A">
        <w:rPr>
          <w:rFonts w:ascii="Arial" w:hAnsi="Arial" w:cs="Arial"/>
          <w:noProof/>
          <w:color w:val="000000"/>
          <w:sz w:val="20"/>
          <w:szCs w:val="20"/>
          <w:shd w:val="clear" w:color="auto" w:fill="FEFEFE"/>
        </w:rPr>
        <w:t xml:space="preserve"> отделните култури </w:t>
      </w:r>
      <w:r w:rsidR="00930753" w:rsidRPr="00D0336A">
        <w:rPr>
          <w:rFonts w:ascii="Arial" w:hAnsi="Arial" w:cs="Arial"/>
          <w:noProof/>
          <w:color w:val="000000"/>
          <w:sz w:val="20"/>
          <w:szCs w:val="20"/>
          <w:shd w:val="clear" w:color="auto" w:fill="FEFEFE"/>
        </w:rPr>
        <w:t xml:space="preserve">е публикувана както в наредбата, така и в </w:t>
      </w:r>
      <w:r w:rsidR="00A975C3" w:rsidRPr="00D0336A">
        <w:rPr>
          <w:rFonts w:ascii="Arial" w:hAnsi="Arial" w:cs="Arial"/>
          <w:noProof/>
          <w:color w:val="000000"/>
          <w:sz w:val="20"/>
          <w:szCs w:val="20"/>
          <w:shd w:val="clear" w:color="auto" w:fill="FEFEFE"/>
        </w:rPr>
        <w:t xml:space="preserve">Наръчника за директни плащания – кампания 2020. </w:t>
      </w:r>
      <w:r w:rsidR="00A975C3" w:rsidRPr="00D0336A">
        <w:rPr>
          <w:rFonts w:ascii="Arial" w:hAnsi="Arial" w:cs="Arial"/>
          <w:noProof/>
          <w:sz w:val="20"/>
          <w:szCs w:val="20"/>
        </w:rPr>
        <w:t xml:space="preserve">Кандидатите по схемите, които са заявили площи със сертифицирано биологично производство и/или площи в преход към биологично земеделие, удостоверяват минимални добиви от </w:t>
      </w:r>
      <w:r w:rsidR="00930753" w:rsidRPr="00D0336A">
        <w:rPr>
          <w:rFonts w:ascii="Arial" w:hAnsi="Arial" w:cs="Arial"/>
          <w:noProof/>
          <w:sz w:val="20"/>
          <w:szCs w:val="20"/>
        </w:rPr>
        <w:t>тези площи</w:t>
      </w:r>
      <w:r w:rsidR="00A975C3" w:rsidRPr="00D0336A">
        <w:rPr>
          <w:rFonts w:ascii="Arial" w:hAnsi="Arial" w:cs="Arial"/>
          <w:noProof/>
          <w:sz w:val="20"/>
          <w:szCs w:val="20"/>
        </w:rPr>
        <w:t xml:space="preserve"> за съответната култура в размер на 50% от изискваните добиви. Наръчникът е достъпен на следния електронен адрес на страницата на Министество на земеделеито, храните и горите:</w:t>
      </w:r>
      <w:r w:rsidR="00A975C3" w:rsidRPr="00467853">
        <w:rPr>
          <w:rFonts w:ascii="Arial" w:hAnsi="Arial" w:cs="Arial"/>
          <w:noProof/>
          <w:sz w:val="20"/>
          <w:szCs w:val="20"/>
        </w:rPr>
        <w:t xml:space="preserve"> </w:t>
      </w:r>
      <w:hyperlink r:id="rId9" w:history="1">
        <w:r w:rsidR="00A975C3" w:rsidRPr="00467853">
          <w:rPr>
            <w:rStyle w:val="Hyperlink"/>
            <w:rFonts w:ascii="Arial" w:hAnsi="Arial" w:cs="Arial"/>
            <w:noProof/>
            <w:sz w:val="20"/>
            <w:szCs w:val="20"/>
          </w:rPr>
          <w:t>https://www.mzh.government.bg/bg/politiki-i-programi/programi-za-finansirane/direktni-plashaniya/polezni-nasoki-prezentacii-i-rkovodstva/</w:t>
        </w:r>
      </w:hyperlink>
      <w:r w:rsidR="00A975C3" w:rsidRPr="00467853">
        <w:rPr>
          <w:rFonts w:ascii="Arial" w:hAnsi="Arial" w:cs="Arial"/>
          <w:noProof/>
          <w:sz w:val="20"/>
          <w:szCs w:val="20"/>
        </w:rPr>
        <w:t xml:space="preserve"> .</w:t>
      </w:r>
    </w:p>
    <w:tbl>
      <w:tblPr>
        <w:tblW w:w="10159" w:type="dxa"/>
        <w:tblInd w:w="108" w:type="dxa"/>
        <w:tblLook w:val="01E0" w:firstRow="1" w:lastRow="1" w:firstColumn="1" w:lastColumn="1" w:noHBand="0" w:noVBand="0"/>
      </w:tblPr>
      <w:tblGrid>
        <w:gridCol w:w="9923"/>
        <w:gridCol w:w="236"/>
      </w:tblGrid>
      <w:tr w:rsidR="001B1430" w:rsidRPr="006E7A46" w:rsidTr="00F73636">
        <w:tc>
          <w:tcPr>
            <w:tcW w:w="9923" w:type="dxa"/>
            <w:shd w:val="clear" w:color="auto" w:fill="C0C0C0"/>
            <w:hideMark/>
          </w:tcPr>
          <w:p w:rsidR="001B1430" w:rsidRPr="006E7A46" w:rsidRDefault="001B1430" w:rsidP="00F73636">
            <w:pPr>
              <w:jc w:val="both"/>
              <w:rPr>
                <w:rFonts w:ascii="Arial" w:hAnsi="Arial" w:cs="Arial"/>
                <w:b/>
                <w:i/>
                <w:sz w:val="20"/>
              </w:rPr>
            </w:pPr>
            <w:r w:rsidRPr="006E7A46">
              <w:rPr>
                <w:rFonts w:ascii="Arial" w:hAnsi="Arial" w:cs="Arial"/>
                <w:b/>
                <w:i/>
                <w:sz w:val="20"/>
              </w:rPr>
              <w:t>Пазарна подкрепа</w:t>
            </w:r>
          </w:p>
        </w:tc>
        <w:tc>
          <w:tcPr>
            <w:tcW w:w="236" w:type="dxa"/>
          </w:tcPr>
          <w:p w:rsidR="001B1430" w:rsidRPr="006E7A46" w:rsidRDefault="001B1430" w:rsidP="00F73636">
            <w:pPr>
              <w:jc w:val="both"/>
              <w:rPr>
                <w:rFonts w:ascii="Arial" w:hAnsi="Arial" w:cs="Arial"/>
                <w:b/>
                <w:i/>
                <w:sz w:val="20"/>
              </w:rPr>
            </w:pPr>
          </w:p>
        </w:tc>
      </w:tr>
    </w:tbl>
    <w:p w:rsidR="001B1430" w:rsidRPr="006E7A46" w:rsidRDefault="001B1430" w:rsidP="001B1430">
      <w:pPr>
        <w:jc w:val="both"/>
        <w:rPr>
          <w:rFonts w:ascii="Arial" w:eastAsia="SimSun" w:hAnsi="Arial" w:cs="Arial"/>
          <w:b/>
          <w:bCs/>
          <w:color w:val="000000"/>
          <w:sz w:val="20"/>
          <w:lang w:val="en-US" w:eastAsia="bg-BG"/>
        </w:rPr>
      </w:pPr>
    </w:p>
    <w:p w:rsidR="000144D9" w:rsidRPr="00D0336A" w:rsidRDefault="000144D9" w:rsidP="00995DC8">
      <w:pPr>
        <w:jc w:val="both"/>
        <w:rPr>
          <w:rFonts w:ascii="Arial" w:hAnsi="Arial" w:cs="Arial"/>
          <w:noProof/>
          <w:color w:val="212121"/>
          <w:sz w:val="20"/>
          <w:shd w:val="clear" w:color="auto" w:fill="FFFFFF"/>
        </w:rPr>
      </w:pPr>
      <w:r w:rsidRPr="00467853">
        <w:rPr>
          <w:rFonts w:ascii="Arial" w:hAnsi="Arial" w:cs="Arial"/>
          <w:b/>
          <w:noProof/>
          <w:sz w:val="20"/>
        </w:rPr>
        <w:t xml:space="preserve">2. </w:t>
      </w:r>
      <w:r w:rsidR="00502EB0" w:rsidRPr="00467853">
        <w:rPr>
          <w:rFonts w:ascii="Arial" w:hAnsi="Arial" w:cs="Arial"/>
          <w:b/>
          <w:bCs/>
          <w:noProof/>
          <w:color w:val="212121"/>
          <w:sz w:val="20"/>
          <w:shd w:val="clear" w:color="auto" w:fill="FFFFFF"/>
        </w:rPr>
        <w:t>Въпросник за доставчици относно нелоялни търговски практики (НТП) във веригата за доставки на селскостопански продукти и храни.</w:t>
      </w:r>
      <w:r w:rsidR="00502EB0" w:rsidRPr="00467853">
        <w:rPr>
          <w:rFonts w:ascii="Arial" w:hAnsi="Arial" w:cs="Arial"/>
          <w:noProof/>
          <w:color w:val="212121"/>
          <w:sz w:val="20"/>
          <w:shd w:val="clear" w:color="auto" w:fill="FFFFFF"/>
        </w:rPr>
        <w:t>   </w:t>
      </w:r>
      <w:r w:rsidR="00502EB0" w:rsidRPr="00D0336A">
        <w:rPr>
          <w:rFonts w:ascii="Arial" w:hAnsi="Arial" w:cs="Arial"/>
          <w:noProof/>
          <w:color w:val="212121"/>
          <w:sz w:val="20"/>
          <w:shd w:val="clear" w:color="auto" w:fill="FFFFFF"/>
        </w:rPr>
        <w:t>Европейската комисия ще провежда ежегодно проучване, за да оцени ефективността на мерките, които се предприемат от държавите-членки в контекста на Директива (ЕС) 2019/633 на Европейския парламент и на Съвета относно нелоялните търговски практики (НТП) в отношенията между предприятията във веригата за доставки на селскостопански продукти и храни, която беше приета на 17.04.2019 г. Началото на проучването се поставя с изходен въпросник, който има за цел да установи какво е състоянието във веригата за доставки преди да бъдат приложени тези национални мерки. Настоящото проучване от Съвместния изследователски център и Генерална дирекция „Земеделие и развитие на селските райони“ на Европейската комисия се провежда във всички държави-членки и е насочено към доставчици, обхванати от директивата, на различните етапи на веригата за доставки на селскостопански продукти и храни. След приключване на изследването,  резултатите в анонимен вид ще бъдат публикувани на адрес:</w:t>
      </w:r>
      <w:r w:rsidR="00726138" w:rsidRPr="00D0336A">
        <w:rPr>
          <w:rFonts w:ascii="Arial" w:hAnsi="Arial" w:cs="Arial"/>
          <w:noProof/>
          <w:color w:val="212121"/>
          <w:sz w:val="20"/>
          <w:shd w:val="clear" w:color="auto" w:fill="FFFFFF"/>
        </w:rPr>
        <w:t xml:space="preserve"> </w:t>
      </w:r>
      <w:hyperlink r:id="rId10" w:tgtFrame="_blank" w:history="1">
        <w:r w:rsidR="00502EB0" w:rsidRPr="00D0336A">
          <w:rPr>
            <w:rFonts w:ascii="Arial" w:hAnsi="Arial" w:cs="Arial"/>
            <w:noProof/>
            <w:color w:val="0000FF"/>
            <w:sz w:val="20"/>
            <w:u w:val="single"/>
            <w:shd w:val="clear" w:color="auto" w:fill="FFFFFF"/>
          </w:rPr>
          <w:t>https://datam.jrc.ec.europa.eu/datam/mashup/FOODCHAIN_UTP/index.htm</w:t>
        </w:r>
      </w:hyperlink>
      <w:r w:rsidR="00502EB0" w:rsidRPr="00D0336A">
        <w:rPr>
          <w:rFonts w:ascii="Arial" w:hAnsi="Arial" w:cs="Arial"/>
          <w:noProof/>
          <w:color w:val="212121"/>
          <w:sz w:val="20"/>
          <w:shd w:val="clear" w:color="auto" w:fill="FFFFFF"/>
        </w:rPr>
        <w:t>.  Правоприлагащият орган съгласно Директива (ЕС) 2019/633, който ще следи за прилагане разпоредбите на директивата в България, е Комисията за защита на конкуренцията. Въпросникът ще бъде отворен за попълване до 31 януари 2021 г. Връзка към въпросника: </w:t>
      </w:r>
      <w:hyperlink r:id="rId11" w:tgtFrame="_blank" w:history="1">
        <w:r w:rsidR="00502EB0" w:rsidRPr="00D0336A">
          <w:rPr>
            <w:rFonts w:ascii="Arial" w:hAnsi="Arial" w:cs="Arial"/>
            <w:noProof/>
            <w:color w:val="0000FF"/>
            <w:sz w:val="20"/>
            <w:u w:val="single"/>
            <w:shd w:val="clear" w:color="auto" w:fill="FFFFFF"/>
          </w:rPr>
          <w:t>https://ec.europa.eu/eusurvey/runner/UTPs_Baseline_Survey</w:t>
        </w:r>
      </w:hyperlink>
      <w:r w:rsidR="00502EB0" w:rsidRPr="00D0336A">
        <w:rPr>
          <w:rFonts w:ascii="Arial" w:hAnsi="Arial" w:cs="Arial"/>
          <w:noProof/>
          <w:color w:val="212121"/>
          <w:sz w:val="20"/>
          <w:shd w:val="clear" w:color="auto" w:fill="FFFFFF"/>
        </w:rPr>
        <w:t> .</w:t>
      </w:r>
    </w:p>
    <w:p w:rsidR="001B1430" w:rsidRPr="00467853" w:rsidRDefault="001B1430" w:rsidP="00B4350F">
      <w:pPr>
        <w:rPr>
          <w:rFonts w:ascii="Arial" w:eastAsia="SimSun" w:hAnsi="Arial" w:cs="Arial"/>
          <w:b/>
          <w:bCs/>
          <w:noProof/>
          <w:color w:val="000000"/>
          <w:sz w:val="20"/>
          <w:lang w:eastAsia="bg-BG"/>
        </w:rPr>
      </w:pPr>
    </w:p>
    <w:tbl>
      <w:tblPr>
        <w:tblW w:w="10156" w:type="dxa"/>
        <w:tblInd w:w="108" w:type="dxa"/>
        <w:tblLook w:val="01E0" w:firstRow="1" w:lastRow="1" w:firstColumn="1" w:lastColumn="1" w:noHBand="0" w:noVBand="0"/>
      </w:tblPr>
      <w:tblGrid>
        <w:gridCol w:w="9900"/>
        <w:gridCol w:w="256"/>
      </w:tblGrid>
      <w:tr w:rsidR="001B1430" w:rsidRPr="00467853" w:rsidTr="00F73636">
        <w:tc>
          <w:tcPr>
            <w:tcW w:w="9900" w:type="dxa"/>
            <w:shd w:val="clear" w:color="auto" w:fill="C0C0C0"/>
            <w:hideMark/>
          </w:tcPr>
          <w:p w:rsidR="001B1430" w:rsidRPr="00467853" w:rsidRDefault="001B1430" w:rsidP="00F73636">
            <w:pPr>
              <w:tabs>
                <w:tab w:val="left" w:pos="1020"/>
              </w:tabs>
              <w:autoSpaceDE w:val="0"/>
              <w:autoSpaceDN w:val="0"/>
              <w:adjustRightInd w:val="0"/>
              <w:jc w:val="both"/>
              <w:rPr>
                <w:rFonts w:ascii="Arial" w:hAnsi="Arial" w:cs="Arial"/>
                <w:b/>
                <w:i/>
                <w:iCs/>
                <w:noProof/>
                <w:sz w:val="20"/>
              </w:rPr>
            </w:pPr>
            <w:r w:rsidRPr="00467853">
              <w:rPr>
                <w:rFonts w:ascii="Arial" w:hAnsi="Arial" w:cs="Arial"/>
                <w:b/>
                <w:i/>
                <w:noProof/>
                <w:sz w:val="20"/>
              </w:rPr>
              <w:t>Визия за ОСП след 2020 г.</w:t>
            </w:r>
          </w:p>
        </w:tc>
        <w:tc>
          <w:tcPr>
            <w:tcW w:w="256" w:type="dxa"/>
          </w:tcPr>
          <w:p w:rsidR="001B1430" w:rsidRPr="00467853" w:rsidRDefault="001B1430" w:rsidP="00F73636">
            <w:pPr>
              <w:jc w:val="both"/>
              <w:rPr>
                <w:rFonts w:ascii="Arial" w:hAnsi="Arial" w:cs="Arial"/>
                <w:b/>
                <w:noProof/>
                <w:sz w:val="20"/>
              </w:rPr>
            </w:pPr>
          </w:p>
        </w:tc>
      </w:tr>
    </w:tbl>
    <w:p w:rsidR="001B1430" w:rsidRPr="00467853" w:rsidRDefault="002A2BBE" w:rsidP="001B1430">
      <w:pPr>
        <w:jc w:val="both"/>
        <w:rPr>
          <w:rFonts w:ascii="Arial" w:hAnsi="Arial" w:cs="Arial"/>
          <w:b/>
          <w:noProof/>
          <w:sz w:val="20"/>
        </w:rPr>
      </w:pPr>
      <w:r w:rsidRPr="00467853">
        <w:rPr>
          <w:rFonts w:ascii="Arial" w:hAnsi="Arial" w:cs="Arial"/>
          <w:b/>
          <w:noProof/>
          <w:sz w:val="20"/>
        </w:rPr>
        <w:t xml:space="preserve"> </w:t>
      </w:r>
    </w:p>
    <w:p w:rsidR="001A04DA" w:rsidRPr="00467853" w:rsidRDefault="002A2BBE" w:rsidP="001A04DA">
      <w:pPr>
        <w:shd w:val="clear" w:color="auto" w:fill="FFFFFF"/>
        <w:spacing w:before="48" w:after="120"/>
        <w:jc w:val="both"/>
        <w:rPr>
          <w:rFonts w:ascii="Arial" w:eastAsia="Calibri" w:hAnsi="Arial" w:cs="Arial"/>
          <w:bCs/>
          <w:noProof/>
          <w:sz w:val="20"/>
        </w:rPr>
      </w:pPr>
      <w:r w:rsidRPr="00467853">
        <w:rPr>
          <w:rFonts w:ascii="Arial" w:hAnsi="Arial" w:cs="Arial"/>
          <w:b/>
          <w:noProof/>
          <w:sz w:val="20"/>
        </w:rPr>
        <w:t>3.</w:t>
      </w:r>
      <w:r w:rsidR="00A77E07" w:rsidRPr="00467853">
        <w:rPr>
          <w:rFonts w:ascii="Arial" w:hAnsi="Arial" w:cs="Arial"/>
          <w:b/>
          <w:bCs/>
          <w:noProof/>
          <w:color w:val="000000"/>
          <w:sz w:val="20"/>
        </w:rPr>
        <w:t xml:space="preserve"> </w:t>
      </w:r>
      <w:r w:rsidR="00AA0722" w:rsidRPr="00467853">
        <w:rPr>
          <w:rFonts w:ascii="Arial" w:hAnsi="Arial" w:cs="Arial"/>
          <w:noProof/>
          <w:color w:val="000000"/>
          <w:sz w:val="20"/>
        </w:rPr>
        <w:t xml:space="preserve"> </w:t>
      </w:r>
      <w:r w:rsidR="001A04DA" w:rsidRPr="00467853">
        <w:rPr>
          <w:rFonts w:ascii="Arial" w:eastAsia="Calibri" w:hAnsi="Arial" w:cs="Arial"/>
          <w:b/>
          <w:bCs/>
          <w:noProof/>
          <w:sz w:val="20"/>
        </w:rPr>
        <w:t>На пленарна сесия</w:t>
      </w:r>
      <w:r w:rsidR="007A04CF" w:rsidRPr="00467853">
        <w:rPr>
          <w:rFonts w:ascii="Arial" w:eastAsia="Calibri" w:hAnsi="Arial" w:cs="Arial"/>
          <w:b/>
          <w:bCs/>
          <w:noProof/>
          <w:sz w:val="20"/>
        </w:rPr>
        <w:t>, проведена на 23 октомври,</w:t>
      </w:r>
      <w:r w:rsidR="001A04DA" w:rsidRPr="00467853">
        <w:rPr>
          <w:rFonts w:ascii="Arial" w:eastAsia="Calibri" w:hAnsi="Arial" w:cs="Arial"/>
          <w:b/>
          <w:bCs/>
          <w:noProof/>
          <w:sz w:val="20"/>
        </w:rPr>
        <w:t xml:space="preserve"> Европейския</w:t>
      </w:r>
      <w:r w:rsidR="007A04CF" w:rsidRPr="00467853">
        <w:rPr>
          <w:rFonts w:ascii="Arial" w:eastAsia="Calibri" w:hAnsi="Arial" w:cs="Arial"/>
          <w:b/>
          <w:bCs/>
          <w:noProof/>
          <w:sz w:val="20"/>
        </w:rPr>
        <w:t>т парламент  гласува</w:t>
      </w:r>
      <w:r w:rsidR="001A04DA" w:rsidRPr="00467853">
        <w:rPr>
          <w:rFonts w:ascii="Arial" w:eastAsia="Calibri" w:hAnsi="Arial" w:cs="Arial"/>
          <w:b/>
          <w:bCs/>
          <w:noProof/>
          <w:sz w:val="20"/>
        </w:rPr>
        <w:t xml:space="preserve"> в подкрепа на пакета от регламенти, определящи правилата за прилагане на ОСП след 2022 г. </w:t>
      </w:r>
      <w:r w:rsidR="007A04CF" w:rsidRPr="00467853">
        <w:rPr>
          <w:rFonts w:ascii="Arial" w:eastAsia="Calibri" w:hAnsi="Arial" w:cs="Arial"/>
          <w:bCs/>
          <w:noProof/>
          <w:sz w:val="20"/>
        </w:rPr>
        <w:t>Евродепутатите</w:t>
      </w:r>
      <w:r w:rsidR="001A04DA" w:rsidRPr="00467853">
        <w:rPr>
          <w:rFonts w:ascii="Arial" w:eastAsia="Calibri" w:hAnsi="Arial" w:cs="Arial"/>
          <w:bCs/>
          <w:noProof/>
          <w:sz w:val="20"/>
        </w:rPr>
        <w:t xml:space="preserve"> одобри</w:t>
      </w:r>
      <w:r w:rsidR="007A04CF" w:rsidRPr="00467853">
        <w:rPr>
          <w:rFonts w:ascii="Arial" w:eastAsia="Calibri" w:hAnsi="Arial" w:cs="Arial"/>
          <w:bCs/>
          <w:noProof/>
          <w:sz w:val="20"/>
        </w:rPr>
        <w:t>ха</w:t>
      </w:r>
      <w:r w:rsidR="001A04DA" w:rsidRPr="00467853">
        <w:rPr>
          <w:rFonts w:ascii="Arial" w:eastAsia="Calibri" w:hAnsi="Arial" w:cs="Arial"/>
          <w:bCs/>
          <w:noProof/>
          <w:sz w:val="20"/>
        </w:rPr>
        <w:t xml:space="preserve"> Регламент за стратегическите планове с 425 гласа "за" срещу 212 "против" и 51 "въздържал се". Регламентът за </w:t>
      </w:r>
      <w:r w:rsidR="00EC3777" w:rsidRPr="00467853">
        <w:rPr>
          <w:rFonts w:ascii="Arial" w:eastAsia="Calibri" w:hAnsi="Arial" w:cs="Arial"/>
          <w:bCs/>
          <w:noProof/>
          <w:sz w:val="20"/>
        </w:rPr>
        <w:t>общата организация на пазарите</w:t>
      </w:r>
      <w:r w:rsidR="001A04DA" w:rsidRPr="00467853">
        <w:rPr>
          <w:rFonts w:ascii="Arial" w:eastAsia="Calibri" w:hAnsi="Arial" w:cs="Arial"/>
          <w:bCs/>
          <w:noProof/>
          <w:sz w:val="20"/>
        </w:rPr>
        <w:t xml:space="preserve"> беше одобрен с 463 гласа „за“ срещу 133 „против“ и 92 „въздържал се“. Регламентът относно финансирането, управлението и мониторинга на ОСП беше одобрен с 434 гласа "за" срещу 185 "против" и 69 „въздържал се“. </w:t>
      </w:r>
      <w:r w:rsidR="007A04CF" w:rsidRPr="00467853">
        <w:rPr>
          <w:rFonts w:ascii="Arial" w:eastAsia="Calibri" w:hAnsi="Arial" w:cs="Arial"/>
          <w:bCs/>
          <w:noProof/>
          <w:sz w:val="20"/>
        </w:rPr>
        <w:t>ЕП прие</w:t>
      </w:r>
      <w:r w:rsidR="001A04DA" w:rsidRPr="00467853">
        <w:rPr>
          <w:rFonts w:ascii="Arial" w:eastAsia="Calibri" w:hAnsi="Arial" w:cs="Arial"/>
          <w:bCs/>
          <w:noProof/>
          <w:sz w:val="20"/>
        </w:rPr>
        <w:t xml:space="preserve"> бъдещата селскостопанска политика на ЕС да бъде по-гъвкава и устойчива на кризи, така че земеделските стопани да продължат да осигуряват продоволствена сигурност в целия ЕС. Членовете на ЕП одобриха промяна в политиката, която би трябвало по-добре да приспособи селскостопанската политика на ЕС към нуждите на отделните държави-членки. Националните правителства </w:t>
      </w:r>
      <w:r w:rsidR="00EC3777" w:rsidRPr="00467853">
        <w:rPr>
          <w:rFonts w:ascii="Arial" w:eastAsia="Calibri" w:hAnsi="Arial" w:cs="Arial"/>
          <w:bCs/>
          <w:noProof/>
          <w:sz w:val="20"/>
        </w:rPr>
        <w:t>ще</w:t>
      </w:r>
      <w:r w:rsidR="001A04DA" w:rsidRPr="00467853">
        <w:rPr>
          <w:rFonts w:ascii="Arial" w:eastAsia="Calibri" w:hAnsi="Arial" w:cs="Arial"/>
          <w:bCs/>
          <w:noProof/>
          <w:sz w:val="20"/>
        </w:rPr>
        <w:t xml:space="preserve"> изготвят стратегически планове, които Комисията ще одобри</w:t>
      </w:r>
      <w:r w:rsidR="00EC3777" w:rsidRPr="00467853">
        <w:rPr>
          <w:rFonts w:ascii="Arial" w:eastAsia="Calibri" w:hAnsi="Arial" w:cs="Arial"/>
          <w:bCs/>
          <w:noProof/>
          <w:sz w:val="20"/>
        </w:rPr>
        <w:t xml:space="preserve">. В тях </w:t>
      </w:r>
      <w:r w:rsidR="00FE64C7" w:rsidRPr="00467853">
        <w:rPr>
          <w:rFonts w:ascii="Arial" w:eastAsia="Calibri" w:hAnsi="Arial" w:cs="Arial"/>
          <w:bCs/>
          <w:noProof/>
          <w:sz w:val="20"/>
        </w:rPr>
        <w:t>държавите членки</w:t>
      </w:r>
      <w:r w:rsidR="00EC3777" w:rsidRPr="00467853">
        <w:rPr>
          <w:rFonts w:ascii="Arial" w:eastAsia="Calibri" w:hAnsi="Arial" w:cs="Arial"/>
          <w:bCs/>
          <w:noProof/>
          <w:sz w:val="20"/>
        </w:rPr>
        <w:t xml:space="preserve"> ще</w:t>
      </w:r>
      <w:r w:rsidR="001A04DA" w:rsidRPr="00467853">
        <w:rPr>
          <w:rFonts w:ascii="Arial" w:eastAsia="Calibri" w:hAnsi="Arial" w:cs="Arial"/>
          <w:bCs/>
          <w:noProof/>
          <w:sz w:val="20"/>
        </w:rPr>
        <w:t xml:space="preserve"> посочат как възнамеряват да изпълняват целите на ЕС</w:t>
      </w:r>
      <w:r w:rsidR="00FE64C7" w:rsidRPr="00467853">
        <w:rPr>
          <w:rFonts w:ascii="Arial" w:eastAsia="Calibri" w:hAnsi="Arial" w:cs="Arial"/>
          <w:bCs/>
          <w:noProof/>
          <w:sz w:val="20"/>
        </w:rPr>
        <w:t>, а</w:t>
      </w:r>
      <w:r w:rsidR="001A04DA" w:rsidRPr="00467853">
        <w:rPr>
          <w:rFonts w:ascii="Arial" w:eastAsia="Calibri" w:hAnsi="Arial" w:cs="Arial"/>
          <w:bCs/>
          <w:noProof/>
          <w:sz w:val="20"/>
        </w:rPr>
        <w:t xml:space="preserve"> Комисията ще проверява </w:t>
      </w:r>
      <w:r w:rsidR="00FE64C7" w:rsidRPr="00467853">
        <w:rPr>
          <w:rFonts w:ascii="Arial" w:eastAsia="Calibri" w:hAnsi="Arial" w:cs="Arial"/>
          <w:bCs/>
          <w:noProof/>
          <w:sz w:val="20"/>
        </w:rPr>
        <w:t xml:space="preserve">тяхното </w:t>
      </w:r>
      <w:r w:rsidR="001A04DA" w:rsidRPr="00467853">
        <w:rPr>
          <w:rFonts w:ascii="Arial" w:eastAsia="Calibri" w:hAnsi="Arial" w:cs="Arial"/>
          <w:bCs/>
          <w:noProof/>
          <w:sz w:val="20"/>
        </w:rPr>
        <w:t xml:space="preserve">изпълнение. Целите на стратегическите планове ще бъдат в </w:t>
      </w:r>
      <w:r w:rsidR="001A04DA" w:rsidRPr="00467853">
        <w:rPr>
          <w:rFonts w:ascii="Arial" w:eastAsia="Calibri" w:hAnsi="Arial" w:cs="Arial"/>
          <w:bCs/>
          <w:noProof/>
          <w:sz w:val="20"/>
        </w:rPr>
        <w:lastRenderedPageBreak/>
        <w:t xml:space="preserve">съответствие </w:t>
      </w:r>
      <w:r w:rsidR="002B0B1F" w:rsidRPr="00467853">
        <w:rPr>
          <w:rFonts w:ascii="Arial" w:eastAsia="Calibri" w:hAnsi="Arial" w:cs="Arial"/>
          <w:bCs/>
          <w:noProof/>
          <w:sz w:val="20"/>
        </w:rPr>
        <w:t xml:space="preserve">и </w:t>
      </w:r>
      <w:r w:rsidR="001A04DA" w:rsidRPr="00467853">
        <w:rPr>
          <w:rFonts w:ascii="Arial" w:eastAsia="Calibri" w:hAnsi="Arial" w:cs="Arial"/>
          <w:bCs/>
          <w:noProof/>
          <w:sz w:val="20"/>
        </w:rPr>
        <w:t>с Парижкото споразумение</w:t>
      </w:r>
      <w:r w:rsidR="002B0B1F" w:rsidRPr="00467853">
        <w:rPr>
          <w:rFonts w:ascii="Arial" w:eastAsia="Calibri" w:hAnsi="Arial" w:cs="Arial"/>
          <w:bCs/>
          <w:noProof/>
          <w:sz w:val="20"/>
        </w:rPr>
        <w:t xml:space="preserve"> за климата</w:t>
      </w:r>
      <w:r w:rsidR="001A04DA" w:rsidRPr="00467853">
        <w:rPr>
          <w:rFonts w:ascii="Arial" w:eastAsia="Calibri" w:hAnsi="Arial" w:cs="Arial"/>
          <w:bCs/>
          <w:noProof/>
          <w:sz w:val="20"/>
        </w:rPr>
        <w:t>. Относно задължителните изисквания за практики с благоприятно влияние върху климата и околната среда, т. е. предварителните условия, които всеки земеделски стопанин трябва да изпълнява</w:t>
      </w:r>
      <w:r w:rsidR="005E6E48" w:rsidRPr="00467853">
        <w:rPr>
          <w:rFonts w:ascii="Arial" w:eastAsia="Calibri" w:hAnsi="Arial" w:cs="Arial"/>
          <w:bCs/>
          <w:noProof/>
          <w:sz w:val="20"/>
        </w:rPr>
        <w:t>,</w:t>
      </w:r>
      <w:r w:rsidR="001A04DA" w:rsidRPr="00467853">
        <w:rPr>
          <w:rFonts w:ascii="Arial" w:eastAsia="Calibri" w:hAnsi="Arial" w:cs="Arial"/>
          <w:bCs/>
          <w:noProof/>
          <w:sz w:val="20"/>
        </w:rPr>
        <w:t xml:space="preserve"> за да получава директна подкрепа, евродепутатите настояват поне 30% от пакета за директни плащания да бъде насочен към еко-схеми, които биха били доброволни</w:t>
      </w:r>
      <w:r w:rsidR="005E6E48" w:rsidRPr="00467853">
        <w:rPr>
          <w:rFonts w:ascii="Arial" w:eastAsia="Calibri" w:hAnsi="Arial" w:cs="Arial"/>
          <w:bCs/>
          <w:noProof/>
          <w:sz w:val="20"/>
        </w:rPr>
        <w:t xml:space="preserve"> за земеделските стопани</w:t>
      </w:r>
      <w:r w:rsidR="001A04DA" w:rsidRPr="00467853">
        <w:rPr>
          <w:rFonts w:ascii="Arial" w:eastAsia="Calibri" w:hAnsi="Arial" w:cs="Arial"/>
          <w:bCs/>
          <w:noProof/>
          <w:sz w:val="20"/>
        </w:rPr>
        <w:t xml:space="preserve">, но биха могли да увеличат </w:t>
      </w:r>
      <w:r w:rsidR="005E6E48" w:rsidRPr="00467853">
        <w:rPr>
          <w:rFonts w:ascii="Arial" w:eastAsia="Calibri" w:hAnsi="Arial" w:cs="Arial"/>
          <w:bCs/>
          <w:noProof/>
          <w:sz w:val="20"/>
        </w:rPr>
        <w:t xml:space="preserve">техните </w:t>
      </w:r>
      <w:r w:rsidR="001A04DA" w:rsidRPr="00467853">
        <w:rPr>
          <w:rFonts w:ascii="Arial" w:eastAsia="Calibri" w:hAnsi="Arial" w:cs="Arial"/>
          <w:bCs/>
          <w:noProof/>
          <w:sz w:val="20"/>
        </w:rPr>
        <w:t xml:space="preserve">доходи. Най-малко 35% от бюджета за развитие на селските райони </w:t>
      </w:r>
      <w:r w:rsidR="00E3609A" w:rsidRPr="00467853">
        <w:rPr>
          <w:rFonts w:ascii="Arial" w:eastAsia="Calibri" w:hAnsi="Arial" w:cs="Arial"/>
          <w:bCs/>
          <w:noProof/>
          <w:sz w:val="20"/>
        </w:rPr>
        <w:t xml:space="preserve">следва </w:t>
      </w:r>
      <w:r w:rsidR="001A04DA" w:rsidRPr="00467853">
        <w:rPr>
          <w:rFonts w:ascii="Arial" w:eastAsia="Calibri" w:hAnsi="Arial" w:cs="Arial"/>
          <w:bCs/>
          <w:noProof/>
          <w:sz w:val="20"/>
        </w:rPr>
        <w:t>да бъд</w:t>
      </w:r>
      <w:r w:rsidR="00E3609A" w:rsidRPr="00467853">
        <w:rPr>
          <w:rFonts w:ascii="Arial" w:eastAsia="Calibri" w:hAnsi="Arial" w:cs="Arial"/>
          <w:bCs/>
          <w:noProof/>
          <w:sz w:val="20"/>
        </w:rPr>
        <w:t>е</w:t>
      </w:r>
      <w:r w:rsidR="001A04DA" w:rsidRPr="00467853">
        <w:rPr>
          <w:rFonts w:ascii="Arial" w:eastAsia="Calibri" w:hAnsi="Arial" w:cs="Arial"/>
          <w:bCs/>
          <w:noProof/>
          <w:sz w:val="20"/>
        </w:rPr>
        <w:t xml:space="preserve"> предназначен за мерки, свързани с околната среда и климата. Евродепутатите настояват във всяка държава</w:t>
      </w:r>
      <w:r w:rsidR="00DF5BAD" w:rsidRPr="00467853">
        <w:rPr>
          <w:rFonts w:ascii="Arial" w:eastAsia="Calibri" w:hAnsi="Arial" w:cs="Arial"/>
          <w:bCs/>
          <w:noProof/>
          <w:sz w:val="20"/>
        </w:rPr>
        <w:t xml:space="preserve"> -</w:t>
      </w:r>
      <w:r w:rsidR="001A04DA" w:rsidRPr="00467853">
        <w:rPr>
          <w:rFonts w:ascii="Arial" w:eastAsia="Calibri" w:hAnsi="Arial" w:cs="Arial"/>
          <w:bCs/>
          <w:noProof/>
          <w:sz w:val="20"/>
        </w:rPr>
        <w:t xml:space="preserve"> членка да бъдат създадени консултантски услуги в областта на земеделието, както и най-малко  30% от финансирането им от ЕС да се използва за  подпомагане на земеделските производители да се борят с изменението на климата, за устойчиво управление на природните ресурси и защитата на биологичното разнообразие. Евродепутатите приканват държавите-членки да насърчават фермерите да използват най-малко 10% от земите си за поддържане на ландшафтни елементи, които са от полза за биологичното разнообразие, като жив плет, непродуктивни дървета и езера. Намаляване на плащанията към по-големи ферми, подпомагане на малки и млади фермери също е част от реформираната ОСП. Депутатите гласуваха </w:t>
      </w:r>
      <w:r w:rsidR="00CA2340" w:rsidRPr="00467853">
        <w:rPr>
          <w:rFonts w:ascii="Arial" w:eastAsia="Calibri" w:hAnsi="Arial" w:cs="Arial"/>
          <w:bCs/>
          <w:noProof/>
          <w:sz w:val="20"/>
        </w:rPr>
        <w:t xml:space="preserve">за </w:t>
      </w:r>
      <w:r w:rsidR="001A04DA" w:rsidRPr="00467853">
        <w:rPr>
          <w:rFonts w:ascii="Arial" w:eastAsia="Calibri" w:hAnsi="Arial" w:cs="Arial"/>
          <w:bCs/>
          <w:noProof/>
          <w:sz w:val="20"/>
        </w:rPr>
        <w:t>прогресивно намаляване на годишните директни плащания на земеделски</w:t>
      </w:r>
      <w:r w:rsidR="00CA2340" w:rsidRPr="00467853">
        <w:rPr>
          <w:rFonts w:ascii="Arial" w:eastAsia="Calibri" w:hAnsi="Arial" w:cs="Arial"/>
          <w:bCs/>
          <w:noProof/>
          <w:sz w:val="20"/>
        </w:rPr>
        <w:t>те</w:t>
      </w:r>
      <w:r w:rsidR="001A04DA" w:rsidRPr="00467853">
        <w:rPr>
          <w:rFonts w:ascii="Arial" w:eastAsia="Calibri" w:hAnsi="Arial" w:cs="Arial"/>
          <w:bCs/>
          <w:noProof/>
          <w:sz w:val="20"/>
        </w:rPr>
        <w:t xml:space="preserve"> производители над 60 000 евро и ограничаването им до 100 000 евро. </w:t>
      </w:r>
      <w:r w:rsidR="006A27AD" w:rsidRPr="00467853">
        <w:rPr>
          <w:rFonts w:ascii="Arial" w:eastAsia="Calibri" w:hAnsi="Arial" w:cs="Arial"/>
          <w:bCs/>
          <w:noProof/>
          <w:sz w:val="20"/>
        </w:rPr>
        <w:t>Н</w:t>
      </w:r>
      <w:r w:rsidR="001A04DA" w:rsidRPr="00467853">
        <w:rPr>
          <w:rFonts w:ascii="Arial" w:eastAsia="Calibri" w:hAnsi="Arial" w:cs="Arial"/>
          <w:bCs/>
          <w:noProof/>
          <w:sz w:val="20"/>
        </w:rPr>
        <w:t xml:space="preserve">а </w:t>
      </w:r>
      <w:r w:rsidR="006A27AD" w:rsidRPr="00467853">
        <w:rPr>
          <w:rFonts w:ascii="Arial" w:eastAsia="Calibri" w:hAnsi="Arial" w:cs="Arial"/>
          <w:bCs/>
          <w:noProof/>
          <w:sz w:val="20"/>
        </w:rPr>
        <w:t>фермерите</w:t>
      </w:r>
      <w:r w:rsidR="001A04DA" w:rsidRPr="00467853">
        <w:rPr>
          <w:rFonts w:ascii="Arial" w:eastAsia="Calibri" w:hAnsi="Arial" w:cs="Arial"/>
          <w:bCs/>
          <w:noProof/>
          <w:sz w:val="20"/>
        </w:rPr>
        <w:t> може да бъде позволено да приспаднат 50% от заплатите, свързани със селското стопанство от общата сум</w:t>
      </w:r>
      <w:r w:rsidR="00995B2F" w:rsidRPr="00467853">
        <w:rPr>
          <w:rFonts w:ascii="Arial" w:eastAsia="Calibri" w:hAnsi="Arial" w:cs="Arial"/>
          <w:bCs/>
          <w:noProof/>
          <w:sz w:val="20"/>
        </w:rPr>
        <w:t>а преди намаляването. </w:t>
      </w:r>
      <w:r w:rsidR="00995B2F" w:rsidRPr="00467853">
        <w:rPr>
          <w:rFonts w:ascii="Arial" w:eastAsia="Calibri" w:hAnsi="Arial" w:cs="Arial"/>
          <w:noProof/>
          <w:sz w:val="20"/>
        </w:rPr>
        <w:t>Най-малко 60% от средствата за директни плащания ще трябва да бъдат разпределени за финансиране на основното подпомагане на доходите за устойчивост, преразпределително</w:t>
      </w:r>
      <w:r w:rsidR="00CA2340" w:rsidRPr="00467853">
        <w:rPr>
          <w:rFonts w:ascii="Arial" w:eastAsia="Calibri" w:hAnsi="Arial" w:cs="Arial"/>
          <w:noProof/>
          <w:sz w:val="20"/>
        </w:rPr>
        <w:t>то</w:t>
      </w:r>
      <w:r w:rsidR="00995B2F" w:rsidRPr="00467853">
        <w:rPr>
          <w:rFonts w:ascii="Arial" w:eastAsia="Calibri" w:hAnsi="Arial" w:cs="Arial"/>
          <w:noProof/>
          <w:sz w:val="20"/>
        </w:rPr>
        <w:t xml:space="preserve"> плащане, обвързана</w:t>
      </w:r>
      <w:r w:rsidR="00CA2340" w:rsidRPr="00467853">
        <w:rPr>
          <w:rFonts w:ascii="Arial" w:eastAsia="Calibri" w:hAnsi="Arial" w:cs="Arial"/>
          <w:noProof/>
          <w:sz w:val="20"/>
        </w:rPr>
        <w:t>та</w:t>
      </w:r>
      <w:r w:rsidR="00995B2F" w:rsidRPr="00467853">
        <w:rPr>
          <w:rFonts w:ascii="Arial" w:eastAsia="Calibri" w:hAnsi="Arial" w:cs="Arial"/>
          <w:noProof/>
          <w:sz w:val="20"/>
        </w:rPr>
        <w:t xml:space="preserve"> подкрепа и интервенции</w:t>
      </w:r>
      <w:r w:rsidR="00CA2340" w:rsidRPr="00467853">
        <w:rPr>
          <w:rFonts w:ascii="Arial" w:eastAsia="Calibri" w:hAnsi="Arial" w:cs="Arial"/>
          <w:noProof/>
          <w:sz w:val="20"/>
        </w:rPr>
        <w:t>те</w:t>
      </w:r>
      <w:r w:rsidR="00995B2F" w:rsidRPr="00467853">
        <w:rPr>
          <w:rFonts w:ascii="Arial" w:eastAsia="Calibri" w:hAnsi="Arial" w:cs="Arial"/>
          <w:noProof/>
          <w:sz w:val="20"/>
        </w:rPr>
        <w:t xml:space="preserve"> в други сектори. Поне 6% от бюджета за директни плащания се запазва за преразпределително плащане</w:t>
      </w:r>
      <w:r w:rsidR="001A04DA" w:rsidRPr="00467853">
        <w:rPr>
          <w:rFonts w:ascii="Arial" w:eastAsia="Calibri" w:hAnsi="Arial" w:cs="Arial"/>
          <w:bCs/>
          <w:noProof/>
          <w:sz w:val="20"/>
        </w:rPr>
        <w:t>. Евродепутатите гласуваха в подкрепа на максим</w:t>
      </w:r>
      <w:r w:rsidR="001050C0" w:rsidRPr="00467853">
        <w:rPr>
          <w:rFonts w:ascii="Arial" w:eastAsia="Calibri" w:hAnsi="Arial" w:cs="Arial"/>
          <w:bCs/>
          <w:noProof/>
          <w:sz w:val="20"/>
        </w:rPr>
        <w:t>ално</w:t>
      </w:r>
      <w:r w:rsidR="001A04DA" w:rsidRPr="00467853">
        <w:rPr>
          <w:rFonts w:ascii="Arial" w:eastAsia="Calibri" w:hAnsi="Arial" w:cs="Arial"/>
          <w:bCs/>
          <w:noProof/>
          <w:sz w:val="20"/>
        </w:rPr>
        <w:t xml:space="preserve"> ниво от 10% + 2% (</w:t>
      </w:r>
      <w:r w:rsidR="001050C0" w:rsidRPr="00467853">
        <w:rPr>
          <w:rFonts w:ascii="Arial" w:eastAsia="Calibri" w:hAnsi="Arial" w:cs="Arial"/>
          <w:bCs/>
          <w:noProof/>
          <w:sz w:val="20"/>
        </w:rPr>
        <w:t xml:space="preserve">за </w:t>
      </w:r>
      <w:r w:rsidR="001A04DA" w:rsidRPr="00467853">
        <w:rPr>
          <w:rFonts w:ascii="Arial" w:eastAsia="Calibri" w:hAnsi="Arial" w:cs="Arial"/>
          <w:bCs/>
          <w:noProof/>
          <w:sz w:val="20"/>
        </w:rPr>
        <w:t>протеинови култури) за доброволна</w:t>
      </w:r>
      <w:r w:rsidR="001050C0" w:rsidRPr="00467853">
        <w:rPr>
          <w:rFonts w:ascii="Arial" w:eastAsia="Calibri" w:hAnsi="Arial" w:cs="Arial"/>
          <w:bCs/>
          <w:noProof/>
          <w:sz w:val="20"/>
        </w:rPr>
        <w:t>та</w:t>
      </w:r>
      <w:r w:rsidR="001A04DA" w:rsidRPr="00467853">
        <w:rPr>
          <w:rFonts w:ascii="Arial" w:eastAsia="Calibri" w:hAnsi="Arial" w:cs="Arial"/>
          <w:bCs/>
          <w:noProof/>
          <w:sz w:val="20"/>
        </w:rPr>
        <w:t xml:space="preserve"> обвързана подкрепа, като списъкът на допустимите сектори остава непроменен. Държавите от ЕС биха могли да използват поне 4% от бюджетите си за директни плащания за подпомагане на </w:t>
      </w:r>
      <w:r w:rsidR="001050C0" w:rsidRPr="00467853">
        <w:rPr>
          <w:rFonts w:ascii="Arial" w:eastAsia="Calibri" w:hAnsi="Arial" w:cs="Arial"/>
          <w:bCs/>
          <w:noProof/>
          <w:sz w:val="20"/>
        </w:rPr>
        <w:t xml:space="preserve">доходите на </w:t>
      </w:r>
      <w:r w:rsidR="001A04DA" w:rsidRPr="00467853">
        <w:rPr>
          <w:rFonts w:ascii="Arial" w:eastAsia="Calibri" w:hAnsi="Arial" w:cs="Arial"/>
          <w:bCs/>
          <w:noProof/>
          <w:sz w:val="20"/>
        </w:rPr>
        <w:t>млади фермери. Допълнителна подкрепа може да бъде предоставена от</w:t>
      </w:r>
      <w:r w:rsidR="001050C0" w:rsidRPr="00467853">
        <w:rPr>
          <w:rFonts w:ascii="Arial" w:eastAsia="Calibri" w:hAnsi="Arial" w:cs="Arial"/>
          <w:bCs/>
          <w:noProof/>
          <w:sz w:val="20"/>
        </w:rPr>
        <w:t xml:space="preserve"> </w:t>
      </w:r>
      <w:r w:rsidR="001A04DA" w:rsidRPr="00467853">
        <w:rPr>
          <w:rFonts w:ascii="Arial" w:eastAsia="Calibri" w:hAnsi="Arial" w:cs="Arial"/>
          <w:bCs/>
          <w:noProof/>
          <w:sz w:val="20"/>
        </w:rPr>
        <w:t>финансирането за развитие на селските райони, където инвестициите на младите фер</w:t>
      </w:r>
      <w:r w:rsidR="001050C0" w:rsidRPr="00467853">
        <w:rPr>
          <w:rFonts w:ascii="Arial" w:eastAsia="Calibri" w:hAnsi="Arial" w:cs="Arial"/>
          <w:bCs/>
          <w:noProof/>
          <w:sz w:val="20"/>
        </w:rPr>
        <w:t>мери могат да бъдат приоритетни</w:t>
      </w:r>
      <w:r w:rsidR="001A04DA" w:rsidRPr="00467853">
        <w:rPr>
          <w:rFonts w:ascii="Arial" w:eastAsia="Calibri" w:hAnsi="Arial" w:cs="Arial"/>
          <w:bCs/>
          <w:noProof/>
          <w:sz w:val="20"/>
        </w:rPr>
        <w:t>. Парламентът подчертава, че субсидиите от ЕС трябва да бъдат запазени само за тези, които се занимават поне с минимално ниво на селскостопанска дейност. </w:t>
      </w:r>
      <w:r w:rsidR="001050C0" w:rsidRPr="00467853">
        <w:rPr>
          <w:rFonts w:ascii="Arial" w:eastAsia="Calibri" w:hAnsi="Arial" w:cs="Arial"/>
          <w:bCs/>
          <w:noProof/>
          <w:sz w:val="20"/>
        </w:rPr>
        <w:t>Е</w:t>
      </w:r>
      <w:r w:rsidR="001A04DA" w:rsidRPr="00467853">
        <w:rPr>
          <w:rFonts w:ascii="Arial" w:eastAsia="Calibri" w:hAnsi="Arial" w:cs="Arial"/>
          <w:bCs/>
          <w:noProof/>
          <w:sz w:val="20"/>
        </w:rPr>
        <w:t>ксплоатира</w:t>
      </w:r>
      <w:r w:rsidR="001050C0" w:rsidRPr="00467853">
        <w:rPr>
          <w:rFonts w:ascii="Arial" w:eastAsia="Calibri" w:hAnsi="Arial" w:cs="Arial"/>
          <w:bCs/>
          <w:noProof/>
          <w:sz w:val="20"/>
        </w:rPr>
        <w:t>щите</w:t>
      </w:r>
      <w:r w:rsidR="001A04DA" w:rsidRPr="00467853">
        <w:rPr>
          <w:rFonts w:ascii="Arial" w:eastAsia="Calibri" w:hAnsi="Arial" w:cs="Arial"/>
          <w:bCs/>
          <w:noProof/>
          <w:sz w:val="20"/>
        </w:rPr>
        <w:t xml:space="preserve"> летища, железопътни услуги, водопроводи, услуги за недвижими имоти, постоянни спортни и развлекателни площадки, трябва автоматично да бъдат изключени.</w:t>
      </w:r>
      <w:r w:rsidR="001050C0" w:rsidRPr="00467853">
        <w:rPr>
          <w:rFonts w:ascii="Arial" w:eastAsia="Calibri" w:hAnsi="Arial" w:cs="Arial"/>
          <w:bCs/>
          <w:noProof/>
          <w:sz w:val="20"/>
        </w:rPr>
        <w:t xml:space="preserve"> </w:t>
      </w:r>
      <w:r w:rsidR="004A3C3F" w:rsidRPr="00467853">
        <w:rPr>
          <w:rFonts w:ascii="Arial" w:eastAsia="Calibri" w:hAnsi="Arial" w:cs="Arial"/>
          <w:bCs/>
          <w:noProof/>
          <w:sz w:val="20"/>
        </w:rPr>
        <w:t>През следващите седмици на ноември</w:t>
      </w:r>
      <w:r w:rsidR="001A04DA" w:rsidRPr="00467853">
        <w:rPr>
          <w:rFonts w:ascii="Arial" w:eastAsia="Calibri" w:hAnsi="Arial" w:cs="Arial"/>
          <w:bCs/>
          <w:noProof/>
          <w:sz w:val="20"/>
        </w:rPr>
        <w:t xml:space="preserve"> </w:t>
      </w:r>
      <w:r w:rsidR="004A3C3F" w:rsidRPr="00467853">
        <w:rPr>
          <w:rFonts w:ascii="Arial" w:eastAsia="Calibri" w:hAnsi="Arial" w:cs="Arial"/>
          <w:bCs/>
          <w:noProof/>
          <w:sz w:val="20"/>
        </w:rPr>
        <w:t>п</w:t>
      </w:r>
      <w:r w:rsidR="001A04DA" w:rsidRPr="00467853">
        <w:rPr>
          <w:rFonts w:ascii="Arial" w:eastAsia="Calibri" w:hAnsi="Arial" w:cs="Arial"/>
          <w:bCs/>
          <w:noProof/>
          <w:sz w:val="20"/>
        </w:rPr>
        <w:t>редстоят преговори</w:t>
      </w:r>
      <w:r w:rsidR="001050C0" w:rsidRPr="00467853">
        <w:rPr>
          <w:rFonts w:ascii="Arial" w:eastAsia="Calibri" w:hAnsi="Arial" w:cs="Arial"/>
          <w:bCs/>
          <w:noProof/>
          <w:sz w:val="20"/>
        </w:rPr>
        <w:t xml:space="preserve"> на ЕП</w:t>
      </w:r>
      <w:r w:rsidR="001A04DA" w:rsidRPr="00467853">
        <w:rPr>
          <w:rFonts w:ascii="Arial" w:eastAsia="Calibri" w:hAnsi="Arial" w:cs="Arial"/>
          <w:bCs/>
          <w:noProof/>
          <w:sz w:val="20"/>
        </w:rPr>
        <w:t xml:space="preserve"> </w:t>
      </w:r>
      <w:r w:rsidR="001050C0" w:rsidRPr="00467853">
        <w:rPr>
          <w:rFonts w:ascii="Arial" w:eastAsia="Calibri" w:hAnsi="Arial" w:cs="Arial"/>
          <w:bCs/>
          <w:noProof/>
          <w:sz w:val="20"/>
        </w:rPr>
        <w:t>със Съвета на ЕС и ЕК. Финалният текст на Регламент</w:t>
      </w:r>
      <w:r w:rsidR="00DF5BAD" w:rsidRPr="00467853">
        <w:rPr>
          <w:rFonts w:ascii="Arial" w:eastAsia="Calibri" w:hAnsi="Arial" w:cs="Arial"/>
          <w:bCs/>
          <w:noProof/>
          <w:sz w:val="20"/>
        </w:rPr>
        <w:t>а</w:t>
      </w:r>
      <w:r w:rsidR="001050C0" w:rsidRPr="00467853">
        <w:rPr>
          <w:rFonts w:ascii="Arial" w:eastAsia="Calibri" w:hAnsi="Arial" w:cs="Arial"/>
          <w:bCs/>
          <w:noProof/>
          <w:sz w:val="20"/>
        </w:rPr>
        <w:t xml:space="preserve"> ще се договори след триалози като споразумение между съзаконодателите. </w:t>
      </w:r>
    </w:p>
    <w:p w:rsidR="001A04DA" w:rsidRPr="00467853" w:rsidRDefault="00276B47" w:rsidP="00276B47">
      <w:pPr>
        <w:shd w:val="clear" w:color="auto" w:fill="FFFFFF"/>
        <w:jc w:val="both"/>
        <w:rPr>
          <w:rFonts w:ascii="Arial" w:hAnsi="Arial" w:cs="Arial"/>
          <w:noProof/>
          <w:color w:val="000000"/>
          <w:sz w:val="20"/>
        </w:rPr>
      </w:pPr>
      <w:r w:rsidRPr="00467853">
        <w:rPr>
          <w:rFonts w:ascii="Calibri" w:hAnsi="Calibri" w:cs="Calibri"/>
          <w:b/>
          <w:bCs/>
          <w:noProof/>
          <w:color w:val="000000"/>
          <w:szCs w:val="24"/>
        </w:rPr>
        <w:t xml:space="preserve">4. </w:t>
      </w:r>
      <w:r w:rsidRPr="00467853">
        <w:rPr>
          <w:rFonts w:ascii="Arial" w:hAnsi="Arial" w:cs="Arial"/>
          <w:b/>
          <w:bCs/>
          <w:noProof/>
          <w:color w:val="000000"/>
          <w:sz w:val="20"/>
        </w:rPr>
        <w:t>Триалозите за ОСП са поставени под въпрос, тъй като мерките срещу COVID-19 затрудняват провеждането на физически срещи.</w:t>
      </w:r>
      <w:r w:rsidRPr="00467853">
        <w:rPr>
          <w:rFonts w:ascii="Arial" w:hAnsi="Arial" w:cs="Arial"/>
          <w:noProof/>
          <w:color w:val="000000"/>
          <w:sz w:val="20"/>
        </w:rPr>
        <w:t xml:space="preserve"> </w:t>
      </w:r>
      <w:r w:rsidRPr="00467853">
        <w:rPr>
          <w:rFonts w:ascii="Arial" w:hAnsi="Arial" w:cs="Arial"/>
          <w:noProof/>
          <w:color w:val="000000"/>
          <w:sz w:val="20"/>
          <w:shd w:val="clear" w:color="auto" w:fill="FFFFFF"/>
        </w:rPr>
        <w:t xml:space="preserve">Европейският парламент (ЕП) предложи на 10 ноември да се проведе „супер триалог“ относно законодателния пакет за реформа на ОСП след 2020 г., като се комбинират преговорните екипи по трите отделни регламента. Норберт Линс (ЕНП), председател на Комисията по селско стопанство и развитие на селските райони към ЕП (COMAGRI), предложи стартиране на тази „мега“ среща на 10 ноември (датата беше отбелязана преди това за провеждане на дистанционно заседание на COMAGRI), като координаторите от отделните политически партии в ЕП приеха идеята. Този „супер триалог“ се очаква да бъде необичайна среща за започване на преговори относно законодателния пакет за реформа на ОСП след 2020 г., с очакване за провеждане на допълнителни тристранни срещи през следващата седмица, с осигурено присъствие от само един участник в преговорния екип, който да покрива един от регламентите. В контекста на тези предложения, все още се очаква потвърждение от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(които поставят под въпрос провеждане</w:t>
      </w:r>
      <w:r w:rsidR="002A6C14" w:rsidRPr="00467853">
        <w:rPr>
          <w:rFonts w:ascii="Arial" w:hAnsi="Arial" w:cs="Arial"/>
          <w:noProof/>
          <w:color w:val="000000"/>
          <w:sz w:val="20"/>
          <w:shd w:val="clear" w:color="auto" w:fill="FFFFFF"/>
        </w:rPr>
        <w:t>то</w:t>
      </w:r>
      <w:r w:rsidRPr="00467853">
        <w:rPr>
          <w:rFonts w:ascii="Arial" w:hAnsi="Arial" w:cs="Arial"/>
          <w:noProof/>
          <w:color w:val="000000"/>
          <w:sz w:val="20"/>
          <w:shd w:val="clear" w:color="auto" w:fill="FFFFFF"/>
        </w:rPr>
        <w:t xml:space="preserve"> на физически срещи) и дали ще има възможност това да стане чрез дистанционна форма.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вече призова за приемане на предпазлив подход, тъй като регистрираните положителни случаи с COVID-19 продължават да се увеличават, особено в гр. Брюксел (значително засегнат от т.нар. „втора вълна“ на случаи, започнала в края на септември). Съгласно бележка на говорителят на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(разпространена през миналата седмица) се подчертава, че „случаите на засегнати от COVID-19 в Брюксел са сред най-високите установени нива в Европа“. Поради тази причина трябва „да се полагат още повече внимание и грижи при организиране на физически срещи в Брюксел“, подчертава говорителят.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вече реши, че „физическите срещи на експертно ниво ще бъдат намалени до необходимия абсолютен минимум“, като в същото време „провеждането на дистанционни заседания ще бъде ограничено до приоритетните теми, като се вземат предвид също наличните пространствени, лични и технически ресурси на Генералния секретариат на Съвета и председателство</w:t>
      </w:r>
      <w:r w:rsidR="002A6C14" w:rsidRPr="00467853">
        <w:rPr>
          <w:rFonts w:ascii="Arial" w:hAnsi="Arial" w:cs="Arial"/>
          <w:noProof/>
          <w:color w:val="000000"/>
          <w:sz w:val="20"/>
          <w:shd w:val="clear" w:color="auto" w:fill="FFFFFF"/>
        </w:rPr>
        <w:t>то</w:t>
      </w:r>
      <w:r w:rsidRPr="00467853">
        <w:rPr>
          <w:rFonts w:ascii="Arial" w:hAnsi="Arial" w:cs="Arial"/>
          <w:noProof/>
          <w:color w:val="000000"/>
          <w:sz w:val="20"/>
          <w:shd w:val="clear" w:color="auto" w:fill="FFFFFF"/>
        </w:rPr>
        <w:t xml:space="preserve">. Съгласно официални лица от институциите „единствено срещи от съществено значение, необходими за функционирането на ЕС или за координиране на </w:t>
      </w:r>
      <w:r w:rsidRPr="00467853">
        <w:rPr>
          <w:rFonts w:ascii="Arial" w:hAnsi="Arial" w:cs="Arial"/>
          <w:noProof/>
          <w:color w:val="000000"/>
          <w:sz w:val="20"/>
          <w:shd w:val="clear" w:color="auto" w:fill="FFFFFF"/>
        </w:rPr>
        <w:lastRenderedPageBreak/>
        <w:t xml:space="preserve">действия в отговор на ситуацията с COVID-19 ще продължат да се провеждат присъствено и само при условие, че всички мерки за социална дистанция и дезинфекция се спазват стриктно, докато пандемичната ситуация в Брюксел налага това“.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счита за приоритетни текущите преговори относно дългосрочния бюджетен план на ЕС и планът за възстановяване, тъй като „на практика не е възможно да се постиг</w:t>
      </w:r>
      <w:r w:rsidR="002A6C14" w:rsidRPr="00467853">
        <w:rPr>
          <w:rFonts w:ascii="Arial" w:hAnsi="Arial" w:cs="Arial"/>
          <w:noProof/>
          <w:color w:val="000000"/>
          <w:sz w:val="20"/>
          <w:shd w:val="clear" w:color="auto" w:fill="FFFFFF"/>
        </w:rPr>
        <w:t xml:space="preserve">не споразумение между държавите </w:t>
      </w:r>
      <w:r w:rsidRPr="00467853">
        <w:rPr>
          <w:rFonts w:ascii="Arial" w:hAnsi="Arial" w:cs="Arial"/>
          <w:noProof/>
          <w:color w:val="000000"/>
          <w:sz w:val="20"/>
          <w:shd w:val="clear" w:color="auto" w:fill="FFFFFF"/>
        </w:rPr>
        <w:t xml:space="preserve">членки и ЕП без провеждане на физически срещи и преговори“. Позицията на </w:t>
      </w:r>
      <w:r w:rsidR="002A6C14" w:rsidRPr="00467853">
        <w:rPr>
          <w:rFonts w:ascii="Arial" w:hAnsi="Arial" w:cs="Arial"/>
          <w:noProof/>
          <w:color w:val="000000"/>
          <w:sz w:val="20"/>
          <w:shd w:val="clear" w:color="auto" w:fill="FFFFFF"/>
        </w:rPr>
        <w:t>германското</w:t>
      </w:r>
      <w:r w:rsidRPr="00467853">
        <w:rPr>
          <w:rFonts w:ascii="Arial" w:hAnsi="Arial" w:cs="Arial"/>
          <w:noProof/>
          <w:color w:val="000000"/>
          <w:sz w:val="20"/>
          <w:shd w:val="clear" w:color="auto" w:fill="FFFFFF"/>
        </w:rPr>
        <w:t xml:space="preserve"> председателство (подкрепена през миналата седмица също от посланиците в ЕС) е, че общата цел на всички трябва да остане „успешно постигане на споразумение възможно най-скоро, като се покаже способността на ЕС да действа успешно в тази ситуация“. Предстоящият Съвет по селско стопанство и рибарство, предвиден за 16-17 ноември, ще се върне отново към провеждане на дистанционни заседания.</w:t>
      </w:r>
    </w:p>
    <w:p w:rsidR="001A04DA" w:rsidRPr="00467853" w:rsidRDefault="001A04DA" w:rsidP="00E503AD">
      <w:pPr>
        <w:jc w:val="both"/>
        <w:rPr>
          <w:rFonts w:ascii="Arial" w:hAnsi="Arial" w:cs="Arial"/>
          <w:noProof/>
          <w:color w:val="000000"/>
          <w:sz w:val="20"/>
        </w:rPr>
      </w:pPr>
      <w:bookmarkStart w:id="0" w:name="_GoBack"/>
      <w:bookmarkEnd w:id="0"/>
    </w:p>
    <w:sectPr w:rsidR="001A04DA" w:rsidRPr="00467853" w:rsidSect="00852688">
      <w:headerReference w:type="default" r:id="rId12"/>
      <w:footerReference w:type="even" r:id="rId13"/>
      <w:footerReference w:type="default" r:id="rId14"/>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2F94" w:rsidRDefault="00C72F94">
      <w:r>
        <w:separator/>
      </w:r>
    </w:p>
  </w:endnote>
  <w:endnote w:type="continuationSeparator" w:id="0">
    <w:p w:rsidR="00C72F94" w:rsidRDefault="00C72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C72F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C72F94"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00BB2DA2">
      <w:rPr>
        <w:rFonts w:ascii="Arial" w:hAnsi="Arial"/>
        <w:i/>
        <w:iCs/>
        <w:color w:val="800080"/>
        <w:sz w:val="18"/>
        <w:szCs w:val="18"/>
        <w:lang w:val="ru-RU"/>
      </w:rPr>
      <w:tab/>
    </w:r>
    <w:r w:rsidR="00BB2DA2">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8721E">
      <w:rPr>
        <w:rFonts w:ascii="Arial" w:hAnsi="Arial"/>
        <w:i/>
        <w:iCs/>
        <w:noProof/>
        <w:color w:val="800080"/>
        <w:sz w:val="18"/>
        <w:szCs w:val="18"/>
      </w:rPr>
      <w:t>3</w:t>
    </w:r>
    <w:r w:rsidRPr="004B3CB3">
      <w:rPr>
        <w:rFonts w:ascii="Arial" w:hAnsi="Arial"/>
        <w:i/>
        <w:iCs/>
        <w:color w:val="800080"/>
        <w:sz w:val="18"/>
        <w:szCs w:val="18"/>
      </w:rPr>
      <w:fldChar w:fldCharType="end"/>
    </w:r>
  </w:p>
  <w:p w:rsidR="005618E1" w:rsidRPr="004B3CB3" w:rsidRDefault="00C72F94">
    <w:pPr>
      <w:pStyle w:val="Footer"/>
      <w:ind w:right="360"/>
      <w:rPr>
        <w:rFonts w:ascii="Arial" w:hAnsi="Arial"/>
        <w:i/>
        <w:iCs/>
        <w:color w:val="800080"/>
        <w:sz w:val="18"/>
        <w:szCs w:val="18"/>
        <w:lang w:val="ru-RU"/>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2F94" w:rsidRDefault="00C72F94">
      <w:r>
        <w:separator/>
      </w:r>
    </w:p>
  </w:footnote>
  <w:footnote w:type="continuationSeparator" w:id="0">
    <w:p w:rsidR="00C72F94" w:rsidRDefault="00C72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6A48E07" wp14:editId="31E9860D">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C72F94"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C72F94">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3130C9">
      <w:rPr>
        <w:rFonts w:ascii="Arial" w:hAnsi="Arial"/>
        <w:b/>
        <w:bCs/>
        <w:color w:val="800080"/>
        <w:sz w:val="20"/>
        <w:lang w:val="en-US"/>
      </w:rPr>
      <w:t>40</w:t>
    </w:r>
    <w:r>
      <w:rPr>
        <w:rFonts w:ascii="Arial" w:hAnsi="Arial"/>
        <w:b/>
        <w:bCs/>
        <w:color w:val="800080"/>
        <w:sz w:val="20"/>
      </w:rPr>
      <w:t>/</w:t>
    </w:r>
    <w:r w:rsidR="003130C9">
      <w:rPr>
        <w:rFonts w:ascii="Arial" w:hAnsi="Arial"/>
        <w:b/>
        <w:bCs/>
        <w:color w:val="800080"/>
        <w:sz w:val="20"/>
      </w:rPr>
      <w:t>02</w:t>
    </w:r>
    <w:r w:rsidR="006E7A46">
      <w:rPr>
        <w:rFonts w:ascii="Arial" w:hAnsi="Arial"/>
        <w:b/>
        <w:bCs/>
        <w:color w:val="800080"/>
        <w:sz w:val="20"/>
        <w:lang w:val="en-US"/>
      </w:rPr>
      <w:t>.</w:t>
    </w:r>
    <w:r w:rsidR="003130C9">
      <w:rPr>
        <w:rFonts w:ascii="Arial" w:hAnsi="Arial"/>
        <w:b/>
        <w:bCs/>
        <w:color w:val="800080"/>
        <w:sz w:val="20"/>
        <w:lang w:val="en-US"/>
      </w:rPr>
      <w:t>11</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4366B"/>
    <w:rsid w:val="00046BB0"/>
    <w:rsid w:val="00046D50"/>
    <w:rsid w:val="00050832"/>
    <w:rsid w:val="000518AE"/>
    <w:rsid w:val="0005714A"/>
    <w:rsid w:val="0006687D"/>
    <w:rsid w:val="000678FD"/>
    <w:rsid w:val="0007208A"/>
    <w:rsid w:val="00081DAE"/>
    <w:rsid w:val="00091CD4"/>
    <w:rsid w:val="000A31F0"/>
    <w:rsid w:val="000B2026"/>
    <w:rsid w:val="000B7B54"/>
    <w:rsid w:val="001050C0"/>
    <w:rsid w:val="001164FC"/>
    <w:rsid w:val="001173C3"/>
    <w:rsid w:val="00117A81"/>
    <w:rsid w:val="00120AD2"/>
    <w:rsid w:val="00131A6D"/>
    <w:rsid w:val="00134872"/>
    <w:rsid w:val="0013606E"/>
    <w:rsid w:val="0014608C"/>
    <w:rsid w:val="001639CC"/>
    <w:rsid w:val="00170DF4"/>
    <w:rsid w:val="00173E25"/>
    <w:rsid w:val="00180311"/>
    <w:rsid w:val="00180441"/>
    <w:rsid w:val="00186654"/>
    <w:rsid w:val="00193EEE"/>
    <w:rsid w:val="001A04DA"/>
    <w:rsid w:val="001A6A7A"/>
    <w:rsid w:val="001B1430"/>
    <w:rsid w:val="001B5399"/>
    <w:rsid w:val="001C3F62"/>
    <w:rsid w:val="001E1EAA"/>
    <w:rsid w:val="001E1F98"/>
    <w:rsid w:val="001E4050"/>
    <w:rsid w:val="001E4C01"/>
    <w:rsid w:val="001F2EC7"/>
    <w:rsid w:val="001F396B"/>
    <w:rsid w:val="00210721"/>
    <w:rsid w:val="002118F6"/>
    <w:rsid w:val="00215B7E"/>
    <w:rsid w:val="002163C0"/>
    <w:rsid w:val="00221CDF"/>
    <w:rsid w:val="0024546F"/>
    <w:rsid w:val="002521C1"/>
    <w:rsid w:val="00254A7A"/>
    <w:rsid w:val="002610A9"/>
    <w:rsid w:val="002653C2"/>
    <w:rsid w:val="00274F4E"/>
    <w:rsid w:val="00275471"/>
    <w:rsid w:val="00276B47"/>
    <w:rsid w:val="00285183"/>
    <w:rsid w:val="0029075B"/>
    <w:rsid w:val="002918DE"/>
    <w:rsid w:val="0029220D"/>
    <w:rsid w:val="002A2BBE"/>
    <w:rsid w:val="002A2C5F"/>
    <w:rsid w:val="002A5150"/>
    <w:rsid w:val="002A6A4C"/>
    <w:rsid w:val="002A6C14"/>
    <w:rsid w:val="002B0B1F"/>
    <w:rsid w:val="002B379D"/>
    <w:rsid w:val="002B44DA"/>
    <w:rsid w:val="002C21A3"/>
    <w:rsid w:val="002C512F"/>
    <w:rsid w:val="002C69BE"/>
    <w:rsid w:val="002C6EFE"/>
    <w:rsid w:val="002D0216"/>
    <w:rsid w:val="002D1A87"/>
    <w:rsid w:val="002D25F9"/>
    <w:rsid w:val="002D4BE9"/>
    <w:rsid w:val="002F1104"/>
    <w:rsid w:val="002F3080"/>
    <w:rsid w:val="002F6211"/>
    <w:rsid w:val="002F7E40"/>
    <w:rsid w:val="00300FA3"/>
    <w:rsid w:val="00301F31"/>
    <w:rsid w:val="00303C35"/>
    <w:rsid w:val="00304D05"/>
    <w:rsid w:val="00305C45"/>
    <w:rsid w:val="00311B9C"/>
    <w:rsid w:val="00312DA6"/>
    <w:rsid w:val="003130C9"/>
    <w:rsid w:val="00313FBA"/>
    <w:rsid w:val="00320AF0"/>
    <w:rsid w:val="0033369E"/>
    <w:rsid w:val="00350E9F"/>
    <w:rsid w:val="00353ACF"/>
    <w:rsid w:val="00381E85"/>
    <w:rsid w:val="003877CA"/>
    <w:rsid w:val="003952CE"/>
    <w:rsid w:val="00396C28"/>
    <w:rsid w:val="003A3D0E"/>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11829"/>
    <w:rsid w:val="004133A8"/>
    <w:rsid w:val="00414784"/>
    <w:rsid w:val="00422311"/>
    <w:rsid w:val="004317EA"/>
    <w:rsid w:val="0043388D"/>
    <w:rsid w:val="0044148C"/>
    <w:rsid w:val="00446398"/>
    <w:rsid w:val="00464133"/>
    <w:rsid w:val="0046415A"/>
    <w:rsid w:val="00467853"/>
    <w:rsid w:val="004923C1"/>
    <w:rsid w:val="00496775"/>
    <w:rsid w:val="004A0254"/>
    <w:rsid w:val="004A3C3F"/>
    <w:rsid w:val="004A4C92"/>
    <w:rsid w:val="004B46D9"/>
    <w:rsid w:val="004C22EE"/>
    <w:rsid w:val="004E2503"/>
    <w:rsid w:val="004F4705"/>
    <w:rsid w:val="004F5E4F"/>
    <w:rsid w:val="00502A0A"/>
    <w:rsid w:val="00502EB0"/>
    <w:rsid w:val="0051071D"/>
    <w:rsid w:val="005159B7"/>
    <w:rsid w:val="005179AD"/>
    <w:rsid w:val="005247A5"/>
    <w:rsid w:val="0052706F"/>
    <w:rsid w:val="005279E4"/>
    <w:rsid w:val="00530C09"/>
    <w:rsid w:val="00537A32"/>
    <w:rsid w:val="00542DE9"/>
    <w:rsid w:val="005500D5"/>
    <w:rsid w:val="00550360"/>
    <w:rsid w:val="00551604"/>
    <w:rsid w:val="005622B8"/>
    <w:rsid w:val="00562C02"/>
    <w:rsid w:val="00563064"/>
    <w:rsid w:val="00594324"/>
    <w:rsid w:val="00596313"/>
    <w:rsid w:val="005A0184"/>
    <w:rsid w:val="005B1884"/>
    <w:rsid w:val="005B4574"/>
    <w:rsid w:val="005C1BB7"/>
    <w:rsid w:val="005E6E48"/>
    <w:rsid w:val="005F3548"/>
    <w:rsid w:val="006068B4"/>
    <w:rsid w:val="00623765"/>
    <w:rsid w:val="00626A3F"/>
    <w:rsid w:val="00627881"/>
    <w:rsid w:val="006367A9"/>
    <w:rsid w:val="00642BB6"/>
    <w:rsid w:val="0066444F"/>
    <w:rsid w:val="00670A9D"/>
    <w:rsid w:val="00682667"/>
    <w:rsid w:val="006961F0"/>
    <w:rsid w:val="006A094F"/>
    <w:rsid w:val="006A27AD"/>
    <w:rsid w:val="006A3F88"/>
    <w:rsid w:val="006A7391"/>
    <w:rsid w:val="006A739D"/>
    <w:rsid w:val="006B2769"/>
    <w:rsid w:val="006C196D"/>
    <w:rsid w:val="006E1CB2"/>
    <w:rsid w:val="006E7A46"/>
    <w:rsid w:val="006F38F7"/>
    <w:rsid w:val="0070200F"/>
    <w:rsid w:val="00705B40"/>
    <w:rsid w:val="00713942"/>
    <w:rsid w:val="00714838"/>
    <w:rsid w:val="00723155"/>
    <w:rsid w:val="00726138"/>
    <w:rsid w:val="00726AB6"/>
    <w:rsid w:val="007332BE"/>
    <w:rsid w:val="00734448"/>
    <w:rsid w:val="00750FB4"/>
    <w:rsid w:val="007712FE"/>
    <w:rsid w:val="00773E5E"/>
    <w:rsid w:val="00782D3D"/>
    <w:rsid w:val="007846E5"/>
    <w:rsid w:val="007A04CF"/>
    <w:rsid w:val="007A388B"/>
    <w:rsid w:val="007A70E6"/>
    <w:rsid w:val="007B03F2"/>
    <w:rsid w:val="007B0CB0"/>
    <w:rsid w:val="007C3F39"/>
    <w:rsid w:val="007C75B4"/>
    <w:rsid w:val="007D7438"/>
    <w:rsid w:val="007E46F1"/>
    <w:rsid w:val="007E475C"/>
    <w:rsid w:val="007F4E89"/>
    <w:rsid w:val="008030C3"/>
    <w:rsid w:val="00811B89"/>
    <w:rsid w:val="00816686"/>
    <w:rsid w:val="0082007C"/>
    <w:rsid w:val="008206C1"/>
    <w:rsid w:val="0083184F"/>
    <w:rsid w:val="0083232B"/>
    <w:rsid w:val="00832E6F"/>
    <w:rsid w:val="00845489"/>
    <w:rsid w:val="00852DE4"/>
    <w:rsid w:val="00861450"/>
    <w:rsid w:val="00865E24"/>
    <w:rsid w:val="0087702E"/>
    <w:rsid w:val="0087763E"/>
    <w:rsid w:val="008803A4"/>
    <w:rsid w:val="008836F2"/>
    <w:rsid w:val="0088497C"/>
    <w:rsid w:val="0088721E"/>
    <w:rsid w:val="008933AB"/>
    <w:rsid w:val="0089662D"/>
    <w:rsid w:val="008A0628"/>
    <w:rsid w:val="008A1360"/>
    <w:rsid w:val="008B2118"/>
    <w:rsid w:val="008B4F0A"/>
    <w:rsid w:val="008D0E78"/>
    <w:rsid w:val="008D2FF4"/>
    <w:rsid w:val="008D58EC"/>
    <w:rsid w:val="008D7A9E"/>
    <w:rsid w:val="008E0F81"/>
    <w:rsid w:val="008F1C90"/>
    <w:rsid w:val="008F41F1"/>
    <w:rsid w:val="008F7ECC"/>
    <w:rsid w:val="009063C7"/>
    <w:rsid w:val="0090678A"/>
    <w:rsid w:val="00910462"/>
    <w:rsid w:val="00917F99"/>
    <w:rsid w:val="009203FA"/>
    <w:rsid w:val="00930753"/>
    <w:rsid w:val="00934FA6"/>
    <w:rsid w:val="009355BA"/>
    <w:rsid w:val="00936F1A"/>
    <w:rsid w:val="00955B0D"/>
    <w:rsid w:val="00956512"/>
    <w:rsid w:val="009704A2"/>
    <w:rsid w:val="00975F09"/>
    <w:rsid w:val="00977CA7"/>
    <w:rsid w:val="00987C91"/>
    <w:rsid w:val="00995B2F"/>
    <w:rsid w:val="00995DC8"/>
    <w:rsid w:val="0099695D"/>
    <w:rsid w:val="009A2752"/>
    <w:rsid w:val="009A5D09"/>
    <w:rsid w:val="009B1FAD"/>
    <w:rsid w:val="009D0924"/>
    <w:rsid w:val="009D6F1E"/>
    <w:rsid w:val="009E45D3"/>
    <w:rsid w:val="009E6BDB"/>
    <w:rsid w:val="009F4E95"/>
    <w:rsid w:val="009F5F02"/>
    <w:rsid w:val="009F7022"/>
    <w:rsid w:val="00A02393"/>
    <w:rsid w:val="00A1170C"/>
    <w:rsid w:val="00A15D87"/>
    <w:rsid w:val="00A227FC"/>
    <w:rsid w:val="00A25AAA"/>
    <w:rsid w:val="00A447C0"/>
    <w:rsid w:val="00A50E2C"/>
    <w:rsid w:val="00A5214D"/>
    <w:rsid w:val="00A56825"/>
    <w:rsid w:val="00A673EB"/>
    <w:rsid w:val="00A74737"/>
    <w:rsid w:val="00A77E07"/>
    <w:rsid w:val="00A77EC5"/>
    <w:rsid w:val="00A82ACC"/>
    <w:rsid w:val="00A975C3"/>
    <w:rsid w:val="00AA0722"/>
    <w:rsid w:val="00AB0C28"/>
    <w:rsid w:val="00AB140A"/>
    <w:rsid w:val="00AB1841"/>
    <w:rsid w:val="00AB2303"/>
    <w:rsid w:val="00AC73DE"/>
    <w:rsid w:val="00AD504F"/>
    <w:rsid w:val="00AE0D25"/>
    <w:rsid w:val="00AE14FF"/>
    <w:rsid w:val="00AE2FF4"/>
    <w:rsid w:val="00B03285"/>
    <w:rsid w:val="00B16835"/>
    <w:rsid w:val="00B16C07"/>
    <w:rsid w:val="00B200ED"/>
    <w:rsid w:val="00B3223C"/>
    <w:rsid w:val="00B34793"/>
    <w:rsid w:val="00B36E39"/>
    <w:rsid w:val="00B411AC"/>
    <w:rsid w:val="00B4350F"/>
    <w:rsid w:val="00B539A9"/>
    <w:rsid w:val="00B6207E"/>
    <w:rsid w:val="00B64F87"/>
    <w:rsid w:val="00B73DA3"/>
    <w:rsid w:val="00B81125"/>
    <w:rsid w:val="00B8112B"/>
    <w:rsid w:val="00B853D4"/>
    <w:rsid w:val="00B90317"/>
    <w:rsid w:val="00B93F21"/>
    <w:rsid w:val="00BA2A9E"/>
    <w:rsid w:val="00BB2DA2"/>
    <w:rsid w:val="00BC35B8"/>
    <w:rsid w:val="00BC70E2"/>
    <w:rsid w:val="00BE55CA"/>
    <w:rsid w:val="00BF118B"/>
    <w:rsid w:val="00BF28EC"/>
    <w:rsid w:val="00C00F88"/>
    <w:rsid w:val="00C05E95"/>
    <w:rsid w:val="00C20809"/>
    <w:rsid w:val="00C3643A"/>
    <w:rsid w:val="00C37B23"/>
    <w:rsid w:val="00C44608"/>
    <w:rsid w:val="00C574EE"/>
    <w:rsid w:val="00C60D17"/>
    <w:rsid w:val="00C6312D"/>
    <w:rsid w:val="00C718EB"/>
    <w:rsid w:val="00C72852"/>
    <w:rsid w:val="00C72F94"/>
    <w:rsid w:val="00C7577F"/>
    <w:rsid w:val="00C801BF"/>
    <w:rsid w:val="00C861F8"/>
    <w:rsid w:val="00CA2340"/>
    <w:rsid w:val="00CA35A8"/>
    <w:rsid w:val="00CA7960"/>
    <w:rsid w:val="00CB196D"/>
    <w:rsid w:val="00CB2886"/>
    <w:rsid w:val="00CC7CF0"/>
    <w:rsid w:val="00CE5E69"/>
    <w:rsid w:val="00CF0DEA"/>
    <w:rsid w:val="00D000AE"/>
    <w:rsid w:val="00D00178"/>
    <w:rsid w:val="00D0336A"/>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9096D"/>
    <w:rsid w:val="00DA44A9"/>
    <w:rsid w:val="00DA4860"/>
    <w:rsid w:val="00DC5A8E"/>
    <w:rsid w:val="00DE752F"/>
    <w:rsid w:val="00DF5BAD"/>
    <w:rsid w:val="00DF7E91"/>
    <w:rsid w:val="00E02B6A"/>
    <w:rsid w:val="00E17E07"/>
    <w:rsid w:val="00E2125A"/>
    <w:rsid w:val="00E23670"/>
    <w:rsid w:val="00E24FA2"/>
    <w:rsid w:val="00E256E7"/>
    <w:rsid w:val="00E25EF2"/>
    <w:rsid w:val="00E350AD"/>
    <w:rsid w:val="00E35D6F"/>
    <w:rsid w:val="00E3609A"/>
    <w:rsid w:val="00E4290A"/>
    <w:rsid w:val="00E44DF1"/>
    <w:rsid w:val="00E47639"/>
    <w:rsid w:val="00E503AD"/>
    <w:rsid w:val="00E51A6D"/>
    <w:rsid w:val="00E5449B"/>
    <w:rsid w:val="00E6099A"/>
    <w:rsid w:val="00E60B1D"/>
    <w:rsid w:val="00E62866"/>
    <w:rsid w:val="00E67885"/>
    <w:rsid w:val="00EA4B29"/>
    <w:rsid w:val="00EA4B99"/>
    <w:rsid w:val="00EA5878"/>
    <w:rsid w:val="00EB0F17"/>
    <w:rsid w:val="00EB289B"/>
    <w:rsid w:val="00EB4927"/>
    <w:rsid w:val="00EB783C"/>
    <w:rsid w:val="00EC0DDC"/>
    <w:rsid w:val="00EC3777"/>
    <w:rsid w:val="00EC4213"/>
    <w:rsid w:val="00EC6BA3"/>
    <w:rsid w:val="00EE1065"/>
    <w:rsid w:val="00EE38E7"/>
    <w:rsid w:val="00EE7B1B"/>
    <w:rsid w:val="00F029F3"/>
    <w:rsid w:val="00F0360F"/>
    <w:rsid w:val="00F12C83"/>
    <w:rsid w:val="00F23EFD"/>
    <w:rsid w:val="00F30D26"/>
    <w:rsid w:val="00F40970"/>
    <w:rsid w:val="00F43319"/>
    <w:rsid w:val="00F4416D"/>
    <w:rsid w:val="00F531AD"/>
    <w:rsid w:val="00F6008B"/>
    <w:rsid w:val="00F66446"/>
    <w:rsid w:val="00F67B7A"/>
    <w:rsid w:val="00F70B6C"/>
    <w:rsid w:val="00F72B07"/>
    <w:rsid w:val="00F72F6C"/>
    <w:rsid w:val="00F73C4B"/>
    <w:rsid w:val="00F74337"/>
    <w:rsid w:val="00F86325"/>
    <w:rsid w:val="00F906B0"/>
    <w:rsid w:val="00F95033"/>
    <w:rsid w:val="00FD4196"/>
    <w:rsid w:val="00FD5503"/>
    <w:rsid w:val="00FE14C1"/>
    <w:rsid w:val="00FE4D8F"/>
    <w:rsid w:val="00FE64C7"/>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65777302">
      <w:bodyDiv w:val="1"/>
      <w:marLeft w:val="0"/>
      <w:marRight w:val="0"/>
      <w:marTop w:val="0"/>
      <w:marBottom w:val="0"/>
      <w:divBdr>
        <w:top w:val="none" w:sz="0" w:space="0" w:color="auto"/>
        <w:left w:val="none" w:sz="0" w:space="0" w:color="auto"/>
        <w:bottom w:val="none" w:sz="0" w:space="0" w:color="auto"/>
        <w:right w:val="none" w:sz="0" w:space="0" w:color="auto"/>
      </w:divBdr>
      <w:divsChild>
        <w:div w:id="1503395997">
          <w:marLeft w:val="0"/>
          <w:marRight w:val="0"/>
          <w:marTop w:val="0"/>
          <w:marBottom w:val="160"/>
          <w:divBdr>
            <w:top w:val="none" w:sz="0" w:space="0" w:color="auto"/>
            <w:left w:val="none" w:sz="0" w:space="0" w:color="auto"/>
            <w:bottom w:val="none" w:sz="0" w:space="0" w:color="auto"/>
            <w:right w:val="none" w:sz="0" w:space="0" w:color="auto"/>
          </w:divBdr>
        </w:div>
      </w:divsChild>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165778052">
      <w:bodyDiv w:val="1"/>
      <w:marLeft w:val="0"/>
      <w:marRight w:val="0"/>
      <w:marTop w:val="0"/>
      <w:marBottom w:val="0"/>
      <w:divBdr>
        <w:top w:val="none" w:sz="0" w:space="0" w:color="auto"/>
        <w:left w:val="none" w:sz="0" w:space="0" w:color="auto"/>
        <w:bottom w:val="none" w:sz="0" w:space="0" w:color="auto"/>
        <w:right w:val="none" w:sz="0" w:space="0" w:color="auto"/>
      </w:divBdr>
      <w:divsChild>
        <w:div w:id="1181777647">
          <w:marLeft w:val="0"/>
          <w:marRight w:val="0"/>
          <w:marTop w:val="0"/>
          <w:marBottom w:val="0"/>
          <w:divBdr>
            <w:top w:val="none" w:sz="0" w:space="0" w:color="auto"/>
            <w:left w:val="none" w:sz="0" w:space="0" w:color="auto"/>
            <w:bottom w:val="none" w:sz="0" w:space="0" w:color="auto"/>
            <w:right w:val="none" w:sz="0" w:space="0" w:color="auto"/>
          </w:divBdr>
        </w:div>
      </w:divsChild>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69504198">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eusurvey/runner/UTPs_Baseline_Survey"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datam.jrc.ec.europa.eu/datam/mashup/FOODCHAIN_UTP/index.htm" TargetMode="External"/><Relationship Id="rId4" Type="http://schemas.microsoft.com/office/2007/relationships/stylesWithEffects" Target="stylesWithEffects.xml"/><Relationship Id="rId9" Type="http://schemas.openxmlformats.org/officeDocument/2006/relationships/hyperlink" Target="https://www.mzh.government.bg/bg/politiki-i-programi/programi-za-finansirane/direktni-plashaniya/polezni-nasoki-prezentacii-i-rkovodstva/"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20F2C0-88D1-477D-A3C0-D75637502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3</Pages>
  <Words>1668</Words>
  <Characters>9513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32</cp:revision>
  <dcterms:created xsi:type="dcterms:W3CDTF">2020-11-02T11:09:00Z</dcterms:created>
  <dcterms:modified xsi:type="dcterms:W3CDTF">2020-11-02T14:13:00Z</dcterms:modified>
</cp:coreProperties>
</file>