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FE4D8F" w:rsidRPr="0002016E" w:rsidRDefault="00FE4D8F" w:rsidP="008B7A95">
      <w:pPr>
        <w:jc w:val="both"/>
        <w:rPr>
          <w:rStyle w:val="longtext"/>
          <w:rFonts w:ascii="Arial" w:hAnsi="Arial" w:cs="Arial"/>
          <w:b/>
          <w:sz w:val="20"/>
        </w:rPr>
      </w:pPr>
    </w:p>
    <w:p w:rsidR="00FE4FAD" w:rsidRPr="0002016E" w:rsidRDefault="007E2D2C" w:rsidP="008B7A95">
      <w:pPr>
        <w:jc w:val="both"/>
        <w:rPr>
          <w:rFonts w:ascii="Arial" w:hAnsi="Arial" w:cs="Arial"/>
          <w:bCs/>
          <w:noProof/>
          <w:sz w:val="20"/>
        </w:rPr>
      </w:pPr>
      <w:r w:rsidRPr="0002016E">
        <w:rPr>
          <w:rStyle w:val="longtext"/>
          <w:rFonts w:ascii="Arial" w:hAnsi="Arial" w:cs="Arial"/>
          <w:b/>
          <w:noProof/>
          <w:sz w:val="20"/>
        </w:rPr>
        <w:t xml:space="preserve">1. Ръководството и методиката за кръстосано съответствие бяха актуализирани със Заповед № РД 09-592/24.07.2020 г. </w:t>
      </w:r>
      <w:r w:rsidRPr="0002016E">
        <w:rPr>
          <w:rFonts w:ascii="Arial" w:hAnsi="Arial" w:cs="Arial"/>
          <w:noProof/>
          <w:sz w:val="20"/>
        </w:rPr>
        <w:t xml:space="preserve">Правилата съгласно Законоустановените изисквания за управление (ЗИУ) не са нови или допълнителни изисквания, а представляват извадка от определени правила, които са важни от приложимото секторно европейско и/или национално законодателство. Това означава, че със ЗИУ за земеделските стопани не се разписват нови критерии, а се следи дали се спазват вече определените и приложими правила в областта на екологичното, ветеринарното, фитосанитарното законодателство, законодателството за храните и законодателството за фуражите. </w:t>
      </w:r>
      <w:r w:rsidRPr="0002016E">
        <w:rPr>
          <w:rFonts w:ascii="Arial" w:hAnsi="Arial" w:cs="Arial"/>
          <w:bCs/>
          <w:noProof/>
          <w:sz w:val="20"/>
        </w:rPr>
        <w:t>С цел улесняване на земеделските стопани при изпълнение на изискванията за получаване на субсидии</w:t>
      </w:r>
      <w:r w:rsidR="00DC502B">
        <w:rPr>
          <w:rFonts w:ascii="Arial" w:hAnsi="Arial" w:cs="Arial"/>
          <w:bCs/>
          <w:noProof/>
          <w:sz w:val="20"/>
        </w:rPr>
        <w:t>,</w:t>
      </w:r>
      <w:r w:rsidRPr="0002016E">
        <w:rPr>
          <w:rFonts w:ascii="Arial" w:hAnsi="Arial" w:cs="Arial"/>
          <w:bCs/>
          <w:noProof/>
          <w:sz w:val="20"/>
        </w:rPr>
        <w:t xml:space="preserve"> от 2012 г. е разработено Ръководство, в което са събрани задълженията, на които трябва да отговаря земеделският стопанин, за да изпълнява Законоустановените изисквания за управление. Документът периодично се актуализира с цел да отразява актуалното състояние на законодателството. Ръководството представя текстовете, които се прилагат в съответствие с регламентите или националното законодателство съгласно изискванията </w:t>
      </w:r>
      <w:r w:rsidRPr="0002016E">
        <w:rPr>
          <w:rFonts w:ascii="Arial" w:hAnsi="Arial" w:cs="Arial"/>
          <w:noProof/>
          <w:sz w:val="20"/>
        </w:rPr>
        <w:t xml:space="preserve">на </w:t>
      </w:r>
      <w:r w:rsidRPr="0002016E">
        <w:rPr>
          <w:rFonts w:ascii="Arial" w:hAnsi="Arial" w:cs="Arial"/>
          <w:bCs/>
          <w:noProof/>
          <w:sz w:val="20"/>
        </w:rPr>
        <w:t>Регламент (ЕС) № 1306/2013 и приложение II от него. Документите за кръстосано съответствие са налични на електронната страница на МЗХГ в рубрика „Кръстосано съответствие”.</w:t>
      </w:r>
    </w:p>
    <w:p w:rsidR="00FE4FAD" w:rsidRPr="0002016E" w:rsidRDefault="00FE4FAD" w:rsidP="008B7A95">
      <w:pPr>
        <w:jc w:val="both"/>
        <w:rPr>
          <w:rStyle w:val="longtext"/>
          <w:rFonts w:ascii="Arial" w:hAnsi="Arial" w:cs="Arial"/>
          <w:b/>
          <w:noProof/>
          <w:sz w:val="20"/>
        </w:rPr>
      </w:pPr>
    </w:p>
    <w:p w:rsidR="00720E60" w:rsidRPr="0002016E" w:rsidRDefault="00FE4FAD" w:rsidP="008B7A95">
      <w:pPr>
        <w:jc w:val="both"/>
        <w:rPr>
          <w:rFonts w:ascii="Arial" w:hAnsi="Arial" w:cs="Arial"/>
          <w:noProof/>
          <w:sz w:val="20"/>
        </w:rPr>
      </w:pPr>
      <w:r w:rsidRPr="0002016E">
        <w:rPr>
          <w:rStyle w:val="longtext"/>
          <w:rFonts w:ascii="Arial" w:hAnsi="Arial" w:cs="Arial"/>
          <w:b/>
          <w:noProof/>
          <w:sz w:val="20"/>
        </w:rPr>
        <w:t>2</w:t>
      </w:r>
      <w:r w:rsidR="000144D9" w:rsidRPr="0002016E">
        <w:rPr>
          <w:rStyle w:val="longtext"/>
          <w:rFonts w:ascii="Arial" w:hAnsi="Arial" w:cs="Arial"/>
          <w:b/>
          <w:noProof/>
          <w:sz w:val="20"/>
        </w:rPr>
        <w:t>.</w:t>
      </w:r>
      <w:r w:rsidR="00720E60" w:rsidRPr="0002016E">
        <w:rPr>
          <w:rStyle w:val="longtext"/>
          <w:rFonts w:ascii="Arial" w:hAnsi="Arial" w:cs="Arial"/>
          <w:b/>
          <w:noProof/>
          <w:sz w:val="20"/>
        </w:rPr>
        <w:t xml:space="preserve"> </w:t>
      </w:r>
      <w:r w:rsidR="00720E60" w:rsidRPr="0002016E">
        <w:rPr>
          <w:rFonts w:ascii="Arial" w:hAnsi="Arial" w:cs="Arial"/>
          <w:b/>
          <w:noProof/>
          <w:sz w:val="20"/>
        </w:rPr>
        <w:t xml:space="preserve">Самолетно заснемане за обновяване на цифрова ортофотокарта (ЦОФК) на страната, започна на  22 юли 2020 г. и ще обхване около една трета от територията на България. </w:t>
      </w:r>
      <w:r w:rsidR="00720E60" w:rsidRPr="0002016E">
        <w:rPr>
          <w:rFonts w:ascii="Arial" w:hAnsi="Arial" w:cs="Arial"/>
          <w:noProof/>
          <w:sz w:val="20"/>
        </w:rPr>
        <w:t>Съгласно изготвения от изпълнителя график, заснемането за 2020 г. обхваща части от областите Кюстендил, Перник, София град, София област, Монтана, Враца, Плевен, Велико Търново, Ловеч, Габрово, Пазарджик, Пловдив, Стара Загора, Сливен и Ямбол. Заснемането на територията на цялата страна е предвидено за период от три години, до 2022</w:t>
      </w:r>
      <w:r w:rsidR="00DC502B">
        <w:rPr>
          <w:rFonts w:ascii="Arial" w:hAnsi="Arial" w:cs="Arial"/>
          <w:noProof/>
          <w:sz w:val="20"/>
        </w:rPr>
        <w:t xml:space="preserve"> г.</w:t>
      </w:r>
      <w:r w:rsidR="00720E60" w:rsidRPr="0002016E">
        <w:rPr>
          <w:rFonts w:ascii="Arial" w:hAnsi="Arial" w:cs="Arial"/>
          <w:noProof/>
          <w:sz w:val="20"/>
        </w:rPr>
        <w:t xml:space="preserve"> включително.</w:t>
      </w:r>
      <w:r w:rsidR="00DC502B">
        <w:rPr>
          <w:rFonts w:ascii="Arial" w:hAnsi="Arial" w:cs="Arial"/>
          <w:noProof/>
          <w:sz w:val="20"/>
        </w:rPr>
        <w:t xml:space="preserve"> </w:t>
      </w:r>
      <w:r w:rsidR="00720E60" w:rsidRPr="0002016E">
        <w:rPr>
          <w:rFonts w:ascii="Arial" w:hAnsi="Arial" w:cs="Arial"/>
          <w:noProof/>
          <w:sz w:val="20"/>
        </w:rPr>
        <w:t>Данните от цифровата ортофотокарта  се използват в Системата за идентификация на земеделските парцели (СИЗП), която е основна подсистема на Интегрираната система за администриране и контрол (ИСАК) и се вземат предвид при определяне  на допустимите за подпомагане площи с директните плащания. В резултат на дешифрацията на новата ЦОФК, както и чрез отразяване на резултатите от теренни проверки, които се предвижда да стартират през месец август, ще бъде определен обхватът на специализирания слой „Площи, допустими за подпомагане” за кампания 2020. Заснемането ще се извършва с два самолета, оборудвани с високотехнологични цифрови камери, осигуряващи необходимото качество на получената цифрова ортофотокарта.</w:t>
      </w:r>
    </w:p>
    <w:p w:rsidR="001B1430" w:rsidRPr="0002016E" w:rsidRDefault="001B1430" w:rsidP="008B7A95">
      <w:pPr>
        <w:jc w:val="both"/>
        <w:rPr>
          <w:rStyle w:val="longtext"/>
          <w:rFonts w:ascii="Arial" w:hAnsi="Arial" w:cs="Arial"/>
          <w:b/>
          <w:noProof/>
          <w:sz w:val="20"/>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Fonts w:ascii="Arial" w:hAnsi="Arial" w:cs="Arial"/>
                <w:b/>
                <w:i/>
                <w:noProof/>
                <w:sz w:val="20"/>
              </w:rPr>
            </w:pPr>
            <w:r w:rsidRPr="0002016E">
              <w:rPr>
                <w:rFonts w:ascii="Arial" w:hAnsi="Arial" w:cs="Arial"/>
                <w:b/>
                <w:i/>
                <w:noProof/>
                <w:sz w:val="20"/>
              </w:rPr>
              <w:t>Пазарна подкрепа</w:t>
            </w:r>
          </w:p>
        </w:tc>
        <w:tc>
          <w:tcPr>
            <w:tcW w:w="236" w:type="dxa"/>
          </w:tcPr>
          <w:p w:rsidR="001B1430" w:rsidRPr="0002016E" w:rsidRDefault="001B1430" w:rsidP="008B7A95">
            <w:pPr>
              <w:jc w:val="both"/>
              <w:rPr>
                <w:rFonts w:ascii="Arial" w:hAnsi="Arial" w:cs="Arial"/>
                <w:b/>
                <w:i/>
                <w:noProof/>
                <w:sz w:val="20"/>
              </w:rPr>
            </w:pPr>
          </w:p>
        </w:tc>
      </w:tr>
    </w:tbl>
    <w:p w:rsidR="001B1430" w:rsidRPr="0002016E" w:rsidRDefault="001B1430" w:rsidP="008B7A95">
      <w:pPr>
        <w:jc w:val="both"/>
        <w:rPr>
          <w:rFonts w:ascii="Arial" w:eastAsia="SimSun" w:hAnsi="Arial" w:cs="Arial"/>
          <w:b/>
          <w:bCs/>
          <w:noProof/>
          <w:color w:val="000000"/>
          <w:sz w:val="20"/>
          <w:lang w:eastAsia="bg-BG"/>
        </w:rPr>
      </w:pPr>
    </w:p>
    <w:p w:rsidR="000144D9" w:rsidRPr="00504E8D" w:rsidRDefault="00FE4FAD" w:rsidP="008B7A95">
      <w:pPr>
        <w:jc w:val="both"/>
        <w:rPr>
          <w:rFonts w:ascii="Arial" w:hAnsi="Arial" w:cs="Arial"/>
          <w:noProof/>
          <w:color w:val="000000"/>
          <w:sz w:val="20"/>
        </w:rPr>
      </w:pPr>
      <w:r w:rsidRPr="0002016E">
        <w:rPr>
          <w:rFonts w:ascii="Arial" w:hAnsi="Arial" w:cs="Arial"/>
          <w:b/>
          <w:noProof/>
          <w:color w:val="000000"/>
          <w:sz w:val="20"/>
        </w:rPr>
        <w:t>3</w:t>
      </w:r>
      <w:r w:rsidR="00527A50" w:rsidRPr="0002016E">
        <w:rPr>
          <w:rFonts w:ascii="Arial" w:hAnsi="Arial" w:cs="Arial"/>
          <w:b/>
          <w:noProof/>
          <w:color w:val="000000"/>
          <w:sz w:val="20"/>
        </w:rPr>
        <w:t xml:space="preserve">. </w:t>
      </w:r>
      <w:r w:rsidR="00504E8D" w:rsidRPr="00504E8D">
        <w:rPr>
          <w:rFonts w:ascii="Arial" w:hAnsi="Arial" w:cs="Arial"/>
          <w:b/>
          <w:noProof/>
          <w:color w:val="000000"/>
          <w:sz w:val="20"/>
        </w:rPr>
        <w:t xml:space="preserve">Седмото издание на WINE &amp; SPIRITS FEST Burgas 2020 се проведе от 24 до 26 юли в Експозиционен център "Флора" в Бургас. </w:t>
      </w:r>
      <w:r w:rsidR="00504E8D" w:rsidRPr="00504E8D">
        <w:rPr>
          <w:rFonts w:ascii="Arial" w:hAnsi="Arial" w:cs="Arial"/>
          <w:noProof/>
          <w:color w:val="000000"/>
          <w:sz w:val="20"/>
        </w:rPr>
        <w:t xml:space="preserve">Фестивалът беше открит от </w:t>
      </w:r>
      <w:r w:rsidR="000A7CFB">
        <w:rPr>
          <w:rFonts w:ascii="Arial" w:hAnsi="Arial" w:cs="Arial"/>
          <w:noProof/>
          <w:color w:val="000000"/>
          <w:sz w:val="20"/>
        </w:rPr>
        <w:t>з</w:t>
      </w:r>
      <w:r w:rsidR="00504E8D" w:rsidRPr="00504E8D">
        <w:rPr>
          <w:rFonts w:ascii="Arial" w:hAnsi="Arial" w:cs="Arial"/>
          <w:noProof/>
          <w:color w:val="000000"/>
          <w:sz w:val="20"/>
        </w:rPr>
        <w:t xml:space="preserve">аместник-министъра на земеделието, храните и горите д-р Лозана Василева, </w:t>
      </w:r>
      <w:r w:rsidR="000A7CFB">
        <w:rPr>
          <w:rFonts w:ascii="Arial" w:hAnsi="Arial" w:cs="Arial"/>
          <w:noProof/>
          <w:color w:val="000000"/>
          <w:sz w:val="20"/>
        </w:rPr>
        <w:t>з</w:t>
      </w:r>
      <w:r w:rsidR="00504E8D" w:rsidRPr="00504E8D">
        <w:rPr>
          <w:rFonts w:ascii="Arial" w:hAnsi="Arial" w:cs="Arial"/>
          <w:noProof/>
          <w:color w:val="000000"/>
          <w:sz w:val="20"/>
        </w:rPr>
        <w:t>аместник-кмета на община Бургас г-жа Диана Саватева и Председателя на Управителния съвет на Националната лозаро-винарска камара г-н Йордан Чорбаджийски. На събитието представиха продукцията си български производители на вина и спиртни напитки, както и вносители и дистрибутори на алкохолни напитки от цял свят. На щандовете в трите зали посетителите имаха възможност да дегустират изложените напитки и да получат информация за техните качества от представителите на фирмите. Проведе се и гласуване за “Любимо вино” в три различни категории. През седемте години на провеждането си Wine and Spirit Fest Burgas успешно популяризира качествените български вина и спиртни напитки, произведени от най-добрите родни производители.</w:t>
      </w:r>
    </w:p>
    <w:p w:rsidR="001B1430" w:rsidRPr="0002016E" w:rsidRDefault="001B1430" w:rsidP="008B7A95">
      <w:pPr>
        <w:jc w:val="both"/>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CA40F5" w:rsidRPr="0002016E" w:rsidRDefault="00CA40F5" w:rsidP="008B7A95">
      <w:pPr>
        <w:jc w:val="both"/>
        <w:rPr>
          <w:rFonts w:ascii="Arial" w:hAnsi="Arial" w:cs="Arial"/>
          <w:b/>
          <w:noProof/>
          <w:sz w:val="20"/>
        </w:rPr>
      </w:pPr>
    </w:p>
    <w:p w:rsidR="00CA40F5" w:rsidRPr="0002016E" w:rsidRDefault="0002016E" w:rsidP="008B7A95">
      <w:pPr>
        <w:jc w:val="both"/>
        <w:rPr>
          <w:rFonts w:ascii="Arial" w:hAnsi="Arial" w:cs="Arial"/>
          <w:noProof/>
          <w:sz w:val="20"/>
        </w:rPr>
      </w:pPr>
      <w:r w:rsidRPr="0002016E">
        <w:rPr>
          <w:rFonts w:ascii="Arial" w:hAnsi="Arial" w:cs="Arial"/>
          <w:b/>
          <w:noProof/>
          <w:sz w:val="20"/>
        </w:rPr>
        <w:t>4</w:t>
      </w:r>
      <w:r w:rsidR="00CA40F5" w:rsidRPr="0002016E">
        <w:rPr>
          <w:rFonts w:ascii="Arial" w:hAnsi="Arial" w:cs="Arial"/>
          <w:b/>
          <w:noProof/>
          <w:sz w:val="20"/>
        </w:rPr>
        <w:t>. Министрите по селско стопанство обсъдиха бъдещето на ОСП, стратегията „От фермата до трап</w:t>
      </w:r>
      <w:r w:rsidR="00C96E9D">
        <w:rPr>
          <w:rFonts w:ascii="Arial" w:hAnsi="Arial" w:cs="Arial"/>
          <w:b/>
          <w:noProof/>
          <w:sz w:val="20"/>
        </w:rPr>
        <w:t xml:space="preserve">езата“, </w:t>
      </w:r>
      <w:r w:rsidR="00452F9D" w:rsidRPr="0002016E">
        <w:rPr>
          <w:rFonts w:ascii="Arial" w:hAnsi="Arial" w:cs="Arial"/>
          <w:b/>
          <w:noProof/>
          <w:sz w:val="20"/>
        </w:rPr>
        <w:t>прилагането и бюджета на еко-схемите</w:t>
      </w:r>
      <w:r w:rsidR="00452F9D">
        <w:rPr>
          <w:rFonts w:ascii="Arial" w:hAnsi="Arial" w:cs="Arial"/>
          <w:b/>
          <w:noProof/>
          <w:sz w:val="20"/>
        </w:rPr>
        <w:t xml:space="preserve"> </w:t>
      </w:r>
      <w:r w:rsidR="00412AFD">
        <w:rPr>
          <w:rFonts w:ascii="Arial" w:hAnsi="Arial" w:cs="Arial"/>
          <w:b/>
          <w:noProof/>
          <w:sz w:val="20"/>
        </w:rPr>
        <w:t>и ситуацията на пазарите</w:t>
      </w:r>
      <w:r w:rsidR="00BF7565">
        <w:rPr>
          <w:rFonts w:ascii="Arial" w:hAnsi="Arial" w:cs="Arial"/>
          <w:b/>
          <w:noProof/>
          <w:sz w:val="20"/>
        </w:rPr>
        <w:t xml:space="preserve"> по време на </w:t>
      </w:r>
      <w:r w:rsidR="00CA40F5" w:rsidRPr="00BF7565">
        <w:rPr>
          <w:rFonts w:ascii="Arial" w:hAnsi="Arial" w:cs="Arial"/>
          <w:b/>
          <w:noProof/>
          <w:sz w:val="20"/>
        </w:rPr>
        <w:t>Съвет</w:t>
      </w:r>
      <w:r w:rsidR="00BF7565" w:rsidRPr="00BF7565">
        <w:rPr>
          <w:rFonts w:ascii="Arial" w:hAnsi="Arial" w:cs="Arial"/>
          <w:b/>
          <w:noProof/>
          <w:sz w:val="20"/>
        </w:rPr>
        <w:t>а по земеделие и рибарство, който се проведе на</w:t>
      </w:r>
      <w:r w:rsidR="00CA40F5" w:rsidRPr="00BF7565">
        <w:rPr>
          <w:rFonts w:ascii="Arial" w:hAnsi="Arial" w:cs="Arial"/>
          <w:b/>
          <w:noProof/>
          <w:sz w:val="20"/>
        </w:rPr>
        <w:t xml:space="preserve"> 20 юли</w:t>
      </w:r>
      <w:r w:rsidR="00BF7565" w:rsidRPr="00BF7565">
        <w:rPr>
          <w:rFonts w:ascii="Arial" w:hAnsi="Arial" w:cs="Arial"/>
          <w:b/>
          <w:noProof/>
          <w:sz w:val="20"/>
        </w:rPr>
        <w:t xml:space="preserve"> в Брюксел</w:t>
      </w:r>
      <w:r w:rsidR="00BF7565">
        <w:rPr>
          <w:rFonts w:ascii="Arial" w:hAnsi="Arial" w:cs="Arial"/>
          <w:b/>
          <w:noProof/>
          <w:sz w:val="20"/>
        </w:rPr>
        <w:t xml:space="preserve">, </w:t>
      </w:r>
      <w:r w:rsidR="00BF7565" w:rsidRPr="0002016E">
        <w:rPr>
          <w:rFonts w:ascii="Arial" w:hAnsi="Arial" w:cs="Arial"/>
          <w:b/>
          <w:noProof/>
          <w:sz w:val="20"/>
        </w:rPr>
        <w:t>в навечерието на споразумение</w:t>
      </w:r>
      <w:r w:rsidR="00BF7565">
        <w:rPr>
          <w:rFonts w:ascii="Arial" w:hAnsi="Arial" w:cs="Arial"/>
          <w:b/>
          <w:noProof/>
          <w:sz w:val="20"/>
        </w:rPr>
        <w:t>то</w:t>
      </w:r>
      <w:r w:rsidR="00BF7565" w:rsidRPr="0002016E">
        <w:rPr>
          <w:rFonts w:ascii="Arial" w:hAnsi="Arial" w:cs="Arial"/>
          <w:b/>
          <w:noProof/>
          <w:sz w:val="20"/>
        </w:rPr>
        <w:t xml:space="preserve"> за бюджета на ЕС</w:t>
      </w:r>
      <w:r w:rsidR="00BF7565" w:rsidRPr="00BF7565">
        <w:rPr>
          <w:rFonts w:ascii="Arial" w:hAnsi="Arial" w:cs="Arial"/>
          <w:b/>
          <w:noProof/>
          <w:sz w:val="20"/>
        </w:rPr>
        <w:t>.</w:t>
      </w:r>
      <w:r w:rsidR="00CA40F5" w:rsidRPr="0002016E">
        <w:rPr>
          <w:rFonts w:ascii="Arial" w:hAnsi="Arial" w:cs="Arial"/>
          <w:noProof/>
          <w:sz w:val="20"/>
        </w:rPr>
        <w:t xml:space="preserve"> </w:t>
      </w:r>
      <w:r w:rsidR="00BF7565">
        <w:rPr>
          <w:rFonts w:ascii="Arial" w:hAnsi="Arial" w:cs="Arial"/>
          <w:noProof/>
          <w:sz w:val="20"/>
        </w:rPr>
        <w:t xml:space="preserve">Заседанието се проведе </w:t>
      </w:r>
      <w:r w:rsidR="00CA40F5" w:rsidRPr="0002016E">
        <w:rPr>
          <w:rFonts w:ascii="Arial" w:hAnsi="Arial" w:cs="Arial"/>
          <w:noProof/>
          <w:sz w:val="20"/>
        </w:rPr>
        <w:t xml:space="preserve">паралелно с преговорите за новата </w:t>
      </w:r>
      <w:r w:rsidR="000576D0">
        <w:rPr>
          <w:rFonts w:ascii="Arial" w:hAnsi="Arial" w:cs="Arial"/>
          <w:noProof/>
          <w:sz w:val="20"/>
        </w:rPr>
        <w:t>Многогодишна финансова рамка и П</w:t>
      </w:r>
      <w:r w:rsidR="00CA40F5" w:rsidRPr="0002016E">
        <w:rPr>
          <w:rFonts w:ascii="Arial" w:hAnsi="Arial" w:cs="Arial"/>
          <w:noProof/>
          <w:sz w:val="20"/>
        </w:rPr>
        <w:t>лан</w:t>
      </w:r>
      <w:r w:rsidR="000576D0">
        <w:rPr>
          <w:rFonts w:ascii="Arial" w:hAnsi="Arial" w:cs="Arial"/>
          <w:noProof/>
          <w:sz w:val="20"/>
        </w:rPr>
        <w:t>а</w:t>
      </w:r>
      <w:r w:rsidR="00CA40F5" w:rsidRPr="0002016E">
        <w:rPr>
          <w:rFonts w:ascii="Arial" w:hAnsi="Arial" w:cs="Arial"/>
          <w:noProof/>
          <w:sz w:val="20"/>
        </w:rPr>
        <w:t xml:space="preserve"> за възстановяване на</w:t>
      </w:r>
      <w:r w:rsidR="000576D0">
        <w:rPr>
          <w:rFonts w:ascii="Arial" w:hAnsi="Arial" w:cs="Arial"/>
          <w:noProof/>
          <w:sz w:val="20"/>
        </w:rPr>
        <w:t xml:space="preserve"> ЕС</w:t>
      </w:r>
      <w:r w:rsidR="00452F9D">
        <w:rPr>
          <w:rFonts w:ascii="Arial" w:hAnsi="Arial" w:cs="Arial"/>
          <w:noProof/>
          <w:sz w:val="20"/>
        </w:rPr>
        <w:t xml:space="preserve"> (</w:t>
      </w:r>
      <w:r w:rsidR="000576D0">
        <w:rPr>
          <w:rFonts w:ascii="Arial" w:hAnsi="Arial" w:cs="Arial"/>
          <w:noProof/>
          <w:sz w:val="20"/>
        </w:rPr>
        <w:t>от 17 до 21 юли</w:t>
      </w:r>
      <w:r w:rsidR="00452F9D">
        <w:rPr>
          <w:rFonts w:ascii="Arial" w:hAnsi="Arial" w:cs="Arial"/>
          <w:noProof/>
          <w:sz w:val="20"/>
        </w:rPr>
        <w:t>)</w:t>
      </w:r>
      <w:r w:rsidR="00F02F9B">
        <w:rPr>
          <w:rFonts w:ascii="Arial" w:hAnsi="Arial" w:cs="Arial"/>
          <w:noProof/>
          <w:sz w:val="20"/>
        </w:rPr>
        <w:t xml:space="preserve"> и</w:t>
      </w:r>
      <w:r w:rsidR="00CA40F5" w:rsidRPr="0002016E">
        <w:rPr>
          <w:rFonts w:ascii="Arial" w:hAnsi="Arial" w:cs="Arial"/>
          <w:noProof/>
          <w:sz w:val="20"/>
        </w:rPr>
        <w:t xml:space="preserve"> беше първото с физическо присъствие, след възникване</w:t>
      </w:r>
      <w:r w:rsidR="00452F9D">
        <w:rPr>
          <w:rFonts w:ascii="Arial" w:hAnsi="Arial" w:cs="Arial"/>
          <w:noProof/>
          <w:sz w:val="20"/>
        </w:rPr>
        <w:t>то</w:t>
      </w:r>
      <w:r w:rsidR="00CA40F5" w:rsidRPr="0002016E">
        <w:rPr>
          <w:rFonts w:ascii="Arial" w:hAnsi="Arial" w:cs="Arial"/>
          <w:noProof/>
          <w:sz w:val="20"/>
        </w:rPr>
        <w:t xml:space="preserve"> на пандемията от COVID-19 и първо</w:t>
      </w:r>
      <w:r w:rsidR="000576D0">
        <w:rPr>
          <w:rFonts w:ascii="Arial" w:hAnsi="Arial" w:cs="Arial"/>
          <w:noProof/>
          <w:sz w:val="20"/>
        </w:rPr>
        <w:t>то</w:t>
      </w:r>
      <w:r w:rsidR="00CA40F5" w:rsidRPr="0002016E">
        <w:rPr>
          <w:rFonts w:ascii="Arial" w:hAnsi="Arial" w:cs="Arial"/>
          <w:noProof/>
          <w:sz w:val="20"/>
        </w:rPr>
        <w:t xml:space="preserve"> заседание</w:t>
      </w:r>
      <w:r w:rsidR="000576D0">
        <w:rPr>
          <w:rFonts w:ascii="Arial" w:hAnsi="Arial" w:cs="Arial"/>
          <w:noProof/>
          <w:sz w:val="20"/>
        </w:rPr>
        <w:t xml:space="preserve"> </w:t>
      </w:r>
      <w:r w:rsidR="00CA40F5" w:rsidRPr="0002016E">
        <w:rPr>
          <w:rFonts w:ascii="Arial" w:hAnsi="Arial" w:cs="Arial"/>
          <w:noProof/>
          <w:sz w:val="20"/>
        </w:rPr>
        <w:t xml:space="preserve">под председателството на Германия. </w:t>
      </w:r>
      <w:r w:rsidR="00452F9D">
        <w:rPr>
          <w:rFonts w:ascii="Arial" w:hAnsi="Arial" w:cs="Arial"/>
          <w:noProof/>
          <w:sz w:val="20"/>
        </w:rPr>
        <w:t xml:space="preserve">След представянето от </w:t>
      </w:r>
      <w:r w:rsidR="00CA40F5" w:rsidRPr="0002016E">
        <w:rPr>
          <w:rFonts w:ascii="Arial" w:hAnsi="Arial" w:cs="Arial"/>
          <w:noProof/>
          <w:sz w:val="20"/>
        </w:rPr>
        <w:t xml:space="preserve">немското председателство </w:t>
      </w:r>
      <w:r w:rsidR="00452F9D">
        <w:rPr>
          <w:rFonts w:ascii="Arial" w:hAnsi="Arial" w:cs="Arial"/>
          <w:noProof/>
          <w:sz w:val="20"/>
        </w:rPr>
        <w:t>на</w:t>
      </w:r>
      <w:r w:rsidR="00CA40F5" w:rsidRPr="0002016E">
        <w:rPr>
          <w:rFonts w:ascii="Arial" w:hAnsi="Arial" w:cs="Arial"/>
          <w:noProof/>
          <w:sz w:val="20"/>
        </w:rPr>
        <w:t xml:space="preserve"> работна</w:t>
      </w:r>
      <w:r w:rsidR="00452F9D">
        <w:rPr>
          <w:rFonts w:ascii="Arial" w:hAnsi="Arial" w:cs="Arial"/>
          <w:noProof/>
          <w:sz w:val="20"/>
        </w:rPr>
        <w:t>та</w:t>
      </w:r>
      <w:r w:rsidR="00CA40F5" w:rsidRPr="0002016E">
        <w:rPr>
          <w:rFonts w:ascii="Arial" w:hAnsi="Arial" w:cs="Arial"/>
          <w:noProof/>
          <w:sz w:val="20"/>
        </w:rPr>
        <w:t xml:space="preserve"> програма за втората половина на 2020 г. </w:t>
      </w:r>
      <w:r w:rsidR="00452F9D">
        <w:rPr>
          <w:rFonts w:ascii="Arial" w:hAnsi="Arial" w:cs="Arial"/>
          <w:noProof/>
          <w:sz w:val="20"/>
        </w:rPr>
        <w:t xml:space="preserve">започна </w:t>
      </w:r>
      <w:r w:rsidR="00CA40F5" w:rsidRPr="0002016E">
        <w:rPr>
          <w:rFonts w:ascii="Arial" w:hAnsi="Arial" w:cs="Arial"/>
          <w:noProof/>
          <w:sz w:val="20"/>
        </w:rPr>
        <w:t>публично</w:t>
      </w:r>
      <w:r w:rsidR="00452F9D">
        <w:rPr>
          <w:rFonts w:ascii="Arial" w:hAnsi="Arial" w:cs="Arial"/>
          <w:noProof/>
          <w:sz w:val="20"/>
        </w:rPr>
        <w:t>то</w:t>
      </w:r>
      <w:r w:rsidR="00CA40F5" w:rsidRPr="0002016E">
        <w:rPr>
          <w:rFonts w:ascii="Arial" w:hAnsi="Arial" w:cs="Arial"/>
          <w:noProof/>
          <w:sz w:val="20"/>
        </w:rPr>
        <w:t xml:space="preserve"> обсъждане на страте</w:t>
      </w:r>
      <w:r w:rsidR="00452F9D">
        <w:rPr>
          <w:rFonts w:ascii="Arial" w:hAnsi="Arial" w:cs="Arial"/>
          <w:noProof/>
          <w:sz w:val="20"/>
        </w:rPr>
        <w:t>гията „От фермата до трапезата“. Министрите</w:t>
      </w:r>
      <w:r w:rsidR="00CA40F5" w:rsidRPr="0002016E">
        <w:rPr>
          <w:rFonts w:ascii="Arial" w:hAnsi="Arial" w:cs="Arial"/>
          <w:noProof/>
          <w:sz w:val="20"/>
        </w:rPr>
        <w:t xml:space="preserve"> изразиха смесени позиции по отношение на очакваните препоръки от Комисията и призоваха за повече прозрачност, гъвкавост и бързина при изготвянето и официалното публикуване на препоръките за националните Стратегически планове.</w:t>
      </w:r>
      <w:r w:rsidR="00EB7BA6">
        <w:rPr>
          <w:rFonts w:ascii="Arial" w:hAnsi="Arial" w:cs="Arial"/>
          <w:noProof/>
          <w:sz w:val="20"/>
        </w:rPr>
        <w:t xml:space="preserve"> </w:t>
      </w:r>
      <w:r w:rsidR="00CA6CB8">
        <w:rPr>
          <w:rFonts w:ascii="Arial" w:hAnsi="Arial" w:cs="Arial"/>
          <w:noProof/>
          <w:sz w:val="20"/>
        </w:rPr>
        <w:t>И</w:t>
      </w:r>
      <w:r w:rsidR="00CA40F5" w:rsidRPr="0002016E">
        <w:rPr>
          <w:rFonts w:ascii="Arial" w:hAnsi="Arial" w:cs="Arial"/>
          <w:noProof/>
          <w:sz w:val="20"/>
        </w:rPr>
        <w:t xml:space="preserve">зказаха принципно съгласие, че Стратегическите планове трябва да отговарят на приоритетите на стратегията „От фермата до </w:t>
      </w:r>
      <w:r w:rsidR="00CA40F5" w:rsidRPr="0002016E">
        <w:rPr>
          <w:rFonts w:ascii="Arial" w:hAnsi="Arial" w:cs="Arial"/>
          <w:noProof/>
          <w:sz w:val="20"/>
        </w:rPr>
        <w:lastRenderedPageBreak/>
        <w:t>трапезата“</w:t>
      </w:r>
      <w:r w:rsidR="00452F9D">
        <w:rPr>
          <w:rFonts w:ascii="Arial" w:hAnsi="Arial" w:cs="Arial"/>
          <w:noProof/>
          <w:sz w:val="20"/>
        </w:rPr>
        <w:t xml:space="preserve">. </w:t>
      </w:r>
      <w:r w:rsidR="00DD1C95">
        <w:rPr>
          <w:rFonts w:ascii="Arial" w:hAnsi="Arial" w:cs="Arial"/>
          <w:noProof/>
          <w:sz w:val="20"/>
        </w:rPr>
        <w:t>О</w:t>
      </w:r>
      <w:r w:rsidR="00CA40F5" w:rsidRPr="0002016E">
        <w:rPr>
          <w:rFonts w:ascii="Arial" w:hAnsi="Arial" w:cs="Arial"/>
          <w:noProof/>
          <w:sz w:val="20"/>
        </w:rPr>
        <w:t xml:space="preserve">бърнаха сериозно внимание, че никакви допълнителни изисквания и условия не трябва да възпрепятстват окончателното одобрените на Стратегическите планове. Голям брой </w:t>
      </w:r>
      <w:r w:rsidR="00452F9D">
        <w:rPr>
          <w:rFonts w:ascii="Arial" w:hAnsi="Arial" w:cs="Arial"/>
          <w:noProof/>
          <w:sz w:val="20"/>
        </w:rPr>
        <w:t>делегации</w:t>
      </w:r>
      <w:r w:rsidR="00CA40F5" w:rsidRPr="0002016E">
        <w:rPr>
          <w:rFonts w:ascii="Arial" w:hAnsi="Arial" w:cs="Arial"/>
          <w:noProof/>
          <w:sz w:val="20"/>
        </w:rPr>
        <w:t xml:space="preserve"> настояха, че принципите на субсидиарност и прозрачност трябва да бъдат в основата на процеса по одобрение на Стратегическите планове. </w:t>
      </w:r>
      <w:r w:rsidR="00CA6CB8">
        <w:rPr>
          <w:rFonts w:ascii="Arial" w:hAnsi="Arial" w:cs="Arial"/>
          <w:noProof/>
          <w:sz w:val="20"/>
        </w:rPr>
        <w:t>П</w:t>
      </w:r>
      <w:r w:rsidR="00DD1C95">
        <w:rPr>
          <w:rFonts w:ascii="Arial" w:hAnsi="Arial" w:cs="Arial"/>
          <w:noProof/>
          <w:sz w:val="20"/>
        </w:rPr>
        <w:t>о</w:t>
      </w:r>
      <w:r w:rsidR="00CA40F5" w:rsidRPr="0002016E">
        <w:rPr>
          <w:rFonts w:ascii="Arial" w:hAnsi="Arial" w:cs="Arial"/>
          <w:noProof/>
          <w:sz w:val="20"/>
        </w:rPr>
        <w:t>иска</w:t>
      </w:r>
      <w:r w:rsidR="00DD1C95">
        <w:rPr>
          <w:rFonts w:ascii="Arial" w:hAnsi="Arial" w:cs="Arial"/>
          <w:noProof/>
          <w:sz w:val="20"/>
        </w:rPr>
        <w:t>ха</w:t>
      </w:r>
      <w:r w:rsidR="00CA40F5" w:rsidRPr="0002016E">
        <w:rPr>
          <w:rFonts w:ascii="Arial" w:hAnsi="Arial" w:cs="Arial"/>
          <w:noProof/>
          <w:sz w:val="20"/>
        </w:rPr>
        <w:t xml:space="preserve"> да бъде избегнато всякакво допълнително забавяне на преговорите, </w:t>
      </w:r>
      <w:r w:rsidR="00CA6CB8">
        <w:rPr>
          <w:rFonts w:ascii="Arial" w:hAnsi="Arial" w:cs="Arial"/>
          <w:noProof/>
          <w:sz w:val="20"/>
        </w:rPr>
        <w:t>което</w:t>
      </w:r>
      <w:r w:rsidR="00CA40F5" w:rsidRPr="0002016E">
        <w:rPr>
          <w:rFonts w:ascii="Arial" w:hAnsi="Arial" w:cs="Arial"/>
          <w:noProof/>
          <w:sz w:val="20"/>
        </w:rPr>
        <w:t xml:space="preserve"> може да доведе до голяма несигурност селскостопанския сектор. Комисията </w:t>
      </w:r>
      <w:r w:rsidR="00452F9D">
        <w:rPr>
          <w:rFonts w:ascii="Arial" w:hAnsi="Arial" w:cs="Arial"/>
          <w:noProof/>
          <w:sz w:val="20"/>
        </w:rPr>
        <w:t>поясни</w:t>
      </w:r>
      <w:r w:rsidR="00CA40F5" w:rsidRPr="0002016E">
        <w:rPr>
          <w:rFonts w:ascii="Arial" w:hAnsi="Arial" w:cs="Arial"/>
          <w:noProof/>
          <w:sz w:val="20"/>
        </w:rPr>
        <w:t xml:space="preserve">, че препоръките няма да бъдат законово задължение за ДЧ, но ще бъдат взети предвид при одобрението на Стратегическите планове. </w:t>
      </w:r>
      <w:r w:rsidR="00C70511">
        <w:rPr>
          <w:rFonts w:ascii="Arial" w:hAnsi="Arial" w:cs="Arial"/>
          <w:noProof/>
          <w:sz w:val="20"/>
        </w:rPr>
        <w:t>Ц</w:t>
      </w:r>
      <w:r w:rsidR="00CA40F5" w:rsidRPr="0002016E">
        <w:rPr>
          <w:rFonts w:ascii="Arial" w:hAnsi="Arial" w:cs="Arial"/>
          <w:noProof/>
          <w:sz w:val="20"/>
        </w:rPr>
        <w:t>елите на стратегията „От фермата до трапезата“ са „политически“, а именно, въвеждане</w:t>
      </w:r>
      <w:r w:rsidR="00452F9D">
        <w:rPr>
          <w:rFonts w:ascii="Arial" w:hAnsi="Arial" w:cs="Arial"/>
          <w:noProof/>
          <w:sz w:val="20"/>
        </w:rPr>
        <w:t>то</w:t>
      </w:r>
      <w:r w:rsidR="00CA40F5" w:rsidRPr="0002016E">
        <w:rPr>
          <w:rFonts w:ascii="Arial" w:hAnsi="Arial" w:cs="Arial"/>
          <w:noProof/>
          <w:sz w:val="20"/>
        </w:rPr>
        <w:t xml:space="preserve"> на устойчиво производство на храни“</w:t>
      </w:r>
      <w:r w:rsidR="00C70511">
        <w:rPr>
          <w:rFonts w:ascii="Arial" w:hAnsi="Arial" w:cs="Arial"/>
          <w:noProof/>
          <w:sz w:val="20"/>
        </w:rPr>
        <w:t xml:space="preserve"> и</w:t>
      </w:r>
      <w:r w:rsidR="00CA40F5" w:rsidRPr="0002016E">
        <w:rPr>
          <w:rFonts w:ascii="Arial" w:hAnsi="Arial" w:cs="Arial"/>
          <w:noProof/>
          <w:sz w:val="20"/>
        </w:rPr>
        <w:t xml:space="preserve"> трябва да бъдат постигнати на ниво ЕС, а не отделно от всяка ДЧ. Намерението </w:t>
      </w:r>
      <w:r w:rsidR="00452F9D">
        <w:rPr>
          <w:rFonts w:ascii="Arial" w:hAnsi="Arial" w:cs="Arial"/>
          <w:noProof/>
          <w:sz w:val="20"/>
        </w:rPr>
        <w:t>на Комисията</w:t>
      </w:r>
      <w:r w:rsidR="00CA6CB8">
        <w:rPr>
          <w:rFonts w:ascii="Arial" w:hAnsi="Arial" w:cs="Arial"/>
          <w:noProof/>
          <w:sz w:val="20"/>
        </w:rPr>
        <w:t xml:space="preserve"> е</w:t>
      </w:r>
      <w:r w:rsidR="00C70511">
        <w:rPr>
          <w:rFonts w:ascii="Arial" w:hAnsi="Arial" w:cs="Arial"/>
          <w:noProof/>
          <w:sz w:val="20"/>
        </w:rPr>
        <w:t xml:space="preserve"> </w:t>
      </w:r>
      <w:r w:rsidR="00CA40F5" w:rsidRPr="0002016E">
        <w:rPr>
          <w:rFonts w:ascii="Arial" w:hAnsi="Arial" w:cs="Arial"/>
          <w:noProof/>
          <w:sz w:val="20"/>
        </w:rPr>
        <w:t xml:space="preserve">да предостави препоръките за предварително обсъждане </w:t>
      </w:r>
      <w:r w:rsidR="00CA6CB8">
        <w:rPr>
          <w:rFonts w:ascii="Arial" w:hAnsi="Arial" w:cs="Arial"/>
          <w:noProof/>
          <w:sz w:val="20"/>
        </w:rPr>
        <w:t>с</w:t>
      </w:r>
      <w:r w:rsidR="00CA40F5" w:rsidRPr="0002016E">
        <w:rPr>
          <w:rFonts w:ascii="Arial" w:hAnsi="Arial" w:cs="Arial"/>
          <w:noProof/>
          <w:sz w:val="20"/>
        </w:rPr>
        <w:t xml:space="preserve"> ДЧ през есента, преди те да бъдат официално публикувани през последното тримесечие на 2020 г.</w:t>
      </w:r>
      <w:r w:rsidR="00C70511">
        <w:rPr>
          <w:rFonts w:ascii="Arial" w:hAnsi="Arial" w:cs="Arial"/>
          <w:noProof/>
          <w:sz w:val="20"/>
        </w:rPr>
        <w:t xml:space="preserve"> </w:t>
      </w:r>
      <w:r w:rsidR="00CA40F5" w:rsidRPr="0002016E">
        <w:rPr>
          <w:rFonts w:ascii="Arial" w:hAnsi="Arial" w:cs="Arial"/>
          <w:noProof/>
          <w:sz w:val="20"/>
        </w:rPr>
        <w:t xml:space="preserve">Според Комисията, способността на ОСП да подпомогне осъществяването на приоритетите на Европейската зелена сделка ще зависи </w:t>
      </w:r>
      <w:r w:rsidR="0019617C">
        <w:rPr>
          <w:rFonts w:ascii="Arial" w:hAnsi="Arial" w:cs="Arial"/>
          <w:noProof/>
          <w:sz w:val="20"/>
        </w:rPr>
        <w:t xml:space="preserve">от </w:t>
      </w:r>
      <w:r w:rsidR="00CA40F5" w:rsidRPr="0002016E">
        <w:rPr>
          <w:rFonts w:ascii="Arial" w:hAnsi="Arial" w:cs="Arial"/>
          <w:noProof/>
          <w:sz w:val="20"/>
        </w:rPr>
        <w:t>окончателно</w:t>
      </w:r>
      <w:r w:rsidR="0019617C">
        <w:rPr>
          <w:rFonts w:ascii="Arial" w:hAnsi="Arial" w:cs="Arial"/>
          <w:noProof/>
          <w:sz w:val="20"/>
        </w:rPr>
        <w:t>то</w:t>
      </w:r>
      <w:r w:rsidR="00C70511">
        <w:rPr>
          <w:rFonts w:ascii="Arial" w:hAnsi="Arial" w:cs="Arial"/>
          <w:noProof/>
          <w:sz w:val="20"/>
        </w:rPr>
        <w:t xml:space="preserve"> споразумение </w:t>
      </w:r>
      <w:r w:rsidR="00CA40F5" w:rsidRPr="0002016E">
        <w:rPr>
          <w:rFonts w:ascii="Arial" w:hAnsi="Arial" w:cs="Arial"/>
          <w:noProof/>
          <w:sz w:val="20"/>
        </w:rPr>
        <w:t>по основни</w:t>
      </w:r>
      <w:r w:rsidR="0019617C">
        <w:rPr>
          <w:rFonts w:ascii="Arial" w:hAnsi="Arial" w:cs="Arial"/>
          <w:noProof/>
          <w:sz w:val="20"/>
        </w:rPr>
        <w:t>те</w:t>
      </w:r>
      <w:r w:rsidR="00CA40F5" w:rsidRPr="0002016E">
        <w:rPr>
          <w:rFonts w:ascii="Arial" w:hAnsi="Arial" w:cs="Arial"/>
          <w:noProof/>
          <w:sz w:val="20"/>
        </w:rPr>
        <w:t xml:space="preserve"> елементи на реформата, които включват амбициозна предварителна условност, задължителни еко-схеми и специално заделен бюджет за постигане на екологичните и климатични цели на ОСП след 2020 г.</w:t>
      </w:r>
      <w:r w:rsidR="00BF7565">
        <w:rPr>
          <w:rFonts w:ascii="Arial" w:hAnsi="Arial" w:cs="Arial"/>
          <w:noProof/>
          <w:sz w:val="20"/>
        </w:rPr>
        <w:t xml:space="preserve"> </w:t>
      </w:r>
      <w:r w:rsidR="00C70511">
        <w:rPr>
          <w:rFonts w:ascii="Arial" w:hAnsi="Arial" w:cs="Arial"/>
          <w:noProof/>
          <w:sz w:val="20"/>
        </w:rPr>
        <w:t>Относно</w:t>
      </w:r>
      <w:r w:rsidR="00BF7565" w:rsidRPr="0002016E">
        <w:rPr>
          <w:rFonts w:ascii="Arial" w:hAnsi="Arial" w:cs="Arial"/>
          <w:noProof/>
          <w:sz w:val="20"/>
        </w:rPr>
        <w:t xml:space="preserve"> реформата на ОСП след 2020 г.</w:t>
      </w:r>
      <w:r w:rsidR="00C70511">
        <w:rPr>
          <w:rFonts w:ascii="Arial" w:hAnsi="Arial" w:cs="Arial"/>
          <w:noProof/>
          <w:sz w:val="20"/>
        </w:rPr>
        <w:t xml:space="preserve"> министрите</w:t>
      </w:r>
      <w:r w:rsidR="00BF7565" w:rsidRPr="0002016E">
        <w:rPr>
          <w:rFonts w:ascii="Arial" w:hAnsi="Arial" w:cs="Arial"/>
          <w:noProof/>
          <w:sz w:val="20"/>
        </w:rPr>
        <w:t xml:space="preserve"> отново изказа</w:t>
      </w:r>
      <w:r w:rsidR="00C70511">
        <w:rPr>
          <w:rFonts w:ascii="Arial" w:hAnsi="Arial" w:cs="Arial"/>
          <w:noProof/>
          <w:sz w:val="20"/>
        </w:rPr>
        <w:t>ха</w:t>
      </w:r>
      <w:r w:rsidR="00BF7565" w:rsidRPr="0002016E">
        <w:rPr>
          <w:rFonts w:ascii="Arial" w:hAnsi="Arial" w:cs="Arial"/>
          <w:noProof/>
          <w:sz w:val="20"/>
        </w:rPr>
        <w:t xml:space="preserve"> различни мнения по отношение на Стратегическите планове и „зелената архитектура“. Всички ДЧ представиха своит</w:t>
      </w:r>
      <w:r w:rsidR="0019617C">
        <w:rPr>
          <w:rFonts w:ascii="Arial" w:hAnsi="Arial" w:cs="Arial"/>
          <w:noProof/>
          <w:sz w:val="20"/>
        </w:rPr>
        <w:t>е позиции по въпроса. Държавите членки</w:t>
      </w:r>
      <w:r w:rsidR="00BF7565" w:rsidRPr="0002016E">
        <w:rPr>
          <w:rFonts w:ascii="Arial" w:hAnsi="Arial" w:cs="Arial"/>
          <w:noProof/>
          <w:sz w:val="20"/>
        </w:rPr>
        <w:t xml:space="preserve"> от „Вишеградската четворка“ (Чехия, Унгария, Полша и Словакия), плюс България и Румъния, представиха съвместна декларация относно развитието на бъдещата селскостопанска политика на ЕС, в контекста на Европейската зелена сделка, стратегията „От фермата до трапезата“ и Стратегията за биоразнообразие</w:t>
      </w:r>
      <w:r w:rsidR="00BF7565">
        <w:rPr>
          <w:rFonts w:ascii="Arial" w:hAnsi="Arial" w:cs="Arial"/>
          <w:noProof/>
          <w:sz w:val="20"/>
        </w:rPr>
        <w:t>то</w:t>
      </w:r>
      <w:r w:rsidR="00BF7565" w:rsidRPr="0002016E">
        <w:rPr>
          <w:rFonts w:ascii="Arial" w:hAnsi="Arial" w:cs="Arial"/>
          <w:noProof/>
          <w:sz w:val="20"/>
        </w:rPr>
        <w:t xml:space="preserve">, както и </w:t>
      </w:r>
      <w:r w:rsidR="00BF7565">
        <w:rPr>
          <w:rFonts w:ascii="Arial" w:hAnsi="Arial" w:cs="Arial"/>
          <w:noProof/>
          <w:sz w:val="20"/>
        </w:rPr>
        <w:t xml:space="preserve">за </w:t>
      </w:r>
      <w:r w:rsidR="00BF7565" w:rsidRPr="0002016E">
        <w:rPr>
          <w:rFonts w:ascii="Arial" w:hAnsi="Arial" w:cs="Arial"/>
          <w:noProof/>
          <w:sz w:val="20"/>
        </w:rPr>
        <w:t xml:space="preserve">настъпилата пандемия. </w:t>
      </w:r>
      <w:r w:rsidR="00BF7565">
        <w:rPr>
          <w:rFonts w:ascii="Arial" w:hAnsi="Arial" w:cs="Arial"/>
          <w:noProof/>
          <w:sz w:val="20"/>
        </w:rPr>
        <w:t>Н</w:t>
      </w:r>
      <w:r w:rsidR="00BF7565" w:rsidRPr="0002016E">
        <w:rPr>
          <w:rFonts w:ascii="Arial" w:hAnsi="Arial" w:cs="Arial"/>
          <w:noProof/>
          <w:sz w:val="20"/>
        </w:rPr>
        <w:t xml:space="preserve">емското председателство </w:t>
      </w:r>
      <w:r w:rsidR="00BF7565">
        <w:rPr>
          <w:rFonts w:ascii="Arial" w:hAnsi="Arial" w:cs="Arial"/>
          <w:noProof/>
          <w:sz w:val="20"/>
        </w:rPr>
        <w:t>има</w:t>
      </w:r>
      <w:r w:rsidR="0019617C">
        <w:rPr>
          <w:rFonts w:ascii="Arial" w:hAnsi="Arial" w:cs="Arial"/>
          <w:noProof/>
          <w:sz w:val="20"/>
        </w:rPr>
        <w:t xml:space="preserve"> </w:t>
      </w:r>
      <w:r w:rsidR="00BF7565">
        <w:rPr>
          <w:rFonts w:ascii="Arial" w:hAnsi="Arial" w:cs="Arial"/>
          <w:noProof/>
          <w:sz w:val="20"/>
        </w:rPr>
        <w:t>за цел</w:t>
      </w:r>
      <w:r w:rsidR="00BF7565" w:rsidRPr="0002016E">
        <w:rPr>
          <w:rFonts w:ascii="Arial" w:hAnsi="Arial" w:cs="Arial"/>
          <w:noProof/>
          <w:sz w:val="20"/>
        </w:rPr>
        <w:t xml:space="preserve"> да постигне споразумение относно пакета за реформа на ОСП след 2020 г. и </w:t>
      </w:r>
      <w:r w:rsidR="00BF7565">
        <w:rPr>
          <w:rFonts w:ascii="Arial" w:hAnsi="Arial" w:cs="Arial"/>
          <w:noProof/>
          <w:sz w:val="20"/>
        </w:rPr>
        <w:t xml:space="preserve">да </w:t>
      </w:r>
      <w:r w:rsidR="00BF7565" w:rsidRPr="0002016E">
        <w:rPr>
          <w:rFonts w:ascii="Arial" w:hAnsi="Arial" w:cs="Arial"/>
          <w:noProof/>
          <w:sz w:val="20"/>
        </w:rPr>
        <w:t xml:space="preserve">изготви заключения на Съвета относно стратегията „От фермата до трапезата“, които да бъдат приети от Съвета на министрите през октомври 2020 г. (бел. очаква се провеждане на заседание на Съвета по селско стопанство на 19-20 октомври). Комисарят по селско стопанство, г-н Януш Войчеховски, представи актуална информация относно състоянието на </w:t>
      </w:r>
      <w:r w:rsidR="0019617C">
        <w:rPr>
          <w:rFonts w:ascii="Arial" w:hAnsi="Arial" w:cs="Arial"/>
          <w:noProof/>
          <w:sz w:val="20"/>
        </w:rPr>
        <w:t xml:space="preserve">пазарите по време на пандемията. </w:t>
      </w:r>
      <w:r w:rsidR="00BF7565" w:rsidRPr="0002016E">
        <w:rPr>
          <w:rFonts w:ascii="Arial" w:hAnsi="Arial" w:cs="Arial"/>
          <w:noProof/>
          <w:sz w:val="20"/>
        </w:rPr>
        <w:t xml:space="preserve">Франция призова за подкрепа по отношение на телешкото месо, тъй като </w:t>
      </w:r>
      <w:r w:rsidR="00BF7565">
        <w:rPr>
          <w:rFonts w:ascii="Arial" w:hAnsi="Arial" w:cs="Arial"/>
          <w:noProof/>
          <w:sz w:val="20"/>
        </w:rPr>
        <w:t xml:space="preserve">със </w:t>
      </w:r>
      <w:r w:rsidR="00BF7565" w:rsidRPr="0002016E">
        <w:rPr>
          <w:rFonts w:ascii="Arial" w:hAnsi="Arial" w:cs="Arial"/>
          <w:noProof/>
          <w:sz w:val="20"/>
        </w:rPr>
        <w:t xml:space="preserve">затварянето на заведенията за обществено хранене се натрупват запаси, които са в тежест за пазара. Подобна беше позицията на </w:t>
      </w:r>
      <w:r w:rsidR="00BF7565">
        <w:rPr>
          <w:rFonts w:ascii="Arial" w:hAnsi="Arial" w:cs="Arial"/>
          <w:noProof/>
          <w:sz w:val="20"/>
        </w:rPr>
        <w:t>няколко други държави-членки</w:t>
      </w:r>
      <w:r w:rsidR="00BF7565" w:rsidRPr="0002016E">
        <w:rPr>
          <w:rFonts w:ascii="Arial" w:hAnsi="Arial" w:cs="Arial"/>
          <w:noProof/>
          <w:sz w:val="20"/>
        </w:rPr>
        <w:t xml:space="preserve">, които призоваха за добавяне на нови сектори към обхвата на схемите за частно складиране. </w:t>
      </w:r>
      <w:r w:rsidR="00BF7565">
        <w:rPr>
          <w:rFonts w:ascii="Arial" w:hAnsi="Arial" w:cs="Arial"/>
          <w:noProof/>
          <w:sz w:val="20"/>
        </w:rPr>
        <w:t>Една държава-членка</w:t>
      </w:r>
      <w:r w:rsidR="00BF7565" w:rsidRPr="0002016E">
        <w:rPr>
          <w:rFonts w:ascii="Arial" w:hAnsi="Arial" w:cs="Arial"/>
          <w:noProof/>
          <w:sz w:val="20"/>
        </w:rPr>
        <w:t xml:space="preserve"> обърна внима</w:t>
      </w:r>
      <w:r w:rsidR="00BF7565">
        <w:rPr>
          <w:rFonts w:ascii="Arial" w:hAnsi="Arial" w:cs="Arial"/>
          <w:noProof/>
          <w:sz w:val="20"/>
        </w:rPr>
        <w:t>ние на затруднената ситуация на</w:t>
      </w:r>
      <w:r w:rsidR="00BF7565" w:rsidRPr="0002016E">
        <w:rPr>
          <w:rFonts w:ascii="Arial" w:hAnsi="Arial" w:cs="Arial"/>
          <w:noProof/>
          <w:sz w:val="20"/>
        </w:rPr>
        <w:t xml:space="preserve"> пазара на вино.</w:t>
      </w:r>
    </w:p>
    <w:p w:rsidR="00CA40F5" w:rsidRPr="0002016E" w:rsidRDefault="00CA40F5" w:rsidP="008B7A95">
      <w:pPr>
        <w:jc w:val="both"/>
        <w:rPr>
          <w:rFonts w:ascii="Arial" w:hAnsi="Arial" w:cs="Arial"/>
          <w:b/>
          <w:noProof/>
          <w:sz w:val="20"/>
        </w:rPr>
      </w:pPr>
    </w:p>
    <w:p w:rsidR="001B1430" w:rsidRPr="0002016E" w:rsidRDefault="007178AB" w:rsidP="008B7A95">
      <w:pPr>
        <w:jc w:val="both"/>
        <w:rPr>
          <w:rFonts w:ascii="Arial" w:hAnsi="Arial" w:cs="Arial"/>
          <w:b/>
          <w:noProof/>
          <w:sz w:val="20"/>
        </w:rPr>
      </w:pPr>
      <w:r>
        <w:rPr>
          <w:rFonts w:ascii="Arial" w:hAnsi="Arial" w:cs="Arial"/>
          <w:b/>
          <w:noProof/>
          <w:sz w:val="20"/>
        </w:rPr>
        <w:t>5</w:t>
      </w:r>
      <w:r w:rsidR="00CA40F5" w:rsidRPr="0002016E">
        <w:rPr>
          <w:rFonts w:ascii="Arial" w:hAnsi="Arial" w:cs="Arial"/>
          <w:b/>
          <w:noProof/>
          <w:sz w:val="20"/>
        </w:rPr>
        <w:t>. Разнопосочни позиции относно прилагането и бюджета на еко-схемите</w:t>
      </w:r>
      <w:r w:rsidR="00AC52D6">
        <w:rPr>
          <w:rFonts w:ascii="Arial" w:hAnsi="Arial" w:cs="Arial"/>
          <w:b/>
          <w:noProof/>
          <w:sz w:val="20"/>
        </w:rPr>
        <w:t xml:space="preserve"> изразиха</w:t>
      </w:r>
      <w:r w:rsidR="008B7A95">
        <w:rPr>
          <w:rFonts w:ascii="Arial" w:hAnsi="Arial" w:cs="Arial"/>
          <w:b/>
          <w:noProof/>
          <w:sz w:val="20"/>
        </w:rPr>
        <w:t xml:space="preserve"> министрите </w:t>
      </w:r>
      <w:r w:rsidR="00AC52D6" w:rsidRPr="00AC52D6">
        <w:rPr>
          <w:rFonts w:ascii="Arial" w:hAnsi="Arial" w:cs="Arial"/>
          <w:b/>
          <w:noProof/>
          <w:sz w:val="20"/>
        </w:rPr>
        <w:t>п</w:t>
      </w:r>
      <w:r w:rsidR="00CA40F5" w:rsidRPr="00AC52D6">
        <w:rPr>
          <w:rFonts w:ascii="Arial" w:hAnsi="Arial" w:cs="Arial"/>
          <w:b/>
          <w:noProof/>
          <w:sz w:val="20"/>
        </w:rPr>
        <w:t xml:space="preserve">о време на </w:t>
      </w:r>
      <w:r w:rsidR="008B7A95">
        <w:rPr>
          <w:rFonts w:ascii="Arial" w:hAnsi="Arial" w:cs="Arial"/>
          <w:b/>
          <w:noProof/>
          <w:sz w:val="20"/>
        </w:rPr>
        <w:t xml:space="preserve">засеанието на </w:t>
      </w:r>
      <w:r w:rsidR="00CA40F5" w:rsidRPr="00AC52D6">
        <w:rPr>
          <w:rFonts w:ascii="Arial" w:hAnsi="Arial" w:cs="Arial"/>
          <w:b/>
          <w:noProof/>
          <w:sz w:val="20"/>
        </w:rPr>
        <w:t>Съвета</w:t>
      </w:r>
      <w:r w:rsidR="00AC52D6">
        <w:rPr>
          <w:rFonts w:ascii="Arial" w:hAnsi="Arial" w:cs="Arial"/>
          <w:noProof/>
          <w:sz w:val="20"/>
        </w:rPr>
        <w:t>.</w:t>
      </w:r>
      <w:r w:rsidR="00CA40F5" w:rsidRPr="0002016E">
        <w:rPr>
          <w:rFonts w:ascii="Arial" w:hAnsi="Arial" w:cs="Arial"/>
          <w:noProof/>
          <w:sz w:val="20"/>
        </w:rPr>
        <w:t xml:space="preserve"> </w:t>
      </w:r>
      <w:r w:rsidR="008B7A95">
        <w:rPr>
          <w:rFonts w:ascii="Arial" w:hAnsi="Arial" w:cs="Arial"/>
          <w:noProof/>
          <w:sz w:val="20"/>
        </w:rPr>
        <w:t>Част от минитрите</w:t>
      </w:r>
      <w:r w:rsidR="00AC52D6">
        <w:rPr>
          <w:rFonts w:ascii="Arial" w:hAnsi="Arial" w:cs="Arial"/>
          <w:noProof/>
          <w:sz w:val="20"/>
        </w:rPr>
        <w:t xml:space="preserve"> </w:t>
      </w:r>
      <w:r w:rsidR="00CA40F5" w:rsidRPr="0002016E">
        <w:rPr>
          <w:rFonts w:ascii="Arial" w:hAnsi="Arial" w:cs="Arial"/>
          <w:noProof/>
          <w:sz w:val="20"/>
        </w:rPr>
        <w:t xml:space="preserve">се изказаха против заделяне на определен бюджет за еко-схемите от Стълб 1, </w:t>
      </w:r>
      <w:r w:rsidR="00E32DB5">
        <w:rPr>
          <w:rFonts w:ascii="Arial" w:hAnsi="Arial" w:cs="Arial"/>
          <w:noProof/>
          <w:sz w:val="20"/>
        </w:rPr>
        <w:t>но</w:t>
      </w:r>
      <w:r w:rsidR="00CA40F5" w:rsidRPr="0002016E">
        <w:rPr>
          <w:rFonts w:ascii="Arial" w:hAnsi="Arial" w:cs="Arial"/>
          <w:noProof/>
          <w:sz w:val="20"/>
        </w:rPr>
        <w:t xml:space="preserve"> са съгласни, че трябва да бъдат избегнати всякакви потенциални загуби на средства вследствие на неизползвано финансиране. ДЧ изказ</w:t>
      </w:r>
      <w:r w:rsidR="00E32DB5">
        <w:rPr>
          <w:rFonts w:ascii="Arial" w:hAnsi="Arial" w:cs="Arial"/>
          <w:noProof/>
          <w:sz w:val="20"/>
        </w:rPr>
        <w:t>аха</w:t>
      </w:r>
      <w:r w:rsidR="00CA40F5" w:rsidRPr="0002016E">
        <w:rPr>
          <w:rFonts w:ascii="Arial" w:hAnsi="Arial" w:cs="Arial"/>
          <w:noProof/>
          <w:sz w:val="20"/>
        </w:rPr>
        <w:t xml:space="preserve"> опасения относно липсата на предишен опит при прилагането на новите еко-схеми, поради което считат, че трябва да бъдат прилагани доброволно както от ДЧ, така и от фермерите. Голям брой ДЧ обърнаха внимание също</w:t>
      </w:r>
      <w:r w:rsidR="00E32DB5">
        <w:rPr>
          <w:rFonts w:ascii="Arial" w:hAnsi="Arial" w:cs="Arial"/>
          <w:noProof/>
          <w:sz w:val="20"/>
        </w:rPr>
        <w:t xml:space="preserve"> така</w:t>
      </w:r>
      <w:r w:rsidR="00CA40F5" w:rsidRPr="0002016E">
        <w:rPr>
          <w:rFonts w:ascii="Arial" w:hAnsi="Arial" w:cs="Arial"/>
          <w:noProof/>
          <w:sz w:val="20"/>
        </w:rPr>
        <w:t xml:space="preserve"> на „добрия опит“, който имат с прилагане</w:t>
      </w:r>
      <w:r w:rsidR="0082041E">
        <w:rPr>
          <w:rFonts w:ascii="Arial" w:hAnsi="Arial" w:cs="Arial"/>
          <w:noProof/>
          <w:sz w:val="20"/>
        </w:rPr>
        <w:t>то</w:t>
      </w:r>
      <w:r w:rsidR="00CA40F5" w:rsidRPr="0002016E">
        <w:rPr>
          <w:rFonts w:ascii="Arial" w:hAnsi="Arial" w:cs="Arial"/>
          <w:noProof/>
          <w:sz w:val="20"/>
        </w:rPr>
        <w:t xml:space="preserve"> на мерките от Стълб 2, които вече са добре познати на фермерите.</w:t>
      </w:r>
      <w:r w:rsidR="0082041E">
        <w:rPr>
          <w:rFonts w:ascii="Arial" w:hAnsi="Arial" w:cs="Arial"/>
          <w:noProof/>
          <w:sz w:val="20"/>
        </w:rPr>
        <w:t xml:space="preserve"> </w:t>
      </w:r>
      <w:r w:rsidR="00CA40F5" w:rsidRPr="0002016E">
        <w:rPr>
          <w:rFonts w:ascii="Arial" w:hAnsi="Arial" w:cs="Arial"/>
          <w:noProof/>
          <w:sz w:val="20"/>
        </w:rPr>
        <w:t>Разнопосочни позиции бяха изказани относно възможността за установяване на единен процент</w:t>
      </w:r>
      <w:r w:rsidR="0082041E">
        <w:rPr>
          <w:rFonts w:ascii="Arial" w:hAnsi="Arial" w:cs="Arial"/>
          <w:noProof/>
          <w:sz w:val="20"/>
        </w:rPr>
        <w:t>,</w:t>
      </w:r>
      <w:r w:rsidR="00CA40F5" w:rsidRPr="0002016E">
        <w:rPr>
          <w:rFonts w:ascii="Arial" w:hAnsi="Arial" w:cs="Arial"/>
          <w:noProof/>
          <w:sz w:val="20"/>
        </w:rPr>
        <w:t xml:space="preserve"> на ниво ЕС</w:t>
      </w:r>
      <w:r w:rsidR="0082041E">
        <w:rPr>
          <w:rFonts w:ascii="Arial" w:hAnsi="Arial" w:cs="Arial"/>
          <w:noProof/>
          <w:sz w:val="20"/>
        </w:rPr>
        <w:t>,</w:t>
      </w:r>
      <w:r w:rsidR="00CA40F5" w:rsidRPr="0002016E">
        <w:rPr>
          <w:rFonts w:ascii="Arial" w:hAnsi="Arial" w:cs="Arial"/>
          <w:noProof/>
          <w:sz w:val="20"/>
        </w:rPr>
        <w:t xml:space="preserve"> от обработваема земеделска площ, която да бъде заделена за непроизводствени цели за подобряване на биологичното разнообразие в земеделското стопанство, като например отглеждане на междинни или азотфиксиращи култури. Също така, министрите настоя</w:t>
      </w:r>
      <w:r w:rsidR="0082041E">
        <w:rPr>
          <w:rFonts w:ascii="Arial" w:hAnsi="Arial" w:cs="Arial"/>
          <w:noProof/>
          <w:sz w:val="20"/>
        </w:rPr>
        <w:t>ха</w:t>
      </w:r>
      <w:r w:rsidR="00CA40F5" w:rsidRPr="0002016E">
        <w:rPr>
          <w:rFonts w:ascii="Arial" w:hAnsi="Arial" w:cs="Arial"/>
          <w:noProof/>
          <w:sz w:val="20"/>
        </w:rPr>
        <w:t xml:space="preserve"> за въвеждане на 2</w:t>
      </w:r>
      <w:r w:rsidR="0082041E">
        <w:rPr>
          <w:rFonts w:ascii="Arial" w:hAnsi="Arial" w:cs="Arial"/>
          <w:noProof/>
          <w:sz w:val="20"/>
        </w:rPr>
        <w:t>-</w:t>
      </w:r>
      <w:r w:rsidR="00CA40F5" w:rsidRPr="0002016E">
        <w:rPr>
          <w:rFonts w:ascii="Arial" w:hAnsi="Arial" w:cs="Arial"/>
          <w:noProof/>
          <w:sz w:val="20"/>
        </w:rPr>
        <w:t xml:space="preserve"> годишен преходен период, преди да бъдат приложени новите правила за ОСП след 2020 г.</w:t>
      </w:r>
    </w:p>
    <w:p w:rsidR="002A2BBE" w:rsidRPr="0002016E" w:rsidRDefault="00527A50" w:rsidP="008B7A95">
      <w:pPr>
        <w:shd w:val="clear" w:color="auto" w:fill="FFFFFF"/>
        <w:jc w:val="both"/>
        <w:rPr>
          <w:rFonts w:ascii="Arial" w:hAnsi="Arial" w:cs="Arial"/>
          <w:b/>
          <w:noProof/>
          <w:sz w:val="20"/>
        </w:rPr>
      </w:pPr>
      <w:r w:rsidRPr="0002016E">
        <w:rPr>
          <w:rFonts w:ascii="Arial" w:hAnsi="Arial" w:cs="Arial"/>
          <w:b/>
          <w:noProof/>
          <w:sz w:val="20"/>
        </w:rPr>
        <w:t xml:space="preserve"> </w:t>
      </w: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1B1430" w:rsidRPr="0002016E" w:rsidRDefault="001B143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617956" w:rsidRDefault="001B2D6A" w:rsidP="008B7A95">
      <w:pPr>
        <w:jc w:val="both"/>
        <w:outlineLvl w:val="0"/>
        <w:rPr>
          <w:rFonts w:ascii="Arial" w:hAnsi="Arial" w:cs="Arial"/>
          <w:noProof/>
          <w:sz w:val="20"/>
        </w:rPr>
      </w:pPr>
      <w:r>
        <w:rPr>
          <w:rStyle w:val="longtext"/>
          <w:rFonts w:ascii="Arial" w:hAnsi="Arial" w:cs="Arial"/>
          <w:b/>
          <w:noProof/>
          <w:sz w:val="20"/>
        </w:rPr>
        <w:t>6</w:t>
      </w:r>
      <w:r w:rsidR="0024496F">
        <w:rPr>
          <w:rStyle w:val="longtext"/>
          <w:rFonts w:ascii="Arial" w:hAnsi="Arial" w:cs="Arial"/>
          <w:noProof/>
          <w:sz w:val="20"/>
        </w:rPr>
        <w:t xml:space="preserve">. </w:t>
      </w:r>
      <w:r w:rsidR="00617956" w:rsidRPr="00292138">
        <w:rPr>
          <w:rFonts w:ascii="Arial" w:hAnsi="Arial" w:cs="Arial"/>
          <w:b/>
          <w:bCs/>
          <w:kern w:val="36"/>
          <w:sz w:val="20"/>
        </w:rPr>
        <w:t xml:space="preserve">На извънредното заседание на Европейския съвет, </w:t>
      </w:r>
      <w:r w:rsidR="0024496F">
        <w:rPr>
          <w:rFonts w:ascii="Arial" w:hAnsi="Arial" w:cs="Arial"/>
          <w:b/>
          <w:bCs/>
          <w:kern w:val="36"/>
          <w:sz w:val="20"/>
        </w:rPr>
        <w:t xml:space="preserve">което се проведе от </w:t>
      </w:r>
      <w:r w:rsidR="00617956" w:rsidRPr="00292138">
        <w:rPr>
          <w:rFonts w:ascii="Arial" w:hAnsi="Arial" w:cs="Arial"/>
          <w:b/>
          <w:bCs/>
          <w:kern w:val="36"/>
          <w:sz w:val="20"/>
        </w:rPr>
        <w:t>17–</w:t>
      </w:r>
      <w:r w:rsidR="0024496F">
        <w:rPr>
          <w:rFonts w:ascii="Arial" w:hAnsi="Arial" w:cs="Arial"/>
          <w:b/>
          <w:bCs/>
          <w:kern w:val="36"/>
          <w:sz w:val="20"/>
        </w:rPr>
        <w:t xml:space="preserve"> до </w:t>
      </w:r>
      <w:r w:rsidR="00617956" w:rsidRPr="00292138">
        <w:rPr>
          <w:rFonts w:ascii="Arial" w:hAnsi="Arial" w:cs="Arial"/>
          <w:b/>
          <w:bCs/>
          <w:kern w:val="36"/>
          <w:sz w:val="20"/>
        </w:rPr>
        <w:t>21 юли 2020 г.</w:t>
      </w:r>
      <w:hyperlink r:id="rId9" w:history="1"/>
      <w:r w:rsidR="00617956" w:rsidRPr="00292138">
        <w:rPr>
          <w:rFonts w:ascii="Arial" w:hAnsi="Arial" w:cs="Arial"/>
          <w:sz w:val="20"/>
        </w:rPr>
        <w:t xml:space="preserve"> </w:t>
      </w:r>
      <w:r w:rsidR="0024496F" w:rsidRPr="0024496F">
        <w:rPr>
          <w:rFonts w:ascii="Arial" w:hAnsi="Arial" w:cs="Arial"/>
          <w:b/>
          <w:sz w:val="20"/>
        </w:rPr>
        <w:t xml:space="preserve">в Брюксел, </w:t>
      </w:r>
      <w:r w:rsidR="00617956" w:rsidRPr="0024496F">
        <w:rPr>
          <w:rFonts w:ascii="Arial" w:hAnsi="Arial" w:cs="Arial"/>
          <w:b/>
          <w:sz w:val="20"/>
        </w:rPr>
        <w:t xml:space="preserve">лидерите от ЕС </w:t>
      </w:r>
      <w:r w:rsidR="0024496F">
        <w:rPr>
          <w:rFonts w:ascii="Arial" w:hAnsi="Arial" w:cs="Arial"/>
          <w:b/>
          <w:sz w:val="20"/>
        </w:rPr>
        <w:t>л</w:t>
      </w:r>
      <w:r w:rsidR="0024496F" w:rsidRPr="0024496F">
        <w:rPr>
          <w:rFonts w:ascii="Arial" w:hAnsi="Arial" w:cs="Arial" w:hint="eastAsia"/>
          <w:b/>
          <w:sz w:val="20"/>
        </w:rPr>
        <w:t>идерите</w:t>
      </w:r>
      <w:r w:rsidR="0024496F" w:rsidRPr="0024496F">
        <w:rPr>
          <w:rFonts w:ascii="Arial" w:hAnsi="Arial" w:cs="Arial"/>
          <w:b/>
          <w:sz w:val="20"/>
        </w:rPr>
        <w:t xml:space="preserve"> </w:t>
      </w:r>
      <w:r w:rsidR="0024496F" w:rsidRPr="0024496F">
        <w:rPr>
          <w:rFonts w:ascii="Arial" w:hAnsi="Arial" w:cs="Arial" w:hint="eastAsia"/>
          <w:b/>
          <w:sz w:val="20"/>
        </w:rPr>
        <w:t>от</w:t>
      </w:r>
      <w:r w:rsidR="0024496F" w:rsidRPr="0024496F">
        <w:rPr>
          <w:rFonts w:ascii="Arial" w:hAnsi="Arial" w:cs="Arial"/>
          <w:b/>
          <w:sz w:val="20"/>
        </w:rPr>
        <w:t xml:space="preserve"> </w:t>
      </w:r>
      <w:r w:rsidR="0024496F" w:rsidRPr="0024496F">
        <w:rPr>
          <w:rFonts w:ascii="Arial" w:hAnsi="Arial" w:cs="Arial" w:hint="eastAsia"/>
          <w:b/>
          <w:sz w:val="20"/>
        </w:rPr>
        <w:t>ЕС</w:t>
      </w:r>
      <w:r w:rsidR="0024496F" w:rsidRPr="0024496F">
        <w:rPr>
          <w:rFonts w:ascii="Arial" w:hAnsi="Arial" w:cs="Arial"/>
          <w:b/>
          <w:sz w:val="20"/>
        </w:rPr>
        <w:t xml:space="preserve"> </w:t>
      </w:r>
      <w:r w:rsidR="0024496F" w:rsidRPr="0024496F">
        <w:rPr>
          <w:rFonts w:ascii="Arial" w:hAnsi="Arial" w:cs="Arial" w:hint="eastAsia"/>
          <w:b/>
          <w:sz w:val="20"/>
        </w:rPr>
        <w:t>се</w:t>
      </w:r>
      <w:r w:rsidR="0024496F" w:rsidRPr="0024496F">
        <w:rPr>
          <w:rFonts w:ascii="Arial" w:hAnsi="Arial" w:cs="Arial"/>
          <w:b/>
          <w:sz w:val="20"/>
        </w:rPr>
        <w:t xml:space="preserve"> </w:t>
      </w:r>
      <w:r w:rsidR="0024496F" w:rsidRPr="0024496F">
        <w:rPr>
          <w:rFonts w:ascii="Arial" w:hAnsi="Arial" w:cs="Arial" w:hint="eastAsia"/>
          <w:b/>
          <w:sz w:val="20"/>
        </w:rPr>
        <w:t>споразумяха</w:t>
      </w:r>
      <w:r w:rsidR="0024496F" w:rsidRPr="0024496F">
        <w:rPr>
          <w:rFonts w:ascii="Arial" w:hAnsi="Arial" w:cs="Arial"/>
          <w:b/>
          <w:sz w:val="20"/>
        </w:rPr>
        <w:t xml:space="preserve"> </w:t>
      </w:r>
      <w:r w:rsidR="0024496F" w:rsidRPr="0024496F">
        <w:rPr>
          <w:rFonts w:ascii="Arial" w:hAnsi="Arial" w:cs="Arial" w:hint="eastAsia"/>
          <w:b/>
          <w:sz w:val="20"/>
        </w:rPr>
        <w:t>за</w:t>
      </w:r>
      <w:r w:rsidR="0024496F" w:rsidRPr="0024496F">
        <w:rPr>
          <w:rFonts w:ascii="Arial" w:hAnsi="Arial" w:cs="Arial"/>
          <w:b/>
          <w:sz w:val="20"/>
        </w:rPr>
        <w:t xml:space="preserve"> </w:t>
      </w:r>
      <w:r w:rsidR="0024496F" w:rsidRPr="0024496F">
        <w:rPr>
          <w:rFonts w:ascii="Arial" w:hAnsi="Arial" w:cs="Arial" w:hint="eastAsia"/>
          <w:b/>
          <w:sz w:val="20"/>
        </w:rPr>
        <w:t>цялостен</w:t>
      </w:r>
      <w:r w:rsidR="0024496F" w:rsidRPr="0024496F">
        <w:rPr>
          <w:rFonts w:ascii="Arial" w:hAnsi="Arial" w:cs="Arial"/>
          <w:b/>
          <w:sz w:val="20"/>
        </w:rPr>
        <w:t xml:space="preserve"> </w:t>
      </w:r>
      <w:r w:rsidR="0024496F" w:rsidRPr="0024496F">
        <w:rPr>
          <w:rFonts w:ascii="Arial" w:hAnsi="Arial" w:cs="Arial" w:hint="eastAsia"/>
          <w:b/>
          <w:sz w:val="20"/>
        </w:rPr>
        <w:t>пакет</w:t>
      </w:r>
      <w:r w:rsidR="0024496F" w:rsidRPr="0024496F">
        <w:rPr>
          <w:rFonts w:ascii="Arial" w:hAnsi="Arial" w:cs="Arial"/>
          <w:b/>
          <w:sz w:val="20"/>
        </w:rPr>
        <w:t xml:space="preserve"> </w:t>
      </w:r>
      <w:r w:rsidR="0024496F" w:rsidRPr="0024496F">
        <w:rPr>
          <w:rFonts w:ascii="Arial" w:hAnsi="Arial" w:cs="Arial" w:hint="eastAsia"/>
          <w:b/>
          <w:sz w:val="20"/>
        </w:rPr>
        <w:t>от</w:t>
      </w:r>
      <w:r w:rsidR="0024496F" w:rsidRPr="0024496F">
        <w:rPr>
          <w:rFonts w:ascii="Arial" w:hAnsi="Arial" w:cs="Arial"/>
          <w:b/>
          <w:sz w:val="20"/>
        </w:rPr>
        <w:t xml:space="preserve"> 1824,3 </w:t>
      </w:r>
      <w:r w:rsidR="0024496F" w:rsidRPr="0024496F">
        <w:rPr>
          <w:rFonts w:ascii="Arial" w:hAnsi="Arial" w:cs="Arial" w:hint="eastAsia"/>
          <w:b/>
          <w:sz w:val="20"/>
        </w:rPr>
        <w:t>милиарда</w:t>
      </w:r>
      <w:r w:rsidR="0024496F" w:rsidRPr="0024496F">
        <w:rPr>
          <w:rFonts w:ascii="Arial" w:hAnsi="Arial" w:cs="Arial"/>
          <w:b/>
          <w:sz w:val="20"/>
        </w:rPr>
        <w:t xml:space="preserve"> </w:t>
      </w:r>
      <w:r w:rsidR="0024496F" w:rsidRPr="0024496F">
        <w:rPr>
          <w:rFonts w:ascii="Arial" w:hAnsi="Arial" w:cs="Arial" w:hint="eastAsia"/>
          <w:b/>
          <w:sz w:val="20"/>
        </w:rPr>
        <w:t>евро</w:t>
      </w:r>
      <w:r w:rsidR="0024496F" w:rsidRPr="0024496F">
        <w:rPr>
          <w:rFonts w:ascii="Arial" w:hAnsi="Arial" w:cs="Arial"/>
          <w:b/>
          <w:sz w:val="20"/>
        </w:rPr>
        <w:t xml:space="preserve">, </w:t>
      </w:r>
      <w:r w:rsidR="0024496F" w:rsidRPr="0024496F">
        <w:rPr>
          <w:rFonts w:ascii="Arial" w:hAnsi="Arial" w:cs="Arial" w:hint="eastAsia"/>
          <w:b/>
          <w:sz w:val="20"/>
        </w:rPr>
        <w:t>който</w:t>
      </w:r>
      <w:r w:rsidR="0024496F" w:rsidRPr="0024496F">
        <w:rPr>
          <w:rFonts w:ascii="Arial" w:hAnsi="Arial" w:cs="Arial"/>
          <w:b/>
          <w:sz w:val="20"/>
        </w:rPr>
        <w:t xml:space="preserve"> </w:t>
      </w:r>
      <w:r w:rsidR="0024496F" w:rsidRPr="0024496F">
        <w:rPr>
          <w:rFonts w:ascii="Arial" w:hAnsi="Arial" w:cs="Arial" w:hint="eastAsia"/>
          <w:b/>
          <w:sz w:val="20"/>
        </w:rPr>
        <w:t>включва</w:t>
      </w:r>
      <w:r w:rsidR="0024496F" w:rsidRPr="0024496F">
        <w:rPr>
          <w:rFonts w:ascii="Arial" w:hAnsi="Arial" w:cs="Arial"/>
          <w:b/>
          <w:sz w:val="20"/>
        </w:rPr>
        <w:t xml:space="preserve"> </w:t>
      </w:r>
      <w:r w:rsidR="0024496F" w:rsidRPr="0024496F">
        <w:rPr>
          <w:rFonts w:ascii="Arial" w:hAnsi="Arial" w:cs="Arial" w:hint="eastAsia"/>
          <w:b/>
          <w:sz w:val="20"/>
        </w:rPr>
        <w:t>многогодишната</w:t>
      </w:r>
      <w:r w:rsidR="0024496F" w:rsidRPr="0024496F">
        <w:rPr>
          <w:rFonts w:ascii="Arial" w:hAnsi="Arial" w:cs="Arial"/>
          <w:b/>
          <w:sz w:val="20"/>
        </w:rPr>
        <w:t xml:space="preserve"> </w:t>
      </w:r>
      <w:r w:rsidR="0024496F" w:rsidRPr="0024496F">
        <w:rPr>
          <w:rFonts w:ascii="Arial" w:hAnsi="Arial" w:cs="Arial" w:hint="eastAsia"/>
          <w:b/>
          <w:sz w:val="20"/>
        </w:rPr>
        <w:t>финансова</w:t>
      </w:r>
      <w:r w:rsidR="0024496F" w:rsidRPr="0024496F">
        <w:rPr>
          <w:rFonts w:ascii="Arial" w:hAnsi="Arial" w:cs="Arial"/>
          <w:b/>
          <w:sz w:val="20"/>
        </w:rPr>
        <w:t xml:space="preserve"> </w:t>
      </w:r>
      <w:r w:rsidR="0024496F" w:rsidRPr="0024496F">
        <w:rPr>
          <w:rFonts w:ascii="Arial" w:hAnsi="Arial" w:cs="Arial" w:hint="eastAsia"/>
          <w:b/>
          <w:sz w:val="20"/>
        </w:rPr>
        <w:t>рамка</w:t>
      </w:r>
      <w:r w:rsidR="0024496F" w:rsidRPr="0024496F">
        <w:rPr>
          <w:rFonts w:ascii="Arial" w:hAnsi="Arial" w:cs="Arial"/>
          <w:b/>
          <w:sz w:val="20"/>
        </w:rPr>
        <w:t xml:space="preserve"> (</w:t>
      </w:r>
      <w:r w:rsidR="0024496F" w:rsidRPr="0024496F">
        <w:rPr>
          <w:rFonts w:ascii="Arial" w:hAnsi="Arial" w:cs="Arial" w:hint="eastAsia"/>
          <w:b/>
          <w:sz w:val="20"/>
        </w:rPr>
        <w:t>МФР</w:t>
      </w:r>
      <w:r w:rsidR="0024496F" w:rsidRPr="0024496F">
        <w:rPr>
          <w:rFonts w:ascii="Arial" w:hAnsi="Arial" w:cs="Arial"/>
          <w:b/>
          <w:sz w:val="20"/>
        </w:rPr>
        <w:t xml:space="preserve">) </w:t>
      </w:r>
      <w:r w:rsidR="0024496F" w:rsidRPr="0024496F">
        <w:rPr>
          <w:rFonts w:ascii="Arial" w:hAnsi="Arial" w:cs="Arial" w:hint="eastAsia"/>
          <w:b/>
          <w:sz w:val="20"/>
        </w:rPr>
        <w:t>и</w:t>
      </w:r>
      <w:r w:rsidR="0024496F" w:rsidRPr="0024496F">
        <w:rPr>
          <w:rFonts w:ascii="Arial" w:hAnsi="Arial" w:cs="Arial"/>
          <w:b/>
          <w:sz w:val="20"/>
        </w:rPr>
        <w:t xml:space="preserve"> </w:t>
      </w:r>
      <w:r w:rsidR="0024496F" w:rsidRPr="0024496F">
        <w:rPr>
          <w:rFonts w:ascii="Arial" w:hAnsi="Arial" w:cs="Arial" w:hint="eastAsia"/>
          <w:b/>
          <w:sz w:val="20"/>
        </w:rPr>
        <w:t>извънреден</w:t>
      </w:r>
      <w:r w:rsidR="0024496F" w:rsidRPr="0024496F">
        <w:rPr>
          <w:rFonts w:ascii="Arial" w:hAnsi="Arial" w:cs="Arial"/>
          <w:b/>
          <w:sz w:val="20"/>
        </w:rPr>
        <w:t xml:space="preserve"> </w:t>
      </w:r>
      <w:r w:rsidR="0024496F" w:rsidRPr="0024496F">
        <w:rPr>
          <w:rFonts w:ascii="Arial" w:hAnsi="Arial" w:cs="Arial" w:hint="eastAsia"/>
          <w:b/>
          <w:sz w:val="20"/>
        </w:rPr>
        <w:t>фонд</w:t>
      </w:r>
      <w:r w:rsidR="0024496F" w:rsidRPr="0024496F">
        <w:rPr>
          <w:rFonts w:ascii="Arial" w:hAnsi="Arial" w:cs="Arial"/>
          <w:b/>
          <w:sz w:val="20"/>
        </w:rPr>
        <w:t xml:space="preserve"> </w:t>
      </w:r>
      <w:r w:rsidR="0024496F" w:rsidRPr="0024496F">
        <w:rPr>
          <w:rFonts w:ascii="Arial" w:hAnsi="Arial" w:cs="Arial" w:hint="eastAsia"/>
          <w:b/>
          <w:sz w:val="20"/>
        </w:rPr>
        <w:t>за</w:t>
      </w:r>
      <w:r w:rsidR="0024496F" w:rsidRPr="0024496F">
        <w:rPr>
          <w:rFonts w:ascii="Arial" w:hAnsi="Arial" w:cs="Arial"/>
          <w:b/>
          <w:sz w:val="20"/>
        </w:rPr>
        <w:t xml:space="preserve"> </w:t>
      </w:r>
      <w:r w:rsidR="0024496F" w:rsidRPr="0024496F">
        <w:rPr>
          <w:rFonts w:ascii="Arial" w:hAnsi="Arial" w:cs="Arial" w:hint="eastAsia"/>
          <w:b/>
          <w:sz w:val="20"/>
        </w:rPr>
        <w:t>възстановяване</w:t>
      </w:r>
      <w:r w:rsidR="0024496F" w:rsidRPr="0024496F">
        <w:rPr>
          <w:rFonts w:ascii="Arial" w:hAnsi="Arial" w:cs="Arial"/>
          <w:b/>
          <w:sz w:val="20"/>
        </w:rPr>
        <w:t xml:space="preserve"> </w:t>
      </w:r>
      <w:r w:rsidR="0024496F" w:rsidRPr="0024496F">
        <w:rPr>
          <w:rFonts w:ascii="Arial" w:hAnsi="Arial" w:cs="Arial" w:hint="eastAsia"/>
          <w:b/>
          <w:sz w:val="20"/>
        </w:rPr>
        <w:t>по</w:t>
      </w:r>
      <w:r w:rsidR="0024496F" w:rsidRPr="0024496F">
        <w:rPr>
          <w:rFonts w:ascii="Arial" w:hAnsi="Arial" w:cs="Arial"/>
          <w:b/>
          <w:sz w:val="20"/>
        </w:rPr>
        <w:t xml:space="preserve"> </w:t>
      </w:r>
      <w:r w:rsidR="0024496F" w:rsidRPr="0024496F">
        <w:rPr>
          <w:rFonts w:ascii="Arial" w:hAnsi="Arial" w:cs="Arial" w:hint="eastAsia"/>
          <w:b/>
          <w:sz w:val="20"/>
        </w:rPr>
        <w:t>линия</w:t>
      </w:r>
      <w:r w:rsidR="0024496F" w:rsidRPr="0024496F">
        <w:rPr>
          <w:rFonts w:ascii="Arial" w:hAnsi="Arial" w:cs="Arial"/>
          <w:b/>
          <w:sz w:val="20"/>
        </w:rPr>
        <w:t xml:space="preserve"> </w:t>
      </w:r>
      <w:r w:rsidR="0024496F" w:rsidRPr="0024496F">
        <w:rPr>
          <w:rFonts w:ascii="Arial" w:hAnsi="Arial" w:cs="Arial" w:hint="eastAsia"/>
          <w:b/>
          <w:sz w:val="20"/>
        </w:rPr>
        <w:t>на</w:t>
      </w:r>
      <w:r w:rsidR="0024496F" w:rsidRPr="0024496F">
        <w:rPr>
          <w:rFonts w:ascii="Arial" w:hAnsi="Arial" w:cs="Arial"/>
          <w:b/>
          <w:sz w:val="20"/>
        </w:rPr>
        <w:t xml:space="preserve"> </w:t>
      </w:r>
      <w:r w:rsidR="0024496F" w:rsidRPr="0024496F">
        <w:rPr>
          <w:rFonts w:ascii="Arial" w:hAnsi="Arial" w:cs="Arial" w:hint="eastAsia"/>
          <w:b/>
          <w:sz w:val="20"/>
        </w:rPr>
        <w:t>инструмента</w:t>
      </w:r>
      <w:r w:rsidR="0024496F" w:rsidRPr="0024496F">
        <w:rPr>
          <w:rFonts w:ascii="Arial" w:hAnsi="Arial" w:cs="Arial"/>
          <w:b/>
          <w:sz w:val="20"/>
        </w:rPr>
        <w:t xml:space="preserve"> </w:t>
      </w:r>
      <w:proofErr w:type="spellStart"/>
      <w:r w:rsidR="0024496F" w:rsidRPr="0024496F">
        <w:rPr>
          <w:rFonts w:ascii="Arial" w:hAnsi="Arial" w:cs="Arial"/>
          <w:b/>
          <w:sz w:val="20"/>
        </w:rPr>
        <w:t>Next</w:t>
      </w:r>
      <w:proofErr w:type="spellEnd"/>
      <w:r w:rsidR="0024496F" w:rsidRPr="0024496F">
        <w:rPr>
          <w:rFonts w:ascii="Arial" w:hAnsi="Arial" w:cs="Arial"/>
          <w:b/>
          <w:sz w:val="20"/>
        </w:rPr>
        <w:t xml:space="preserve"> </w:t>
      </w:r>
      <w:proofErr w:type="spellStart"/>
      <w:r w:rsidR="0024496F" w:rsidRPr="0024496F">
        <w:rPr>
          <w:rFonts w:ascii="Arial" w:hAnsi="Arial" w:cs="Arial"/>
          <w:b/>
          <w:sz w:val="20"/>
        </w:rPr>
        <w:t>Generation</w:t>
      </w:r>
      <w:proofErr w:type="spellEnd"/>
      <w:r w:rsidR="0024496F" w:rsidRPr="0024496F">
        <w:rPr>
          <w:rFonts w:ascii="Arial" w:hAnsi="Arial" w:cs="Arial"/>
          <w:b/>
          <w:sz w:val="20"/>
        </w:rPr>
        <w:t xml:space="preserve"> EU.</w:t>
      </w:r>
      <w:r w:rsidR="00617956" w:rsidRPr="00292138">
        <w:rPr>
          <w:rFonts w:ascii="Arial" w:hAnsi="Arial" w:cs="Arial"/>
          <w:sz w:val="20"/>
        </w:rPr>
        <w:t xml:space="preserve"> </w:t>
      </w:r>
      <w:r w:rsidR="00141A95" w:rsidRPr="00141A95">
        <w:rPr>
          <w:rFonts w:ascii="Arial" w:hAnsi="Arial" w:cs="Arial" w:hint="eastAsia"/>
          <w:sz w:val="20"/>
        </w:rPr>
        <w:t>Новата</w:t>
      </w:r>
      <w:r w:rsidR="00141A95" w:rsidRPr="00141A95">
        <w:rPr>
          <w:rFonts w:ascii="Arial" w:hAnsi="Arial" w:cs="Arial"/>
          <w:sz w:val="20"/>
        </w:rPr>
        <w:t xml:space="preserve"> </w:t>
      </w:r>
      <w:r w:rsidR="00141A95" w:rsidRPr="00141A95">
        <w:rPr>
          <w:rFonts w:ascii="Arial" w:hAnsi="Arial" w:cs="Arial" w:hint="eastAsia"/>
          <w:sz w:val="20"/>
        </w:rPr>
        <w:t>многогодишна</w:t>
      </w:r>
      <w:r w:rsidR="00141A95" w:rsidRPr="00141A95">
        <w:rPr>
          <w:rFonts w:ascii="Arial" w:hAnsi="Arial" w:cs="Arial"/>
          <w:sz w:val="20"/>
        </w:rPr>
        <w:t xml:space="preserve"> </w:t>
      </w:r>
      <w:r w:rsidR="00141A95" w:rsidRPr="00141A95">
        <w:rPr>
          <w:rFonts w:ascii="Arial" w:hAnsi="Arial" w:cs="Arial" w:hint="eastAsia"/>
          <w:sz w:val="20"/>
        </w:rPr>
        <w:t>финансова</w:t>
      </w:r>
      <w:r w:rsidR="00141A95" w:rsidRPr="00141A95">
        <w:rPr>
          <w:rFonts w:ascii="Arial" w:hAnsi="Arial" w:cs="Arial"/>
          <w:sz w:val="20"/>
        </w:rPr>
        <w:t xml:space="preserve"> </w:t>
      </w:r>
      <w:r w:rsidR="00141A95" w:rsidRPr="00141A95">
        <w:rPr>
          <w:rFonts w:ascii="Arial" w:hAnsi="Arial" w:cs="Arial" w:hint="eastAsia"/>
          <w:sz w:val="20"/>
        </w:rPr>
        <w:t>рамка</w:t>
      </w:r>
      <w:r w:rsidR="00141A95" w:rsidRPr="00141A95">
        <w:rPr>
          <w:rFonts w:ascii="Arial" w:hAnsi="Arial" w:cs="Arial"/>
          <w:sz w:val="20"/>
        </w:rPr>
        <w:t xml:space="preserve"> (</w:t>
      </w:r>
      <w:r w:rsidR="00141A95" w:rsidRPr="00141A95">
        <w:rPr>
          <w:rFonts w:ascii="Arial" w:hAnsi="Arial" w:cs="Arial" w:hint="eastAsia"/>
          <w:sz w:val="20"/>
        </w:rPr>
        <w:t>МФР</w:t>
      </w:r>
      <w:r w:rsidR="00141A95" w:rsidRPr="00141A95">
        <w:rPr>
          <w:rFonts w:ascii="Arial" w:hAnsi="Arial" w:cs="Arial"/>
          <w:sz w:val="20"/>
        </w:rPr>
        <w:t xml:space="preserve">) </w:t>
      </w:r>
      <w:r w:rsidR="00141A95" w:rsidRPr="00141A95">
        <w:rPr>
          <w:rFonts w:ascii="Arial" w:hAnsi="Arial" w:cs="Arial" w:hint="eastAsia"/>
          <w:sz w:val="20"/>
        </w:rPr>
        <w:t>ще</w:t>
      </w:r>
      <w:r w:rsidR="00141A95" w:rsidRPr="00141A95">
        <w:rPr>
          <w:rFonts w:ascii="Arial" w:hAnsi="Arial" w:cs="Arial"/>
          <w:sz w:val="20"/>
        </w:rPr>
        <w:t xml:space="preserve"> </w:t>
      </w:r>
      <w:r w:rsidR="00141A95" w:rsidRPr="00141A95">
        <w:rPr>
          <w:rFonts w:ascii="Arial" w:hAnsi="Arial" w:cs="Arial" w:hint="eastAsia"/>
          <w:sz w:val="20"/>
        </w:rPr>
        <w:t>обхваща</w:t>
      </w:r>
      <w:r w:rsidR="00141A95" w:rsidRPr="00141A95">
        <w:rPr>
          <w:rFonts w:ascii="Arial" w:hAnsi="Arial" w:cs="Arial"/>
          <w:sz w:val="20"/>
        </w:rPr>
        <w:t xml:space="preserve"> </w:t>
      </w:r>
      <w:r w:rsidR="00141A95" w:rsidRPr="00141A95">
        <w:rPr>
          <w:rFonts w:ascii="Arial" w:hAnsi="Arial" w:cs="Arial" w:hint="eastAsia"/>
          <w:sz w:val="20"/>
        </w:rPr>
        <w:t>период</w:t>
      </w:r>
      <w:r w:rsidR="00141A95" w:rsidRPr="00141A95">
        <w:rPr>
          <w:rFonts w:ascii="Arial" w:hAnsi="Arial" w:cs="Arial"/>
          <w:sz w:val="20"/>
        </w:rPr>
        <w:t xml:space="preserve"> </w:t>
      </w:r>
      <w:r w:rsidR="00141A95" w:rsidRPr="00141A95">
        <w:rPr>
          <w:rFonts w:ascii="Arial" w:hAnsi="Arial" w:cs="Arial" w:hint="eastAsia"/>
          <w:sz w:val="20"/>
        </w:rPr>
        <w:t>от</w:t>
      </w:r>
      <w:r w:rsidR="00141A95" w:rsidRPr="00141A95">
        <w:rPr>
          <w:rFonts w:ascii="Arial" w:hAnsi="Arial" w:cs="Arial"/>
          <w:sz w:val="20"/>
        </w:rPr>
        <w:t xml:space="preserve"> </w:t>
      </w:r>
      <w:r w:rsidR="00141A95" w:rsidRPr="00141A95">
        <w:rPr>
          <w:rFonts w:ascii="Arial" w:hAnsi="Arial" w:cs="Arial" w:hint="eastAsia"/>
          <w:sz w:val="20"/>
        </w:rPr>
        <w:t>седем</w:t>
      </w:r>
      <w:r w:rsidR="00141A95" w:rsidRPr="00141A95">
        <w:rPr>
          <w:rFonts w:ascii="Arial" w:hAnsi="Arial" w:cs="Arial"/>
          <w:sz w:val="20"/>
        </w:rPr>
        <w:t xml:space="preserve"> </w:t>
      </w:r>
      <w:r w:rsidR="00141A95" w:rsidRPr="00141A95">
        <w:rPr>
          <w:rFonts w:ascii="Arial" w:hAnsi="Arial" w:cs="Arial" w:hint="eastAsia"/>
          <w:sz w:val="20"/>
        </w:rPr>
        <w:t>години</w:t>
      </w:r>
      <w:r w:rsidR="00141A95" w:rsidRPr="00141A95">
        <w:rPr>
          <w:rFonts w:ascii="Arial" w:hAnsi="Arial" w:cs="Arial"/>
          <w:sz w:val="20"/>
        </w:rPr>
        <w:t xml:space="preserve"> (2021 </w:t>
      </w:r>
      <w:r w:rsidR="00141A95" w:rsidRPr="00141A95">
        <w:rPr>
          <w:rFonts w:ascii="Arial" w:hAnsi="Arial" w:cs="Arial" w:hint="eastAsia"/>
          <w:sz w:val="20"/>
        </w:rPr>
        <w:t>г</w:t>
      </w:r>
      <w:r w:rsidR="00141A95" w:rsidRPr="00141A95">
        <w:rPr>
          <w:rFonts w:ascii="Arial" w:hAnsi="Arial" w:cs="Arial"/>
          <w:sz w:val="20"/>
        </w:rPr>
        <w:t xml:space="preserve">. – 2027 </w:t>
      </w:r>
      <w:r w:rsidR="00141A95" w:rsidRPr="00141A95">
        <w:rPr>
          <w:rFonts w:ascii="Arial" w:hAnsi="Arial" w:cs="Arial" w:hint="eastAsia"/>
          <w:sz w:val="20"/>
        </w:rPr>
        <w:t>г</w:t>
      </w:r>
      <w:r w:rsidR="00141A95" w:rsidRPr="00141A95">
        <w:rPr>
          <w:rFonts w:ascii="Arial" w:hAnsi="Arial" w:cs="Arial"/>
          <w:sz w:val="20"/>
        </w:rPr>
        <w:t xml:space="preserve">.). </w:t>
      </w:r>
      <w:r w:rsidR="00141A95" w:rsidRPr="00141A95">
        <w:rPr>
          <w:rFonts w:ascii="Arial" w:hAnsi="Arial" w:cs="Arial" w:hint="eastAsia"/>
          <w:sz w:val="20"/>
        </w:rPr>
        <w:t>Подсилена</w:t>
      </w:r>
      <w:r w:rsidR="00141A95" w:rsidRPr="00141A95">
        <w:rPr>
          <w:rFonts w:ascii="Arial" w:hAnsi="Arial" w:cs="Arial"/>
          <w:sz w:val="20"/>
        </w:rPr>
        <w:t xml:space="preserve"> </w:t>
      </w:r>
      <w:r w:rsidR="00141A95" w:rsidRPr="00141A95">
        <w:rPr>
          <w:rFonts w:ascii="Arial" w:hAnsi="Arial" w:cs="Arial" w:hint="eastAsia"/>
          <w:sz w:val="20"/>
        </w:rPr>
        <w:t>от</w:t>
      </w:r>
      <w:r w:rsidR="00141A95" w:rsidRPr="00141A95">
        <w:rPr>
          <w:rFonts w:ascii="Arial" w:hAnsi="Arial" w:cs="Arial"/>
          <w:sz w:val="20"/>
        </w:rPr>
        <w:t xml:space="preserve"> </w:t>
      </w:r>
      <w:proofErr w:type="spellStart"/>
      <w:r w:rsidR="00141A95" w:rsidRPr="00141A95">
        <w:rPr>
          <w:rFonts w:ascii="Arial" w:hAnsi="Arial" w:cs="Arial"/>
          <w:sz w:val="20"/>
        </w:rPr>
        <w:t>Next</w:t>
      </w:r>
      <w:proofErr w:type="spellEnd"/>
      <w:r w:rsidR="00141A95" w:rsidRPr="00141A95">
        <w:rPr>
          <w:rFonts w:ascii="Arial" w:hAnsi="Arial" w:cs="Arial"/>
          <w:sz w:val="20"/>
        </w:rPr>
        <w:t xml:space="preserve"> </w:t>
      </w:r>
      <w:proofErr w:type="spellStart"/>
      <w:r w:rsidR="00141A95" w:rsidRPr="00141A95">
        <w:rPr>
          <w:rFonts w:ascii="Arial" w:hAnsi="Arial" w:cs="Arial"/>
          <w:sz w:val="20"/>
        </w:rPr>
        <w:t>Generation</w:t>
      </w:r>
      <w:proofErr w:type="spellEnd"/>
      <w:r w:rsidR="00141A95" w:rsidRPr="00141A95">
        <w:rPr>
          <w:rFonts w:ascii="Arial" w:hAnsi="Arial" w:cs="Arial"/>
          <w:sz w:val="20"/>
        </w:rPr>
        <w:t xml:space="preserve"> EU, </w:t>
      </w:r>
      <w:r w:rsidR="00141A95" w:rsidRPr="00141A95">
        <w:rPr>
          <w:rFonts w:ascii="Arial" w:hAnsi="Arial" w:cs="Arial" w:hint="eastAsia"/>
          <w:sz w:val="20"/>
        </w:rPr>
        <w:t>МФР</w:t>
      </w:r>
      <w:r w:rsidR="00141A95" w:rsidRPr="00141A95">
        <w:rPr>
          <w:rFonts w:ascii="Arial" w:hAnsi="Arial" w:cs="Arial"/>
          <w:sz w:val="20"/>
        </w:rPr>
        <w:t xml:space="preserve"> </w:t>
      </w:r>
      <w:r w:rsidR="00141A95" w:rsidRPr="00141A95">
        <w:rPr>
          <w:rFonts w:ascii="Arial" w:hAnsi="Arial" w:cs="Arial" w:hint="eastAsia"/>
          <w:sz w:val="20"/>
        </w:rPr>
        <w:t>ще</w:t>
      </w:r>
      <w:r w:rsidR="00141A95" w:rsidRPr="00141A95">
        <w:rPr>
          <w:rFonts w:ascii="Arial" w:hAnsi="Arial" w:cs="Arial"/>
          <w:sz w:val="20"/>
        </w:rPr>
        <w:t xml:space="preserve"> </w:t>
      </w:r>
      <w:r w:rsidR="00141A95" w:rsidRPr="00141A95">
        <w:rPr>
          <w:rFonts w:ascii="Arial" w:hAnsi="Arial" w:cs="Arial" w:hint="eastAsia"/>
          <w:sz w:val="20"/>
        </w:rPr>
        <w:t>бъде</w:t>
      </w:r>
      <w:r w:rsidR="00141A95" w:rsidRPr="00141A95">
        <w:rPr>
          <w:rFonts w:ascii="Arial" w:hAnsi="Arial" w:cs="Arial"/>
          <w:sz w:val="20"/>
        </w:rPr>
        <w:t xml:space="preserve"> </w:t>
      </w:r>
      <w:r w:rsidR="00141A95" w:rsidRPr="00141A95">
        <w:rPr>
          <w:rFonts w:ascii="Arial" w:hAnsi="Arial" w:cs="Arial" w:hint="eastAsia"/>
          <w:sz w:val="20"/>
        </w:rPr>
        <w:t>и</w:t>
      </w:r>
      <w:r w:rsidR="00141A95" w:rsidRPr="00141A95">
        <w:rPr>
          <w:rFonts w:ascii="Arial" w:hAnsi="Arial" w:cs="Arial"/>
          <w:sz w:val="20"/>
        </w:rPr>
        <w:t xml:space="preserve"> </w:t>
      </w:r>
      <w:r w:rsidR="00141A95" w:rsidRPr="00141A95">
        <w:rPr>
          <w:rFonts w:ascii="Arial" w:hAnsi="Arial" w:cs="Arial" w:hint="eastAsia"/>
          <w:sz w:val="20"/>
        </w:rPr>
        <w:t>основният</w:t>
      </w:r>
      <w:r w:rsidR="00141A95" w:rsidRPr="00141A95">
        <w:rPr>
          <w:rFonts w:ascii="Arial" w:hAnsi="Arial" w:cs="Arial"/>
          <w:sz w:val="20"/>
        </w:rPr>
        <w:t xml:space="preserve"> </w:t>
      </w:r>
      <w:r w:rsidR="00141A95" w:rsidRPr="00141A95">
        <w:rPr>
          <w:rFonts w:ascii="Arial" w:hAnsi="Arial" w:cs="Arial" w:hint="eastAsia"/>
          <w:sz w:val="20"/>
        </w:rPr>
        <w:t>европейски</w:t>
      </w:r>
      <w:r w:rsidR="00141A95" w:rsidRPr="00141A95">
        <w:rPr>
          <w:rFonts w:ascii="Arial" w:hAnsi="Arial" w:cs="Arial"/>
          <w:sz w:val="20"/>
        </w:rPr>
        <w:t xml:space="preserve"> </w:t>
      </w:r>
      <w:r w:rsidR="00141A95" w:rsidRPr="00141A95">
        <w:rPr>
          <w:rFonts w:ascii="Arial" w:hAnsi="Arial" w:cs="Arial" w:hint="eastAsia"/>
          <w:sz w:val="20"/>
        </w:rPr>
        <w:t>инструмент</w:t>
      </w:r>
      <w:r w:rsidR="00141A95" w:rsidRPr="00141A95">
        <w:rPr>
          <w:rFonts w:ascii="Arial" w:hAnsi="Arial" w:cs="Arial"/>
          <w:sz w:val="20"/>
        </w:rPr>
        <w:t xml:space="preserve"> </w:t>
      </w:r>
      <w:r w:rsidR="00141A95" w:rsidRPr="00141A95">
        <w:rPr>
          <w:rFonts w:ascii="Arial" w:hAnsi="Arial" w:cs="Arial" w:hint="eastAsia"/>
          <w:sz w:val="20"/>
        </w:rPr>
        <w:t>за</w:t>
      </w:r>
      <w:r w:rsidR="00141A95" w:rsidRPr="00141A95">
        <w:rPr>
          <w:rFonts w:ascii="Arial" w:hAnsi="Arial" w:cs="Arial"/>
          <w:sz w:val="20"/>
        </w:rPr>
        <w:t xml:space="preserve"> </w:t>
      </w:r>
      <w:r w:rsidR="00141A95" w:rsidRPr="00141A95">
        <w:rPr>
          <w:rFonts w:ascii="Arial" w:hAnsi="Arial" w:cs="Arial" w:hint="eastAsia"/>
          <w:sz w:val="20"/>
        </w:rPr>
        <w:t>изпълнение</w:t>
      </w:r>
      <w:r w:rsidR="00141A95" w:rsidRPr="00141A95">
        <w:rPr>
          <w:rFonts w:ascii="Arial" w:hAnsi="Arial" w:cs="Arial"/>
          <w:sz w:val="20"/>
        </w:rPr>
        <w:t xml:space="preserve"> </w:t>
      </w:r>
      <w:r w:rsidR="00141A95" w:rsidRPr="00141A95">
        <w:rPr>
          <w:rFonts w:ascii="Arial" w:hAnsi="Arial" w:cs="Arial" w:hint="eastAsia"/>
          <w:sz w:val="20"/>
        </w:rPr>
        <w:t>на</w:t>
      </w:r>
      <w:r w:rsidR="00141A95" w:rsidRPr="00141A95">
        <w:rPr>
          <w:rFonts w:ascii="Arial" w:hAnsi="Arial" w:cs="Arial"/>
          <w:sz w:val="20"/>
        </w:rPr>
        <w:t xml:space="preserve"> </w:t>
      </w:r>
      <w:r w:rsidR="00141A95" w:rsidRPr="00141A95">
        <w:rPr>
          <w:rFonts w:ascii="Arial" w:hAnsi="Arial" w:cs="Arial" w:hint="eastAsia"/>
          <w:sz w:val="20"/>
        </w:rPr>
        <w:t>пакета</w:t>
      </w:r>
      <w:r w:rsidR="00141A95" w:rsidRPr="00141A95">
        <w:rPr>
          <w:rFonts w:ascii="Arial" w:hAnsi="Arial" w:cs="Arial"/>
          <w:sz w:val="20"/>
        </w:rPr>
        <w:t xml:space="preserve"> </w:t>
      </w:r>
      <w:r w:rsidR="00141A95" w:rsidRPr="00141A95">
        <w:rPr>
          <w:rFonts w:ascii="Arial" w:hAnsi="Arial" w:cs="Arial" w:hint="eastAsia"/>
          <w:sz w:val="20"/>
        </w:rPr>
        <w:t>за</w:t>
      </w:r>
      <w:r w:rsidR="00141A95" w:rsidRPr="00141A95">
        <w:rPr>
          <w:rFonts w:ascii="Arial" w:hAnsi="Arial" w:cs="Arial"/>
          <w:sz w:val="20"/>
        </w:rPr>
        <w:t xml:space="preserve"> </w:t>
      </w:r>
      <w:r w:rsidR="00141A95" w:rsidRPr="00141A95">
        <w:rPr>
          <w:rFonts w:ascii="Arial" w:hAnsi="Arial" w:cs="Arial" w:hint="eastAsia"/>
          <w:sz w:val="20"/>
        </w:rPr>
        <w:t>възстановяване</w:t>
      </w:r>
      <w:r w:rsidR="00141A95" w:rsidRPr="00141A95">
        <w:rPr>
          <w:rFonts w:ascii="Arial" w:hAnsi="Arial" w:cs="Arial"/>
          <w:sz w:val="20"/>
        </w:rPr>
        <w:t xml:space="preserve"> </w:t>
      </w:r>
      <w:r w:rsidR="00141A95" w:rsidRPr="00141A95">
        <w:rPr>
          <w:rFonts w:ascii="Arial" w:hAnsi="Arial" w:cs="Arial" w:hint="eastAsia"/>
          <w:sz w:val="20"/>
        </w:rPr>
        <w:t>от</w:t>
      </w:r>
      <w:r w:rsidR="00141A95" w:rsidRPr="00141A95">
        <w:rPr>
          <w:rFonts w:ascii="Arial" w:hAnsi="Arial" w:cs="Arial"/>
          <w:sz w:val="20"/>
        </w:rPr>
        <w:t xml:space="preserve"> </w:t>
      </w:r>
      <w:r w:rsidR="00141A95" w:rsidRPr="00141A95">
        <w:rPr>
          <w:rFonts w:ascii="Arial" w:hAnsi="Arial" w:cs="Arial" w:hint="eastAsia"/>
          <w:sz w:val="20"/>
        </w:rPr>
        <w:t>социално</w:t>
      </w:r>
      <w:r w:rsidR="00141A95" w:rsidRPr="00141A95">
        <w:rPr>
          <w:rFonts w:ascii="Arial" w:hAnsi="Arial" w:cs="Arial"/>
          <w:sz w:val="20"/>
        </w:rPr>
        <w:t>-</w:t>
      </w:r>
      <w:r w:rsidR="00141A95" w:rsidRPr="00141A95">
        <w:rPr>
          <w:rFonts w:ascii="Arial" w:hAnsi="Arial" w:cs="Arial" w:hint="eastAsia"/>
          <w:sz w:val="20"/>
        </w:rPr>
        <w:t>икономическите</w:t>
      </w:r>
      <w:r w:rsidR="00141A95" w:rsidRPr="00141A95">
        <w:rPr>
          <w:rFonts w:ascii="Arial" w:hAnsi="Arial" w:cs="Arial"/>
          <w:sz w:val="20"/>
        </w:rPr>
        <w:t xml:space="preserve"> </w:t>
      </w:r>
      <w:r w:rsidR="00141A95" w:rsidRPr="00141A95">
        <w:rPr>
          <w:rFonts w:ascii="Arial" w:hAnsi="Arial" w:cs="Arial" w:hint="eastAsia"/>
          <w:sz w:val="20"/>
        </w:rPr>
        <w:t>последици</w:t>
      </w:r>
      <w:r w:rsidR="00141A95" w:rsidRPr="00141A95">
        <w:rPr>
          <w:rFonts w:ascii="Arial" w:hAnsi="Arial" w:cs="Arial"/>
          <w:sz w:val="20"/>
        </w:rPr>
        <w:t xml:space="preserve"> </w:t>
      </w:r>
      <w:r w:rsidR="00141A95" w:rsidRPr="00141A95">
        <w:rPr>
          <w:rFonts w:ascii="Arial" w:hAnsi="Arial" w:cs="Arial" w:hint="eastAsia"/>
          <w:sz w:val="20"/>
        </w:rPr>
        <w:t>от</w:t>
      </w:r>
      <w:r w:rsidR="00141A95" w:rsidRPr="00141A95">
        <w:rPr>
          <w:rFonts w:ascii="Arial" w:hAnsi="Arial" w:cs="Arial"/>
          <w:sz w:val="20"/>
        </w:rPr>
        <w:t xml:space="preserve"> </w:t>
      </w:r>
      <w:r w:rsidR="00141A95" w:rsidRPr="00141A95">
        <w:rPr>
          <w:rFonts w:ascii="Arial" w:hAnsi="Arial" w:cs="Arial" w:hint="eastAsia"/>
          <w:sz w:val="20"/>
        </w:rPr>
        <w:t>пандемията</w:t>
      </w:r>
      <w:r w:rsidR="00141A95" w:rsidRPr="00141A95">
        <w:rPr>
          <w:rFonts w:ascii="Arial" w:hAnsi="Arial" w:cs="Arial"/>
          <w:sz w:val="20"/>
        </w:rPr>
        <w:t xml:space="preserve"> </w:t>
      </w:r>
      <w:r w:rsidR="00141A95" w:rsidRPr="00141A95">
        <w:rPr>
          <w:rFonts w:ascii="Arial" w:hAnsi="Arial" w:cs="Arial" w:hint="eastAsia"/>
          <w:sz w:val="20"/>
        </w:rPr>
        <w:t>от</w:t>
      </w:r>
      <w:r w:rsidR="00141A95" w:rsidRPr="00141A95">
        <w:rPr>
          <w:rFonts w:ascii="Arial" w:hAnsi="Arial" w:cs="Arial"/>
          <w:sz w:val="20"/>
        </w:rPr>
        <w:t xml:space="preserve"> COVID-19.</w:t>
      </w:r>
      <w:r w:rsidR="00141A95">
        <w:rPr>
          <w:rFonts w:ascii="Arial" w:hAnsi="Arial" w:cs="Arial"/>
          <w:sz w:val="20"/>
        </w:rPr>
        <w:t xml:space="preserve"> </w:t>
      </w:r>
      <w:r w:rsidR="00141A95" w:rsidRPr="00141A95">
        <w:rPr>
          <w:rFonts w:ascii="Arial" w:hAnsi="Arial" w:cs="Arial" w:hint="eastAsia"/>
          <w:sz w:val="20"/>
        </w:rPr>
        <w:t>Размерът</w:t>
      </w:r>
      <w:r w:rsidR="00141A95" w:rsidRPr="00141A95">
        <w:rPr>
          <w:rFonts w:ascii="Arial" w:hAnsi="Arial" w:cs="Arial"/>
          <w:sz w:val="20"/>
        </w:rPr>
        <w:t xml:space="preserve"> </w:t>
      </w:r>
      <w:r w:rsidR="00141A95" w:rsidRPr="00141A95">
        <w:rPr>
          <w:rFonts w:ascii="Arial" w:hAnsi="Arial" w:cs="Arial" w:hint="eastAsia"/>
          <w:sz w:val="20"/>
        </w:rPr>
        <w:t>на</w:t>
      </w:r>
      <w:r w:rsidR="00141A95" w:rsidRPr="00141A95">
        <w:rPr>
          <w:rFonts w:ascii="Arial" w:hAnsi="Arial" w:cs="Arial"/>
          <w:sz w:val="20"/>
        </w:rPr>
        <w:t xml:space="preserve"> </w:t>
      </w:r>
      <w:r w:rsidR="00141A95" w:rsidRPr="00141A95">
        <w:rPr>
          <w:rFonts w:ascii="Arial" w:hAnsi="Arial" w:cs="Arial" w:hint="eastAsia"/>
          <w:sz w:val="20"/>
        </w:rPr>
        <w:t>МФР</w:t>
      </w:r>
      <w:r w:rsidR="00141A95" w:rsidRPr="00141A95">
        <w:rPr>
          <w:rFonts w:ascii="Arial" w:hAnsi="Arial" w:cs="Arial"/>
          <w:sz w:val="20"/>
        </w:rPr>
        <w:t xml:space="preserve"> </w:t>
      </w:r>
      <w:r w:rsidR="00141A95" w:rsidRPr="00141A95">
        <w:rPr>
          <w:rFonts w:ascii="Arial" w:hAnsi="Arial" w:cs="Arial" w:hint="eastAsia"/>
          <w:sz w:val="20"/>
        </w:rPr>
        <w:t>от</w:t>
      </w:r>
      <w:r w:rsidR="00141A95" w:rsidRPr="00141A95">
        <w:rPr>
          <w:rFonts w:ascii="Arial" w:hAnsi="Arial" w:cs="Arial"/>
          <w:sz w:val="20"/>
        </w:rPr>
        <w:t xml:space="preserve"> 1074,3 </w:t>
      </w:r>
      <w:r w:rsidR="00141A95" w:rsidRPr="00141A95">
        <w:rPr>
          <w:rFonts w:ascii="Arial" w:hAnsi="Arial" w:cs="Arial" w:hint="eastAsia"/>
          <w:sz w:val="20"/>
        </w:rPr>
        <w:t>милиарда</w:t>
      </w:r>
      <w:r w:rsidR="00141A95" w:rsidRPr="00141A95">
        <w:rPr>
          <w:rFonts w:ascii="Arial" w:hAnsi="Arial" w:cs="Arial"/>
          <w:sz w:val="20"/>
        </w:rPr>
        <w:t xml:space="preserve"> </w:t>
      </w:r>
      <w:r w:rsidR="00141A95" w:rsidRPr="00141A95">
        <w:rPr>
          <w:rFonts w:ascii="Arial" w:hAnsi="Arial" w:cs="Arial" w:hint="eastAsia"/>
          <w:sz w:val="20"/>
        </w:rPr>
        <w:t>евро</w:t>
      </w:r>
      <w:r w:rsidR="00141A95" w:rsidRPr="00141A95">
        <w:rPr>
          <w:rFonts w:ascii="Arial" w:hAnsi="Arial" w:cs="Arial"/>
          <w:sz w:val="20"/>
        </w:rPr>
        <w:t xml:space="preserve"> </w:t>
      </w:r>
      <w:r w:rsidR="00141A95" w:rsidRPr="00141A95">
        <w:rPr>
          <w:rFonts w:ascii="Arial" w:hAnsi="Arial" w:cs="Arial" w:hint="eastAsia"/>
          <w:sz w:val="20"/>
        </w:rPr>
        <w:t>ще</w:t>
      </w:r>
      <w:r w:rsidR="00141A95" w:rsidRPr="00141A95">
        <w:rPr>
          <w:rFonts w:ascii="Arial" w:hAnsi="Arial" w:cs="Arial"/>
          <w:sz w:val="20"/>
        </w:rPr>
        <w:t xml:space="preserve"> </w:t>
      </w:r>
      <w:r w:rsidR="00141A95" w:rsidRPr="00141A95">
        <w:rPr>
          <w:rFonts w:ascii="Arial" w:hAnsi="Arial" w:cs="Arial" w:hint="eastAsia"/>
          <w:sz w:val="20"/>
        </w:rPr>
        <w:t>позволи</w:t>
      </w:r>
      <w:r w:rsidR="00141A95" w:rsidRPr="00141A95">
        <w:rPr>
          <w:rFonts w:ascii="Arial" w:hAnsi="Arial" w:cs="Arial"/>
          <w:sz w:val="20"/>
        </w:rPr>
        <w:t xml:space="preserve"> </w:t>
      </w:r>
      <w:r w:rsidR="00141A95" w:rsidRPr="00141A95">
        <w:rPr>
          <w:rFonts w:ascii="Arial" w:hAnsi="Arial" w:cs="Arial" w:hint="eastAsia"/>
          <w:sz w:val="20"/>
        </w:rPr>
        <w:t>на</w:t>
      </w:r>
      <w:r w:rsidR="00141A95" w:rsidRPr="00141A95">
        <w:rPr>
          <w:rFonts w:ascii="Arial" w:hAnsi="Arial" w:cs="Arial"/>
          <w:sz w:val="20"/>
        </w:rPr>
        <w:t xml:space="preserve"> </w:t>
      </w:r>
      <w:r w:rsidR="00141A95" w:rsidRPr="00141A95">
        <w:rPr>
          <w:rFonts w:ascii="Arial" w:hAnsi="Arial" w:cs="Arial" w:hint="eastAsia"/>
          <w:sz w:val="20"/>
        </w:rPr>
        <w:t>ЕС</w:t>
      </w:r>
      <w:r w:rsidR="00141A95" w:rsidRPr="00141A95">
        <w:rPr>
          <w:rFonts w:ascii="Arial" w:hAnsi="Arial" w:cs="Arial"/>
          <w:sz w:val="20"/>
        </w:rPr>
        <w:t xml:space="preserve"> </w:t>
      </w:r>
      <w:r w:rsidR="00141A95" w:rsidRPr="00141A95">
        <w:rPr>
          <w:rFonts w:ascii="Arial" w:hAnsi="Arial" w:cs="Arial" w:hint="eastAsia"/>
          <w:sz w:val="20"/>
        </w:rPr>
        <w:t>да</w:t>
      </w:r>
      <w:r w:rsidR="00141A95" w:rsidRPr="00141A95">
        <w:rPr>
          <w:rFonts w:ascii="Arial" w:hAnsi="Arial" w:cs="Arial"/>
          <w:sz w:val="20"/>
        </w:rPr>
        <w:t xml:space="preserve"> </w:t>
      </w:r>
      <w:r w:rsidR="00141A95" w:rsidRPr="00141A95">
        <w:rPr>
          <w:rFonts w:ascii="Arial" w:hAnsi="Arial" w:cs="Arial" w:hint="eastAsia"/>
          <w:sz w:val="20"/>
        </w:rPr>
        <w:t>изпълни</w:t>
      </w:r>
      <w:r w:rsidR="00141A95" w:rsidRPr="00141A95">
        <w:rPr>
          <w:rFonts w:ascii="Arial" w:hAnsi="Arial" w:cs="Arial"/>
          <w:sz w:val="20"/>
        </w:rPr>
        <w:t xml:space="preserve"> </w:t>
      </w:r>
      <w:r w:rsidR="00141A95" w:rsidRPr="00141A95">
        <w:rPr>
          <w:rFonts w:ascii="Arial" w:hAnsi="Arial" w:cs="Arial" w:hint="eastAsia"/>
          <w:sz w:val="20"/>
        </w:rPr>
        <w:t>своите</w:t>
      </w:r>
      <w:r w:rsidR="00141A95" w:rsidRPr="00141A95">
        <w:rPr>
          <w:rFonts w:ascii="Arial" w:hAnsi="Arial" w:cs="Arial"/>
          <w:sz w:val="20"/>
        </w:rPr>
        <w:t xml:space="preserve"> </w:t>
      </w:r>
      <w:r w:rsidR="00141A95" w:rsidRPr="00141A95">
        <w:rPr>
          <w:rFonts w:ascii="Arial" w:hAnsi="Arial" w:cs="Arial" w:hint="eastAsia"/>
          <w:sz w:val="20"/>
        </w:rPr>
        <w:t>дългосрочни</w:t>
      </w:r>
      <w:r w:rsidR="00141A95" w:rsidRPr="00141A95">
        <w:rPr>
          <w:rFonts w:ascii="Arial" w:hAnsi="Arial" w:cs="Arial"/>
          <w:sz w:val="20"/>
        </w:rPr>
        <w:t xml:space="preserve"> </w:t>
      </w:r>
      <w:r w:rsidR="00141A95" w:rsidRPr="00141A95">
        <w:rPr>
          <w:rFonts w:ascii="Arial" w:hAnsi="Arial" w:cs="Arial" w:hint="eastAsia"/>
          <w:sz w:val="20"/>
        </w:rPr>
        <w:t>цели</w:t>
      </w:r>
      <w:r w:rsidR="00141A95" w:rsidRPr="00141A95">
        <w:rPr>
          <w:rFonts w:ascii="Arial" w:hAnsi="Arial" w:cs="Arial"/>
          <w:sz w:val="20"/>
        </w:rPr>
        <w:t xml:space="preserve"> </w:t>
      </w:r>
      <w:r w:rsidR="00141A95" w:rsidRPr="00141A95">
        <w:rPr>
          <w:rFonts w:ascii="Arial" w:hAnsi="Arial" w:cs="Arial" w:hint="eastAsia"/>
          <w:sz w:val="20"/>
        </w:rPr>
        <w:t>и</w:t>
      </w:r>
      <w:r w:rsidR="00141A95" w:rsidRPr="00141A95">
        <w:rPr>
          <w:rFonts w:ascii="Arial" w:hAnsi="Arial" w:cs="Arial"/>
          <w:sz w:val="20"/>
        </w:rPr>
        <w:t xml:space="preserve"> </w:t>
      </w:r>
      <w:r w:rsidR="00141A95" w:rsidRPr="00141A95">
        <w:rPr>
          <w:rFonts w:ascii="Arial" w:hAnsi="Arial" w:cs="Arial" w:hint="eastAsia"/>
          <w:sz w:val="20"/>
        </w:rPr>
        <w:t>да</w:t>
      </w:r>
      <w:r w:rsidR="00141A95" w:rsidRPr="00141A95">
        <w:rPr>
          <w:rFonts w:ascii="Arial" w:hAnsi="Arial" w:cs="Arial"/>
          <w:sz w:val="20"/>
        </w:rPr>
        <w:t xml:space="preserve"> </w:t>
      </w:r>
      <w:r w:rsidR="00141A95" w:rsidRPr="00141A95">
        <w:rPr>
          <w:rFonts w:ascii="Arial" w:hAnsi="Arial" w:cs="Arial" w:hint="eastAsia"/>
          <w:sz w:val="20"/>
        </w:rPr>
        <w:t>запази</w:t>
      </w:r>
      <w:r w:rsidR="00141A95" w:rsidRPr="00141A95">
        <w:rPr>
          <w:rFonts w:ascii="Arial" w:hAnsi="Arial" w:cs="Arial"/>
          <w:sz w:val="20"/>
        </w:rPr>
        <w:t xml:space="preserve"> </w:t>
      </w:r>
      <w:r w:rsidR="00141A95" w:rsidRPr="00141A95">
        <w:rPr>
          <w:rFonts w:ascii="Arial" w:hAnsi="Arial" w:cs="Arial" w:hint="eastAsia"/>
          <w:sz w:val="20"/>
        </w:rPr>
        <w:t>пълния</w:t>
      </w:r>
      <w:r w:rsidR="00141A95" w:rsidRPr="00141A95">
        <w:rPr>
          <w:rFonts w:ascii="Arial" w:hAnsi="Arial" w:cs="Arial"/>
          <w:sz w:val="20"/>
        </w:rPr>
        <w:t xml:space="preserve"> </w:t>
      </w:r>
      <w:r w:rsidR="00141A95" w:rsidRPr="00141A95">
        <w:rPr>
          <w:rFonts w:ascii="Arial" w:hAnsi="Arial" w:cs="Arial" w:hint="eastAsia"/>
          <w:sz w:val="20"/>
        </w:rPr>
        <w:t>капацитет</w:t>
      </w:r>
      <w:r w:rsidR="00141A95" w:rsidRPr="00141A95">
        <w:rPr>
          <w:rFonts w:ascii="Arial" w:hAnsi="Arial" w:cs="Arial"/>
          <w:sz w:val="20"/>
        </w:rPr>
        <w:t xml:space="preserve"> </w:t>
      </w:r>
      <w:r w:rsidR="00141A95" w:rsidRPr="00141A95">
        <w:rPr>
          <w:rFonts w:ascii="Arial" w:hAnsi="Arial" w:cs="Arial" w:hint="eastAsia"/>
          <w:sz w:val="20"/>
        </w:rPr>
        <w:t>на</w:t>
      </w:r>
      <w:r w:rsidR="00141A95" w:rsidRPr="00141A95">
        <w:rPr>
          <w:rFonts w:ascii="Arial" w:hAnsi="Arial" w:cs="Arial"/>
          <w:sz w:val="20"/>
        </w:rPr>
        <w:t xml:space="preserve"> </w:t>
      </w:r>
      <w:r w:rsidR="00141A95" w:rsidRPr="00141A95">
        <w:rPr>
          <w:rFonts w:ascii="Arial" w:hAnsi="Arial" w:cs="Arial" w:hint="eastAsia"/>
          <w:sz w:val="20"/>
        </w:rPr>
        <w:t>плана</w:t>
      </w:r>
      <w:r w:rsidR="00141A95" w:rsidRPr="00141A95">
        <w:rPr>
          <w:rFonts w:ascii="Arial" w:hAnsi="Arial" w:cs="Arial"/>
          <w:sz w:val="20"/>
        </w:rPr>
        <w:t xml:space="preserve"> </w:t>
      </w:r>
      <w:r w:rsidR="00141A95" w:rsidRPr="00141A95">
        <w:rPr>
          <w:rFonts w:ascii="Arial" w:hAnsi="Arial" w:cs="Arial" w:hint="eastAsia"/>
          <w:sz w:val="20"/>
        </w:rPr>
        <w:t>за</w:t>
      </w:r>
      <w:r w:rsidR="00141A95" w:rsidRPr="00141A95">
        <w:rPr>
          <w:rFonts w:ascii="Arial" w:hAnsi="Arial" w:cs="Arial"/>
          <w:sz w:val="20"/>
        </w:rPr>
        <w:t xml:space="preserve"> </w:t>
      </w:r>
      <w:r w:rsidR="00141A95" w:rsidRPr="00141A95">
        <w:rPr>
          <w:rFonts w:ascii="Arial" w:hAnsi="Arial" w:cs="Arial" w:hint="eastAsia"/>
          <w:sz w:val="20"/>
        </w:rPr>
        <w:t>възстановяване</w:t>
      </w:r>
      <w:r w:rsidR="00141A95" w:rsidRPr="00141A95">
        <w:rPr>
          <w:rFonts w:ascii="Arial" w:hAnsi="Arial" w:cs="Arial"/>
          <w:sz w:val="20"/>
        </w:rPr>
        <w:t xml:space="preserve">. </w:t>
      </w:r>
      <w:r w:rsidR="00141A95" w:rsidRPr="00141A95">
        <w:rPr>
          <w:rFonts w:ascii="Arial" w:hAnsi="Arial" w:cs="Arial" w:hint="eastAsia"/>
          <w:sz w:val="20"/>
        </w:rPr>
        <w:t>МФР</w:t>
      </w:r>
      <w:r w:rsidR="00141A95" w:rsidRPr="00141A95">
        <w:rPr>
          <w:rFonts w:ascii="Arial" w:hAnsi="Arial" w:cs="Arial"/>
          <w:sz w:val="20"/>
        </w:rPr>
        <w:t xml:space="preserve"> </w:t>
      </w:r>
      <w:r w:rsidR="00141A95" w:rsidRPr="00141A95">
        <w:rPr>
          <w:rFonts w:ascii="Arial" w:hAnsi="Arial" w:cs="Arial" w:hint="eastAsia"/>
          <w:sz w:val="20"/>
        </w:rPr>
        <w:t>ще</w:t>
      </w:r>
      <w:r w:rsidR="00141A95" w:rsidRPr="00141A95">
        <w:rPr>
          <w:rFonts w:ascii="Arial" w:hAnsi="Arial" w:cs="Arial"/>
          <w:sz w:val="20"/>
        </w:rPr>
        <w:t xml:space="preserve"> </w:t>
      </w:r>
      <w:r w:rsidR="00141A95" w:rsidRPr="00141A95">
        <w:rPr>
          <w:rFonts w:ascii="Arial" w:hAnsi="Arial" w:cs="Arial" w:hint="eastAsia"/>
          <w:sz w:val="20"/>
        </w:rPr>
        <w:t>обхваща</w:t>
      </w:r>
      <w:r w:rsidR="00141A95" w:rsidRPr="00141A95">
        <w:rPr>
          <w:rFonts w:ascii="Arial" w:hAnsi="Arial" w:cs="Arial"/>
          <w:sz w:val="20"/>
        </w:rPr>
        <w:t xml:space="preserve"> </w:t>
      </w:r>
      <w:r w:rsidR="00141A95" w:rsidRPr="00141A95">
        <w:rPr>
          <w:rFonts w:ascii="Arial" w:hAnsi="Arial" w:cs="Arial" w:hint="eastAsia"/>
          <w:sz w:val="20"/>
        </w:rPr>
        <w:t>следните</w:t>
      </w:r>
      <w:r w:rsidR="00141A95" w:rsidRPr="00141A95">
        <w:rPr>
          <w:rFonts w:ascii="Arial" w:hAnsi="Arial" w:cs="Arial"/>
          <w:sz w:val="20"/>
        </w:rPr>
        <w:t xml:space="preserve"> </w:t>
      </w:r>
      <w:r w:rsidR="00141A95" w:rsidRPr="00141A95">
        <w:rPr>
          <w:rFonts w:ascii="Arial" w:hAnsi="Arial" w:cs="Arial" w:hint="eastAsia"/>
          <w:sz w:val="20"/>
        </w:rPr>
        <w:t>разходни</w:t>
      </w:r>
      <w:r w:rsidR="00141A95" w:rsidRPr="00141A95">
        <w:rPr>
          <w:rFonts w:ascii="Arial" w:hAnsi="Arial" w:cs="Arial"/>
          <w:sz w:val="20"/>
        </w:rPr>
        <w:t xml:space="preserve"> </w:t>
      </w:r>
      <w:r w:rsidR="00141A95" w:rsidRPr="00141A95">
        <w:rPr>
          <w:rFonts w:ascii="Arial" w:hAnsi="Arial" w:cs="Arial" w:hint="eastAsia"/>
          <w:sz w:val="20"/>
        </w:rPr>
        <w:t>области</w:t>
      </w:r>
      <w:r w:rsidR="00141A95" w:rsidRPr="00141A95">
        <w:rPr>
          <w:rFonts w:ascii="Arial" w:hAnsi="Arial" w:cs="Arial"/>
          <w:sz w:val="20"/>
        </w:rPr>
        <w:t>:</w:t>
      </w:r>
      <w:r w:rsidR="00141A95">
        <w:rPr>
          <w:rFonts w:ascii="Arial" w:hAnsi="Arial" w:cs="Arial"/>
          <w:sz w:val="20"/>
        </w:rPr>
        <w:t xml:space="preserve"> </w:t>
      </w:r>
      <w:r w:rsidR="00141A95" w:rsidRPr="00141A95">
        <w:rPr>
          <w:rFonts w:ascii="Arial" w:hAnsi="Arial" w:cs="Arial" w:hint="eastAsia"/>
          <w:sz w:val="20"/>
        </w:rPr>
        <w:t>единен</w:t>
      </w:r>
      <w:r w:rsidR="00141A95" w:rsidRPr="00141A95">
        <w:rPr>
          <w:rFonts w:ascii="Arial" w:hAnsi="Arial" w:cs="Arial"/>
          <w:sz w:val="20"/>
        </w:rPr>
        <w:t xml:space="preserve"> </w:t>
      </w:r>
      <w:r w:rsidR="00141A95" w:rsidRPr="00141A95">
        <w:rPr>
          <w:rFonts w:ascii="Arial" w:hAnsi="Arial" w:cs="Arial" w:hint="eastAsia"/>
          <w:sz w:val="20"/>
        </w:rPr>
        <w:t>пазар</w:t>
      </w:r>
      <w:r w:rsidR="00141A95" w:rsidRPr="00141A95">
        <w:rPr>
          <w:rFonts w:ascii="Arial" w:hAnsi="Arial" w:cs="Arial"/>
          <w:sz w:val="20"/>
        </w:rPr>
        <w:t xml:space="preserve">, </w:t>
      </w:r>
      <w:r w:rsidR="00141A95" w:rsidRPr="00141A95">
        <w:rPr>
          <w:rFonts w:ascii="Arial" w:hAnsi="Arial" w:cs="Arial" w:hint="eastAsia"/>
          <w:sz w:val="20"/>
        </w:rPr>
        <w:t>иновации</w:t>
      </w:r>
      <w:r w:rsidR="00141A95" w:rsidRPr="00141A95">
        <w:rPr>
          <w:rFonts w:ascii="Arial" w:hAnsi="Arial" w:cs="Arial"/>
          <w:sz w:val="20"/>
        </w:rPr>
        <w:t xml:space="preserve"> </w:t>
      </w:r>
      <w:r w:rsidR="00141A95" w:rsidRPr="00141A95">
        <w:rPr>
          <w:rFonts w:ascii="Arial" w:hAnsi="Arial" w:cs="Arial" w:hint="eastAsia"/>
          <w:sz w:val="20"/>
        </w:rPr>
        <w:t>и</w:t>
      </w:r>
      <w:r w:rsidR="00141A95" w:rsidRPr="00141A95">
        <w:rPr>
          <w:rFonts w:ascii="Arial" w:hAnsi="Arial" w:cs="Arial"/>
          <w:sz w:val="20"/>
        </w:rPr>
        <w:t xml:space="preserve"> </w:t>
      </w:r>
      <w:r w:rsidR="00141A95" w:rsidRPr="00141A95">
        <w:rPr>
          <w:rFonts w:ascii="Arial" w:hAnsi="Arial" w:cs="Arial" w:hint="eastAsia"/>
          <w:sz w:val="20"/>
        </w:rPr>
        <w:t>цифрови</w:t>
      </w:r>
      <w:r w:rsidR="00141A95" w:rsidRPr="00141A95">
        <w:rPr>
          <w:rFonts w:ascii="Arial" w:hAnsi="Arial" w:cs="Arial"/>
          <w:sz w:val="20"/>
        </w:rPr>
        <w:t xml:space="preserve"> </w:t>
      </w:r>
      <w:r w:rsidR="00141A95" w:rsidRPr="00141A95">
        <w:rPr>
          <w:rFonts w:ascii="Arial" w:hAnsi="Arial" w:cs="Arial"/>
          <w:noProof/>
          <w:sz w:val="20"/>
        </w:rPr>
        <w:t>технологии</w:t>
      </w:r>
      <w:r w:rsidR="00141A95">
        <w:rPr>
          <w:rFonts w:ascii="Arial" w:hAnsi="Arial" w:cs="Arial"/>
          <w:noProof/>
          <w:sz w:val="20"/>
        </w:rPr>
        <w:t xml:space="preserve">; </w:t>
      </w:r>
      <w:r w:rsidR="00141A95" w:rsidRPr="00141A95">
        <w:rPr>
          <w:rFonts w:ascii="Arial" w:hAnsi="Arial" w:cs="Arial"/>
          <w:noProof/>
          <w:sz w:val="20"/>
        </w:rPr>
        <w:t>сближаване, устойчивост и ценности</w:t>
      </w:r>
      <w:r w:rsidR="00141A95">
        <w:rPr>
          <w:rFonts w:ascii="Arial" w:hAnsi="Arial" w:cs="Arial"/>
          <w:noProof/>
          <w:sz w:val="20"/>
        </w:rPr>
        <w:t xml:space="preserve">; </w:t>
      </w:r>
      <w:r w:rsidR="00141A95" w:rsidRPr="00141A95">
        <w:rPr>
          <w:rFonts w:ascii="Arial" w:hAnsi="Arial" w:cs="Arial"/>
          <w:noProof/>
          <w:sz w:val="20"/>
        </w:rPr>
        <w:t>природни ресурси и околна среда</w:t>
      </w:r>
      <w:r w:rsidR="00141A95">
        <w:rPr>
          <w:rFonts w:ascii="Arial" w:hAnsi="Arial" w:cs="Arial"/>
          <w:noProof/>
          <w:sz w:val="20"/>
        </w:rPr>
        <w:t xml:space="preserve">; </w:t>
      </w:r>
      <w:r w:rsidR="00141A95" w:rsidRPr="00141A95">
        <w:rPr>
          <w:rFonts w:ascii="Arial" w:hAnsi="Arial" w:cs="Arial"/>
          <w:noProof/>
          <w:sz w:val="20"/>
        </w:rPr>
        <w:t>миграция и управление на границите</w:t>
      </w:r>
      <w:r w:rsidR="00141A95">
        <w:rPr>
          <w:rFonts w:ascii="Arial" w:hAnsi="Arial" w:cs="Arial"/>
          <w:noProof/>
          <w:sz w:val="20"/>
        </w:rPr>
        <w:t xml:space="preserve">; </w:t>
      </w:r>
      <w:r w:rsidR="00141A95" w:rsidRPr="00141A95">
        <w:rPr>
          <w:rFonts w:ascii="Arial" w:hAnsi="Arial" w:cs="Arial"/>
          <w:noProof/>
          <w:sz w:val="20"/>
        </w:rPr>
        <w:t>сигурност и отбрана</w:t>
      </w:r>
      <w:r w:rsidR="00141A95">
        <w:rPr>
          <w:rFonts w:ascii="Arial" w:hAnsi="Arial" w:cs="Arial"/>
          <w:noProof/>
          <w:sz w:val="20"/>
        </w:rPr>
        <w:t xml:space="preserve">; </w:t>
      </w:r>
      <w:r w:rsidR="00141A95" w:rsidRPr="00141A95">
        <w:rPr>
          <w:rFonts w:ascii="Arial" w:hAnsi="Arial" w:cs="Arial"/>
          <w:noProof/>
          <w:sz w:val="20"/>
        </w:rPr>
        <w:t>съседните региони и света</w:t>
      </w:r>
      <w:r w:rsidR="00141A95">
        <w:rPr>
          <w:rFonts w:ascii="Arial" w:hAnsi="Arial" w:cs="Arial"/>
          <w:noProof/>
          <w:sz w:val="20"/>
        </w:rPr>
        <w:t xml:space="preserve">; </w:t>
      </w:r>
      <w:r w:rsidR="00141A95" w:rsidRPr="00141A95">
        <w:rPr>
          <w:rFonts w:ascii="Arial" w:hAnsi="Arial" w:cs="Arial"/>
          <w:noProof/>
          <w:sz w:val="20"/>
        </w:rPr>
        <w:t>европейската публична администрация</w:t>
      </w:r>
      <w:r w:rsidR="00141A95">
        <w:rPr>
          <w:rFonts w:ascii="Arial" w:hAnsi="Arial" w:cs="Arial"/>
          <w:noProof/>
          <w:sz w:val="20"/>
        </w:rPr>
        <w:t xml:space="preserve">. </w:t>
      </w:r>
      <w:r w:rsidR="0024496F">
        <w:rPr>
          <w:rFonts w:ascii="Arial" w:hAnsi="Arial" w:cs="Arial"/>
          <w:noProof/>
          <w:sz w:val="20"/>
        </w:rPr>
        <w:t>Подробна информация можете да видите в Приложение 1.</w:t>
      </w:r>
    </w:p>
    <w:p w:rsidR="0072576F" w:rsidRDefault="0072576F" w:rsidP="008B7A95">
      <w:pPr>
        <w:jc w:val="both"/>
        <w:outlineLvl w:val="0"/>
        <w:rPr>
          <w:rFonts w:ascii="Arial" w:hAnsi="Arial" w:cs="Arial"/>
          <w:noProof/>
          <w:sz w:val="20"/>
        </w:rPr>
      </w:pPr>
    </w:p>
    <w:p w:rsidR="0072576F" w:rsidRPr="00292138" w:rsidRDefault="0072576F" w:rsidP="008B7A95">
      <w:pPr>
        <w:jc w:val="both"/>
        <w:rPr>
          <w:rFonts w:ascii="Arial" w:hAnsi="Arial" w:cs="Arial"/>
          <w:noProof/>
          <w:sz w:val="20"/>
        </w:rPr>
      </w:pPr>
      <w:r>
        <w:rPr>
          <w:rFonts w:ascii="Arial" w:hAnsi="Arial" w:cs="Arial"/>
          <w:b/>
          <w:noProof/>
          <w:sz w:val="20"/>
        </w:rPr>
        <w:lastRenderedPageBreak/>
        <w:t>7</w:t>
      </w:r>
      <w:r w:rsidRPr="00210A29">
        <w:rPr>
          <w:rFonts w:ascii="Arial" w:hAnsi="Arial" w:cs="Arial"/>
          <w:b/>
          <w:noProof/>
          <w:sz w:val="20"/>
        </w:rPr>
        <w:t>.</w:t>
      </w:r>
      <w:r w:rsidRPr="00292138">
        <w:rPr>
          <w:rFonts w:ascii="Arial" w:hAnsi="Arial" w:cs="Arial"/>
          <w:noProof/>
          <w:sz w:val="20"/>
        </w:rPr>
        <w:t xml:space="preserve"> </w:t>
      </w:r>
      <w:r>
        <w:rPr>
          <w:rFonts w:ascii="Arial" w:hAnsi="Arial" w:cs="Arial"/>
          <w:b/>
          <w:noProof/>
          <w:sz w:val="20"/>
        </w:rPr>
        <w:t>Н</w:t>
      </w:r>
      <w:r w:rsidRPr="00292138">
        <w:rPr>
          <w:rFonts w:ascii="Arial" w:hAnsi="Arial" w:cs="Arial"/>
          <w:b/>
          <w:noProof/>
          <w:sz w:val="20"/>
        </w:rPr>
        <w:t xml:space="preserve">а 23 юли Европейският парламент (ЕП) прие резолюция, </w:t>
      </w:r>
      <w:r>
        <w:rPr>
          <w:rFonts w:ascii="Arial" w:hAnsi="Arial" w:cs="Arial"/>
          <w:b/>
          <w:noProof/>
          <w:sz w:val="20"/>
        </w:rPr>
        <w:t>с</w:t>
      </w:r>
      <w:r w:rsidRPr="00292138">
        <w:rPr>
          <w:rFonts w:ascii="Arial" w:hAnsi="Arial" w:cs="Arial"/>
          <w:b/>
          <w:noProof/>
          <w:sz w:val="20"/>
        </w:rPr>
        <w:t xml:space="preserve"> която се отбелязва, че не приема политическото споразумение относно МФР за периода 2021 – 2027 г. в настоящия му вид и изразява готовност да започне незабавно конструктивни преговори със Съвета за подобряване на предложението</w:t>
      </w:r>
      <w:r>
        <w:rPr>
          <w:rFonts w:ascii="Arial" w:hAnsi="Arial" w:cs="Arial"/>
          <w:noProof/>
          <w:sz w:val="20"/>
        </w:rPr>
        <w:t>. ЕП прие резолюцията веднага с</w:t>
      </w:r>
      <w:r w:rsidRPr="00292138">
        <w:rPr>
          <w:rFonts w:ascii="Arial" w:hAnsi="Arial" w:cs="Arial"/>
          <w:noProof/>
          <w:sz w:val="20"/>
        </w:rPr>
        <w:t xml:space="preserve">лед </w:t>
      </w:r>
      <w:r>
        <w:rPr>
          <w:rFonts w:ascii="Arial" w:hAnsi="Arial" w:cs="Arial"/>
          <w:noProof/>
          <w:sz w:val="20"/>
        </w:rPr>
        <w:t>приключване</w:t>
      </w:r>
      <w:r w:rsidRPr="00292138">
        <w:rPr>
          <w:rFonts w:ascii="Arial" w:hAnsi="Arial" w:cs="Arial"/>
          <w:noProof/>
          <w:sz w:val="20"/>
        </w:rPr>
        <w:t xml:space="preserve"> на извънредното заседание на Европей</w:t>
      </w:r>
      <w:r>
        <w:rPr>
          <w:rFonts w:ascii="Arial" w:hAnsi="Arial" w:cs="Arial"/>
          <w:noProof/>
          <w:sz w:val="20"/>
        </w:rPr>
        <w:t>ския съвет от</w:t>
      </w:r>
      <w:r w:rsidRPr="00292138">
        <w:rPr>
          <w:rFonts w:ascii="Arial" w:hAnsi="Arial" w:cs="Arial"/>
          <w:noProof/>
          <w:sz w:val="20"/>
        </w:rPr>
        <w:t xml:space="preserve"> 17–21 юли 2020 г., на което лидерите от ЕС договориха пакета за възстановяване и бю</w:t>
      </w:r>
      <w:r>
        <w:rPr>
          <w:rFonts w:ascii="Arial" w:hAnsi="Arial" w:cs="Arial"/>
          <w:noProof/>
          <w:sz w:val="20"/>
        </w:rPr>
        <w:t>джета за периода 2021 – 2027 г. С</w:t>
      </w:r>
      <w:r w:rsidRPr="00292138">
        <w:rPr>
          <w:rFonts w:ascii="Arial" w:hAnsi="Arial" w:cs="Arial"/>
          <w:noProof/>
          <w:sz w:val="20"/>
        </w:rPr>
        <w:t xml:space="preserve">ъгласно член 312 от Договора за функциониране на Европейския съюз (ДФЕС) ЕП трябва </w:t>
      </w:r>
      <w:r>
        <w:rPr>
          <w:rFonts w:ascii="Arial" w:hAnsi="Arial" w:cs="Arial"/>
          <w:noProof/>
          <w:sz w:val="20"/>
        </w:rPr>
        <w:t xml:space="preserve">да даде одобрението си за МФР. </w:t>
      </w:r>
      <w:r w:rsidRPr="00292138">
        <w:rPr>
          <w:rFonts w:ascii="Arial" w:hAnsi="Arial" w:cs="Arial"/>
          <w:noProof/>
          <w:color w:val="202736"/>
          <w:sz w:val="20"/>
        </w:rPr>
        <w:t xml:space="preserve">В </w:t>
      </w:r>
      <w:r>
        <w:rPr>
          <w:rFonts w:ascii="Arial" w:hAnsi="Arial" w:cs="Arial"/>
          <w:noProof/>
          <w:color w:val="202736"/>
          <w:sz w:val="20"/>
        </w:rPr>
        <w:t>резолюцията</w:t>
      </w:r>
      <w:r w:rsidRPr="00292138">
        <w:rPr>
          <w:rFonts w:ascii="Arial" w:hAnsi="Arial" w:cs="Arial"/>
          <w:noProof/>
          <w:color w:val="202736"/>
          <w:sz w:val="20"/>
        </w:rPr>
        <w:t xml:space="preserve"> се напомня, че заключенията на Европейския съвет относно МФР не представляват нищо повече от политическо споразумение между държавните и правителствените ръководители и се подчертава, че ЕП няма да парафира това решение като свършен факт</w:t>
      </w:r>
      <w:r>
        <w:rPr>
          <w:rFonts w:ascii="Arial" w:hAnsi="Arial" w:cs="Arial"/>
          <w:noProof/>
          <w:color w:val="202736"/>
          <w:sz w:val="20"/>
        </w:rPr>
        <w:t>. ЕП</w:t>
      </w:r>
      <w:r w:rsidRPr="00292138">
        <w:rPr>
          <w:rFonts w:ascii="Arial" w:hAnsi="Arial" w:cs="Arial"/>
          <w:noProof/>
          <w:color w:val="202736"/>
          <w:sz w:val="20"/>
        </w:rPr>
        <w:t xml:space="preserve"> е готов да оттегли одобрението си за МФР, докато не бъде постигнато задоволително споразумение в предстоящите преговори между ЕП и Съвета. Евродепутатите припомнят, че всичките 40 програми на ЕС, финансирани по линия на МФР, ще трябва да бъдат одо</w:t>
      </w:r>
      <w:r>
        <w:rPr>
          <w:rFonts w:ascii="Arial" w:hAnsi="Arial" w:cs="Arial"/>
          <w:noProof/>
          <w:color w:val="202736"/>
          <w:sz w:val="20"/>
        </w:rPr>
        <w:t xml:space="preserve">брени от ЕП като съзаконодател. </w:t>
      </w:r>
      <w:r w:rsidRPr="00292138">
        <w:rPr>
          <w:rFonts w:ascii="Arial" w:hAnsi="Arial" w:cs="Arial"/>
          <w:noProof/>
          <w:color w:val="202736"/>
          <w:sz w:val="20"/>
        </w:rPr>
        <w:t xml:space="preserve">ЕП изразява дълбоко съжаление във връзка с факта, че Европейският съвет значително отслаби усилията на ЕК и ЕП да защитават принципите на правовата държава, </w:t>
      </w:r>
      <w:r>
        <w:rPr>
          <w:rFonts w:ascii="Arial" w:hAnsi="Arial" w:cs="Arial"/>
          <w:noProof/>
          <w:color w:val="202736"/>
          <w:sz w:val="20"/>
        </w:rPr>
        <w:t>основните права и демокрацията. ЕП отбелязва със съжаление</w:t>
      </w:r>
      <w:r w:rsidRPr="00292138">
        <w:rPr>
          <w:rFonts w:ascii="Arial" w:hAnsi="Arial" w:cs="Arial"/>
          <w:noProof/>
          <w:color w:val="202736"/>
          <w:sz w:val="20"/>
        </w:rPr>
        <w:t>, че твърде често изключителното придържане към националните интереси и позиции застрашава постигането на съвместни решения, които са от общ интерес. Предупреждава, че съкращенията в МФР са в противоречие с целите на ЕС и счита например, че предложените съкращения в програмите в областта на здравеопазването и научните изследвания са опасни в контекста на световна пандемия</w:t>
      </w:r>
      <w:r>
        <w:rPr>
          <w:rFonts w:ascii="Arial" w:hAnsi="Arial" w:cs="Arial"/>
          <w:noProof/>
          <w:color w:val="202736"/>
          <w:sz w:val="20"/>
        </w:rPr>
        <w:t>. П</w:t>
      </w:r>
      <w:r w:rsidRPr="00292138">
        <w:rPr>
          <w:rFonts w:ascii="Arial" w:hAnsi="Arial" w:cs="Arial"/>
          <w:noProof/>
          <w:color w:val="202736"/>
          <w:sz w:val="20"/>
        </w:rPr>
        <w:t>редложените съкращения в областта на образованието, цифровата трансформация и иновациите застрашават бъдещето на следващото поколение европейци. Съкращения на програмите в подкрепа на прехода на зависими от въглерода региони са в противоречие с програмата на ЕС, свързана със Зеления пакт</w:t>
      </w:r>
      <w:r>
        <w:rPr>
          <w:rFonts w:ascii="Arial" w:hAnsi="Arial" w:cs="Arial"/>
          <w:noProof/>
          <w:color w:val="202736"/>
          <w:sz w:val="20"/>
        </w:rPr>
        <w:t>, а с</w:t>
      </w:r>
      <w:r w:rsidRPr="00292138">
        <w:rPr>
          <w:rFonts w:ascii="Arial" w:hAnsi="Arial" w:cs="Arial"/>
          <w:noProof/>
          <w:color w:val="202736"/>
          <w:sz w:val="20"/>
        </w:rPr>
        <w:t>ъкращения</w:t>
      </w:r>
      <w:r>
        <w:rPr>
          <w:rFonts w:ascii="Arial" w:hAnsi="Arial" w:cs="Arial"/>
          <w:noProof/>
          <w:color w:val="202736"/>
          <w:sz w:val="20"/>
        </w:rPr>
        <w:t>та</w:t>
      </w:r>
      <w:r w:rsidRPr="00292138">
        <w:rPr>
          <w:rFonts w:ascii="Arial" w:hAnsi="Arial" w:cs="Arial"/>
          <w:noProof/>
          <w:color w:val="202736"/>
          <w:sz w:val="20"/>
        </w:rPr>
        <w:t xml:space="preserve"> в областта на убежището, миграцията и управлението на границите застрашават позицията на ЕС в един все по-нестабилен и несигурен свят.</w:t>
      </w:r>
      <w:r>
        <w:rPr>
          <w:rFonts w:ascii="Arial" w:hAnsi="Arial" w:cs="Arial"/>
          <w:noProof/>
          <w:color w:val="202736"/>
          <w:sz w:val="20"/>
        </w:rPr>
        <w:t xml:space="preserve"> </w:t>
      </w:r>
      <w:r w:rsidRPr="00292138">
        <w:rPr>
          <w:rFonts w:ascii="Arial" w:hAnsi="Arial" w:cs="Arial"/>
          <w:noProof/>
          <w:color w:val="202736"/>
          <w:sz w:val="20"/>
        </w:rPr>
        <w:t xml:space="preserve">Същият ден председателят на Европейския съвет Шарл Мишел и председателят на ЕК Урсула фон дер Лайен взеха участие в извънредната пленарна сесия на ЕП със съобщение за резултатите от извънредното заседание на Европейския съвет и в състоялите се дебати. </w:t>
      </w:r>
    </w:p>
    <w:p w:rsidR="0072576F" w:rsidRPr="00292138" w:rsidRDefault="0072576F" w:rsidP="008B7A95">
      <w:pPr>
        <w:jc w:val="both"/>
        <w:rPr>
          <w:rFonts w:ascii="Arial" w:hAnsi="Arial" w:cs="Arial"/>
          <w:sz w:val="20"/>
        </w:rPr>
      </w:pPr>
    </w:p>
    <w:p w:rsidR="0072576F" w:rsidRPr="00292138" w:rsidRDefault="0072576F" w:rsidP="008B7A95">
      <w:pPr>
        <w:jc w:val="both"/>
        <w:outlineLvl w:val="0"/>
        <w:rPr>
          <w:rFonts w:ascii="Arial" w:hAnsi="Arial" w:cs="Arial"/>
          <w:sz w:val="20"/>
        </w:rPr>
      </w:pPr>
    </w:p>
    <w:p w:rsidR="0024496F" w:rsidRDefault="002449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Default="009C11B2" w:rsidP="008B7A95">
      <w:pPr>
        <w:jc w:val="both"/>
        <w:rPr>
          <w:rFonts w:ascii="Arial" w:hAnsi="Arial" w:cs="Arial"/>
          <w:b/>
          <w:sz w:val="20"/>
          <w:lang w:val="en-US"/>
        </w:rPr>
      </w:pPr>
    </w:p>
    <w:p w:rsidR="009C11B2" w:rsidRPr="009C11B2" w:rsidRDefault="009C11B2" w:rsidP="008B7A95">
      <w:pPr>
        <w:jc w:val="both"/>
        <w:rPr>
          <w:rFonts w:ascii="Arial" w:hAnsi="Arial" w:cs="Arial"/>
          <w:b/>
          <w:sz w:val="20"/>
          <w:lang w:val="en-US"/>
        </w:rPr>
      </w:pPr>
      <w:bookmarkStart w:id="0" w:name="_GoBack"/>
      <w:bookmarkEnd w:id="0"/>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72576F" w:rsidRDefault="0072576F" w:rsidP="008B7A95">
      <w:pPr>
        <w:jc w:val="both"/>
        <w:rPr>
          <w:rFonts w:ascii="Arial" w:hAnsi="Arial" w:cs="Arial"/>
          <w:b/>
          <w:sz w:val="20"/>
        </w:rPr>
      </w:pPr>
    </w:p>
    <w:p w:rsidR="0024496F" w:rsidRPr="008B7A95" w:rsidRDefault="0024496F" w:rsidP="008B7A95">
      <w:pPr>
        <w:jc w:val="right"/>
        <w:rPr>
          <w:rFonts w:ascii="Arial" w:hAnsi="Arial" w:cs="Arial"/>
          <w:b/>
          <w:i/>
          <w:sz w:val="20"/>
        </w:rPr>
      </w:pPr>
      <w:r w:rsidRPr="008B7A95">
        <w:rPr>
          <w:rFonts w:ascii="Arial" w:hAnsi="Arial" w:cs="Arial"/>
          <w:b/>
          <w:i/>
          <w:sz w:val="20"/>
        </w:rPr>
        <w:t>Приложение 1</w:t>
      </w:r>
    </w:p>
    <w:p w:rsidR="0024496F" w:rsidRDefault="0024496F" w:rsidP="008B7A95">
      <w:pPr>
        <w:jc w:val="both"/>
        <w:rPr>
          <w:rFonts w:ascii="Arial" w:hAnsi="Arial" w:cs="Arial"/>
          <w:b/>
          <w:sz w:val="20"/>
        </w:rPr>
      </w:pPr>
    </w:p>
    <w:p w:rsidR="0072576F" w:rsidRPr="001C5BC3" w:rsidRDefault="0072576F" w:rsidP="008B7A95">
      <w:pPr>
        <w:jc w:val="center"/>
        <w:rPr>
          <w:rFonts w:asciiTheme="minorHAnsi" w:hAnsiTheme="minorHAnsi"/>
          <w:b/>
        </w:rPr>
      </w:pPr>
      <w:r w:rsidRPr="001C5BC3">
        <w:rPr>
          <w:rFonts w:asciiTheme="minorHAnsi" w:hAnsiTheme="minorHAnsi"/>
          <w:b/>
        </w:rPr>
        <w:t>Основни резултати от и</w:t>
      </w:r>
      <w:r w:rsidRPr="001C5BC3">
        <w:rPr>
          <w:rFonts w:asciiTheme="minorHAnsi" w:hAnsiTheme="minorHAnsi" w:hint="eastAsia"/>
          <w:b/>
        </w:rPr>
        <w:t>звънредно</w:t>
      </w:r>
      <w:r w:rsidRPr="001C5BC3">
        <w:rPr>
          <w:rFonts w:asciiTheme="minorHAnsi" w:hAnsiTheme="minorHAnsi"/>
          <w:b/>
        </w:rPr>
        <w:t xml:space="preserve">то </w:t>
      </w:r>
      <w:r w:rsidRPr="001C5BC3">
        <w:rPr>
          <w:rFonts w:asciiTheme="minorHAnsi" w:hAnsiTheme="minorHAnsi" w:hint="eastAsia"/>
          <w:b/>
        </w:rPr>
        <w:t>заседание</w:t>
      </w:r>
      <w:r w:rsidRPr="001C5BC3">
        <w:rPr>
          <w:rFonts w:asciiTheme="minorHAnsi" w:hAnsiTheme="minorHAnsi"/>
          <w:b/>
        </w:rPr>
        <w:t xml:space="preserve"> </w:t>
      </w:r>
      <w:r w:rsidRPr="001C5BC3">
        <w:rPr>
          <w:rFonts w:asciiTheme="minorHAnsi" w:hAnsiTheme="minorHAnsi" w:hint="eastAsia"/>
          <w:b/>
        </w:rPr>
        <w:t>на</w:t>
      </w:r>
      <w:r w:rsidRPr="001C5BC3">
        <w:rPr>
          <w:rFonts w:asciiTheme="minorHAnsi" w:hAnsiTheme="minorHAnsi"/>
          <w:b/>
        </w:rPr>
        <w:t xml:space="preserve"> </w:t>
      </w:r>
      <w:r w:rsidRPr="001C5BC3">
        <w:rPr>
          <w:rFonts w:asciiTheme="minorHAnsi" w:hAnsiTheme="minorHAnsi" w:hint="eastAsia"/>
          <w:b/>
        </w:rPr>
        <w:t>Европейския</w:t>
      </w:r>
      <w:r w:rsidRPr="001C5BC3">
        <w:rPr>
          <w:rFonts w:asciiTheme="minorHAnsi" w:hAnsiTheme="minorHAnsi"/>
          <w:b/>
        </w:rPr>
        <w:t xml:space="preserve"> </w:t>
      </w:r>
      <w:r w:rsidRPr="001C5BC3">
        <w:rPr>
          <w:rFonts w:asciiTheme="minorHAnsi" w:hAnsiTheme="minorHAnsi" w:hint="eastAsia"/>
          <w:b/>
        </w:rPr>
        <w:t>съвет</w:t>
      </w:r>
      <w:r w:rsidRPr="001C5BC3">
        <w:rPr>
          <w:rFonts w:asciiTheme="minorHAnsi" w:hAnsiTheme="minorHAnsi"/>
          <w:b/>
        </w:rPr>
        <w:t xml:space="preserve">, 17–21 </w:t>
      </w:r>
      <w:r w:rsidRPr="001C5BC3">
        <w:rPr>
          <w:rFonts w:asciiTheme="minorHAnsi" w:hAnsiTheme="minorHAnsi" w:hint="eastAsia"/>
          <w:b/>
        </w:rPr>
        <w:t>юли</w:t>
      </w:r>
      <w:r w:rsidRPr="001C5BC3">
        <w:rPr>
          <w:rFonts w:asciiTheme="minorHAnsi" w:hAnsiTheme="minorHAnsi"/>
          <w:b/>
        </w:rPr>
        <w:t xml:space="preserve"> 2020 </w:t>
      </w:r>
      <w:r w:rsidRPr="001C5BC3">
        <w:rPr>
          <w:rFonts w:asciiTheme="minorHAnsi" w:hAnsiTheme="minorHAnsi" w:hint="eastAsia"/>
          <w:b/>
        </w:rPr>
        <w:t>г</w:t>
      </w:r>
      <w:r w:rsidRPr="001C5BC3">
        <w:rPr>
          <w:rFonts w:asciiTheme="minorHAnsi" w:hAnsiTheme="minorHAnsi"/>
          <w:b/>
        </w:rPr>
        <w:t>.</w:t>
      </w:r>
    </w:p>
    <w:p w:rsidR="0072576F" w:rsidRDefault="0072576F" w:rsidP="008B7A95">
      <w:pPr>
        <w:jc w:val="both"/>
        <w:rPr>
          <w:rFonts w:asciiTheme="minorHAnsi" w:hAnsiTheme="minorHAnsi"/>
        </w:rPr>
      </w:pPr>
    </w:p>
    <w:p w:rsidR="00617956" w:rsidRPr="00292138" w:rsidRDefault="008C1A20" w:rsidP="008B7A95">
      <w:pPr>
        <w:jc w:val="both"/>
        <w:rPr>
          <w:rFonts w:ascii="Arial" w:hAnsi="Arial" w:cs="Arial"/>
          <w:sz w:val="20"/>
        </w:rPr>
      </w:pPr>
      <w:hyperlink r:id="rId10" w:tooltip="Дългосрочен бюджет на ЕС за 2021 – 2027 г. (обща информация)" w:history="1"/>
      <w:r w:rsidR="00617956" w:rsidRPr="00292138">
        <w:rPr>
          <w:rFonts w:ascii="Arial" w:hAnsi="Arial" w:cs="Arial"/>
          <w:b/>
          <w:bCs/>
          <w:sz w:val="20"/>
        </w:rPr>
        <w:t>Фонд за възстановяване</w:t>
      </w:r>
      <w:r w:rsidR="00617956" w:rsidRPr="00292138">
        <w:rPr>
          <w:rFonts w:ascii="Arial" w:hAnsi="Arial" w:cs="Arial"/>
          <w:sz w:val="20"/>
        </w:rPr>
        <w:t xml:space="preserve"> NGEU</w:t>
      </w:r>
      <w:r w:rsidR="0072576F">
        <w:rPr>
          <w:rFonts w:ascii="Arial" w:hAnsi="Arial" w:cs="Arial"/>
          <w:sz w:val="20"/>
        </w:rPr>
        <w:t>-</w:t>
      </w:r>
      <w:r w:rsidR="00617956" w:rsidRPr="00292138">
        <w:rPr>
          <w:rFonts w:ascii="Arial" w:hAnsi="Arial" w:cs="Arial"/>
          <w:sz w:val="20"/>
        </w:rPr>
        <w:t xml:space="preserve"> ще осигури на Съюза необходимите средства за справяне с предизвикателствата, свързани с пандемията от COVID-19. Съгласно споразумението Европейската комисия (ЕК) ще може да получи заеми на капиталовите пазари в размер до </w:t>
      </w:r>
      <w:r w:rsidR="00617956" w:rsidRPr="0072576F">
        <w:rPr>
          <w:rFonts w:ascii="Arial" w:hAnsi="Arial" w:cs="Arial"/>
          <w:bCs/>
          <w:sz w:val="20"/>
        </w:rPr>
        <w:t>750 милиарда евро</w:t>
      </w:r>
      <w:r w:rsidR="00617956" w:rsidRPr="00292138">
        <w:rPr>
          <w:rFonts w:ascii="Arial" w:hAnsi="Arial" w:cs="Arial"/>
          <w:sz w:val="20"/>
        </w:rPr>
        <w:t xml:space="preserve">, които ще бъдат изплатени до 2058 г. </w:t>
      </w:r>
      <w:r w:rsidR="00617956" w:rsidRPr="0072576F">
        <w:rPr>
          <w:rFonts w:ascii="Arial" w:hAnsi="Arial" w:cs="Arial"/>
          <w:sz w:val="20"/>
        </w:rPr>
        <w:t>Заемните средства може да се използват за предоставяне на заеми на ДЧ в размер до 360 млрд. евро и за разходи (</w:t>
      </w:r>
      <w:proofErr w:type="spellStart"/>
      <w:r w:rsidR="00617956" w:rsidRPr="0072576F">
        <w:rPr>
          <w:rFonts w:ascii="Arial" w:hAnsi="Arial" w:cs="Arial"/>
          <w:sz w:val="20"/>
        </w:rPr>
        <w:t>грантове</w:t>
      </w:r>
      <w:proofErr w:type="spellEnd"/>
      <w:r w:rsidR="00617956" w:rsidRPr="0072576F">
        <w:rPr>
          <w:rFonts w:ascii="Arial" w:hAnsi="Arial" w:cs="Arial"/>
          <w:sz w:val="20"/>
        </w:rPr>
        <w:t>) в размер до 390 млрд. евро по цени от 2018</w:t>
      </w:r>
      <w:r w:rsidR="00617956" w:rsidRPr="00292138">
        <w:rPr>
          <w:rFonts w:ascii="Arial" w:hAnsi="Arial" w:cs="Arial"/>
          <w:b/>
          <w:sz w:val="20"/>
        </w:rPr>
        <w:t xml:space="preserve"> г.</w:t>
      </w:r>
      <w:r w:rsidR="00617956" w:rsidRPr="00292138">
        <w:rPr>
          <w:rFonts w:ascii="Arial" w:hAnsi="Arial" w:cs="Arial"/>
          <w:sz w:val="20"/>
        </w:rPr>
        <w:t xml:space="preserve"> Сумите по линия на NGEU ще бъдат разпределени за седем отделни програми: Механизъм за възстановяване и устойчивост: 672,5 млрд. евро (заеми: 360 млрд. евро, </w:t>
      </w:r>
      <w:proofErr w:type="spellStart"/>
      <w:r w:rsidR="00617956" w:rsidRPr="00292138">
        <w:rPr>
          <w:rFonts w:ascii="Arial" w:hAnsi="Arial" w:cs="Arial"/>
          <w:sz w:val="20"/>
        </w:rPr>
        <w:t>грантове</w:t>
      </w:r>
      <w:proofErr w:type="spellEnd"/>
      <w:r w:rsidR="00617956" w:rsidRPr="00292138">
        <w:rPr>
          <w:rFonts w:ascii="Arial" w:hAnsi="Arial" w:cs="Arial"/>
          <w:sz w:val="20"/>
        </w:rPr>
        <w:t xml:space="preserve">: 312,5 млрд. евро), </w:t>
      </w:r>
      <w:proofErr w:type="spellStart"/>
      <w:r w:rsidR="00617956" w:rsidRPr="00292138">
        <w:rPr>
          <w:rFonts w:ascii="Arial" w:hAnsi="Arial" w:cs="Arial"/>
          <w:sz w:val="20"/>
        </w:rPr>
        <w:t>ReactEU</w:t>
      </w:r>
      <w:proofErr w:type="spellEnd"/>
      <w:r w:rsidR="00617956" w:rsidRPr="00292138">
        <w:rPr>
          <w:rFonts w:ascii="Arial" w:hAnsi="Arial" w:cs="Arial"/>
          <w:sz w:val="20"/>
        </w:rPr>
        <w:t xml:space="preserve">: 47,5 млрд. евро, „Хоризонт Европа“: 5 млрд. евро, </w:t>
      </w:r>
      <w:proofErr w:type="spellStart"/>
      <w:r w:rsidR="00617956" w:rsidRPr="00292138">
        <w:rPr>
          <w:rFonts w:ascii="Arial" w:hAnsi="Arial" w:cs="Arial"/>
          <w:sz w:val="20"/>
        </w:rPr>
        <w:t>InvestEU</w:t>
      </w:r>
      <w:proofErr w:type="spellEnd"/>
      <w:r w:rsidR="00617956" w:rsidRPr="00292138">
        <w:rPr>
          <w:rFonts w:ascii="Arial" w:hAnsi="Arial" w:cs="Arial"/>
          <w:sz w:val="20"/>
        </w:rPr>
        <w:t xml:space="preserve">: 5,6 млрд. евро, Развитие на селските райони: 7,5 млрд. евро, Фонд за справедлив преход (ФСП): 10 млрд. евро и </w:t>
      </w:r>
      <w:proofErr w:type="spellStart"/>
      <w:r w:rsidR="00617956" w:rsidRPr="00292138">
        <w:rPr>
          <w:rFonts w:ascii="Arial" w:hAnsi="Arial" w:cs="Arial"/>
          <w:sz w:val="20"/>
        </w:rPr>
        <w:t>RescEU</w:t>
      </w:r>
      <w:proofErr w:type="spellEnd"/>
      <w:r w:rsidR="00617956" w:rsidRPr="00292138">
        <w:rPr>
          <w:rFonts w:ascii="Arial" w:hAnsi="Arial" w:cs="Arial"/>
          <w:sz w:val="20"/>
        </w:rPr>
        <w:t>: 1,9 млрд. евро</w:t>
      </w:r>
      <w:r w:rsidR="0072576F">
        <w:rPr>
          <w:rFonts w:ascii="Arial" w:hAnsi="Arial" w:cs="Arial"/>
          <w:sz w:val="20"/>
        </w:rPr>
        <w:t>.</w:t>
      </w:r>
    </w:p>
    <w:p w:rsidR="00617956" w:rsidRPr="00292138" w:rsidRDefault="00617956" w:rsidP="008B7A95">
      <w:pPr>
        <w:jc w:val="both"/>
        <w:rPr>
          <w:rFonts w:ascii="Arial" w:hAnsi="Arial" w:cs="Arial"/>
          <w:sz w:val="20"/>
        </w:rPr>
      </w:pPr>
      <w:r w:rsidRPr="00292138">
        <w:rPr>
          <w:rFonts w:ascii="Arial" w:hAnsi="Arial" w:cs="Arial"/>
          <w:sz w:val="20"/>
        </w:rPr>
        <w:t>30% от общите разходи по линия на МФР и NGEU ще бъдат насочени към </w:t>
      </w:r>
      <w:r w:rsidRPr="00292138">
        <w:rPr>
          <w:rFonts w:ascii="Arial" w:hAnsi="Arial" w:cs="Arial"/>
          <w:b/>
          <w:bCs/>
          <w:sz w:val="20"/>
        </w:rPr>
        <w:t>проекти, свързани с климата</w:t>
      </w:r>
      <w:r w:rsidRPr="00292138">
        <w:rPr>
          <w:rFonts w:ascii="Arial" w:hAnsi="Arial" w:cs="Arial"/>
          <w:sz w:val="20"/>
        </w:rPr>
        <w:t xml:space="preserve">. </w:t>
      </w:r>
    </w:p>
    <w:p w:rsidR="00617956" w:rsidRPr="00292138" w:rsidRDefault="00617956" w:rsidP="008B7A95">
      <w:pPr>
        <w:jc w:val="both"/>
        <w:rPr>
          <w:rFonts w:ascii="Arial" w:hAnsi="Arial" w:cs="Arial"/>
          <w:sz w:val="20"/>
        </w:rPr>
      </w:pPr>
      <w:r w:rsidRPr="00292138">
        <w:rPr>
          <w:rFonts w:ascii="Arial" w:hAnsi="Arial" w:cs="Arial"/>
          <w:color w:val="000000"/>
          <w:sz w:val="20"/>
        </w:rPr>
        <w:t xml:space="preserve">Предвиденият </w:t>
      </w:r>
      <w:r w:rsidRPr="00292138">
        <w:rPr>
          <w:rFonts w:ascii="Arial" w:hAnsi="Arial" w:cs="Arial"/>
          <w:b/>
          <w:color w:val="000000"/>
          <w:sz w:val="20"/>
        </w:rPr>
        <w:t>бюджет за ОСП</w:t>
      </w:r>
      <w:r w:rsidRPr="00292138">
        <w:rPr>
          <w:rFonts w:ascii="Arial" w:hAnsi="Arial" w:cs="Arial"/>
          <w:color w:val="000000"/>
          <w:sz w:val="20"/>
        </w:rPr>
        <w:t xml:space="preserve"> за периода 2021-2027 г. възлиза на 343,95 милиарда евро (по съпоставими цени от 2018 г.), от които 258,594 милиарда евро за 1-ви стълб и 77,85 милиарда евро за 2-ри стълб. Съгласно плана на ЕС за икономическо възстановяване след 2020 г. 7,5 милиарда евро ще бъдат добавени към бюджета на 2-ри стълб. Секторът ще трябва да се изправи пред „повече предизвикателства с по-малко бюджет“.</w:t>
      </w:r>
      <w:r w:rsidRPr="00292138">
        <w:rPr>
          <w:rFonts w:ascii="Arial" w:hAnsi="Arial" w:cs="Arial"/>
          <w:sz w:val="20"/>
        </w:rPr>
        <w:t xml:space="preserve"> Директните плащания (ДП) съгласно Регламент (ЕС) № 1307/2013 и съгласно Регламента за стратегическите планове по ОСП няма да надвишават 239 916 млн. евро.</w:t>
      </w:r>
    </w:p>
    <w:p w:rsidR="00617956" w:rsidRPr="00292138" w:rsidRDefault="00617956" w:rsidP="008B7A95">
      <w:pPr>
        <w:jc w:val="both"/>
        <w:rPr>
          <w:rFonts w:ascii="Arial" w:hAnsi="Arial" w:cs="Arial"/>
          <w:sz w:val="20"/>
        </w:rPr>
      </w:pPr>
      <w:r w:rsidRPr="00292138">
        <w:rPr>
          <w:rFonts w:ascii="Arial" w:hAnsi="Arial" w:cs="Arial"/>
          <w:sz w:val="20"/>
        </w:rPr>
        <w:t xml:space="preserve">В рамките на ОСП по 1-ви стълб ще продължи </w:t>
      </w:r>
      <w:r w:rsidRPr="00292138">
        <w:rPr>
          <w:rFonts w:ascii="Arial" w:hAnsi="Arial" w:cs="Arial"/>
          <w:b/>
          <w:sz w:val="20"/>
        </w:rPr>
        <w:t>външното сближаване (конвергенция)</w:t>
      </w:r>
      <w:r w:rsidRPr="00292138">
        <w:rPr>
          <w:rFonts w:ascii="Arial" w:hAnsi="Arial" w:cs="Arial"/>
          <w:sz w:val="20"/>
        </w:rPr>
        <w:t xml:space="preserve"> на ДП. Всички държави членки (ДЧ) с ДП на хектар под 90% от средната стойност за ЕС ще намалят с 50% разликата между средното равнище на своите текущи директни плащания и 90 % от средната стойност за ЕС на шест равни стъпки, започвайки през 2022 г. Това сближаване ще бъде финансирано пропорционално от всички ДЧ. В допълнение всички ДЧ ще разполагат с равнище от поне 200 евро на хектар, като ще трябва да достигнат ниво от поне 215 евро на хектар до 2027 г. </w:t>
      </w:r>
    </w:p>
    <w:p w:rsidR="00617956" w:rsidRPr="00292138" w:rsidRDefault="00617956" w:rsidP="008B7A95">
      <w:pPr>
        <w:pStyle w:val="Default"/>
        <w:jc w:val="both"/>
        <w:rPr>
          <w:color w:val="auto"/>
          <w:sz w:val="20"/>
          <w:szCs w:val="20"/>
          <w:lang w:val="bg-BG"/>
        </w:rPr>
      </w:pPr>
      <w:r w:rsidRPr="00292138">
        <w:rPr>
          <w:color w:val="auto"/>
          <w:sz w:val="20"/>
          <w:szCs w:val="20"/>
          <w:lang w:val="bg-BG"/>
        </w:rPr>
        <w:t xml:space="preserve">На доброволен принцип ще бъде въведена </w:t>
      </w:r>
      <w:r w:rsidRPr="00292138">
        <w:rPr>
          <w:b/>
          <w:color w:val="auto"/>
          <w:sz w:val="20"/>
          <w:szCs w:val="20"/>
          <w:lang w:val="bg-BG"/>
        </w:rPr>
        <w:t>горна граница на директните плащания от 100 000 евро</w:t>
      </w:r>
      <w:r w:rsidRPr="00292138">
        <w:rPr>
          <w:color w:val="auto"/>
          <w:sz w:val="20"/>
          <w:szCs w:val="20"/>
          <w:lang w:val="bg-BG"/>
        </w:rPr>
        <w:t xml:space="preserve"> за големите бенефициенти. Тя ще се прилага само за основното подпомагане на доходите за устойчивост (BISS). При прилагането на горната граница ДЧ ще могат да приспадат от сумата на основното подпомагане на всеки бенефициент всички разходи, свързани с работната сила. </w:t>
      </w:r>
    </w:p>
    <w:p w:rsidR="00617956" w:rsidRPr="00292138" w:rsidRDefault="00617956" w:rsidP="008B7A95">
      <w:pPr>
        <w:pStyle w:val="Default"/>
        <w:jc w:val="both"/>
        <w:rPr>
          <w:color w:val="auto"/>
          <w:sz w:val="20"/>
          <w:szCs w:val="20"/>
          <w:lang w:val="bg-BG"/>
        </w:rPr>
      </w:pPr>
      <w:r w:rsidRPr="00292138">
        <w:rPr>
          <w:color w:val="auto"/>
          <w:sz w:val="20"/>
          <w:szCs w:val="20"/>
          <w:lang w:val="bg-BG"/>
        </w:rPr>
        <w:t xml:space="preserve">В началото на всяка година в рамките на Европейския фонд за гарантиране на земеделието (ЕФГЗ) се създава </w:t>
      </w:r>
      <w:r w:rsidRPr="00292138">
        <w:rPr>
          <w:b/>
          <w:color w:val="auto"/>
          <w:sz w:val="20"/>
          <w:szCs w:val="20"/>
          <w:lang w:val="bg-BG"/>
        </w:rPr>
        <w:t>резерв,</w:t>
      </w:r>
      <w:r w:rsidRPr="00292138">
        <w:rPr>
          <w:color w:val="auto"/>
          <w:sz w:val="20"/>
          <w:szCs w:val="20"/>
          <w:lang w:val="bg-BG"/>
        </w:rPr>
        <w:t xml:space="preserve"> чрез който да се оказва подкрепа на селскостопанския сектор с цел пазарно управление или стабилизация или в случай на кризи, засягащи селскостопанското производство или разпределение („селскостопански резерв“). Сумата по селскостопанския резерв е 450 млн. евро по текущи цени в началото на всяка година за периода 2021—2027 г. Неизползваните суми от този резерв през финансовата 2020 година ще бъдат пренесени към финансовата 2021 година с цел формиране на резерва (точните години ще бъдат синхронизирани с преходния период на ОСП).  </w:t>
      </w:r>
    </w:p>
    <w:p w:rsidR="00617956" w:rsidRPr="00292138" w:rsidRDefault="00617956" w:rsidP="008B7A95">
      <w:pPr>
        <w:jc w:val="both"/>
        <w:rPr>
          <w:rFonts w:ascii="Arial" w:hAnsi="Arial" w:cs="Arial"/>
          <w:sz w:val="20"/>
        </w:rPr>
      </w:pPr>
      <w:r w:rsidRPr="00292138">
        <w:rPr>
          <w:rFonts w:ascii="Arial" w:hAnsi="Arial" w:cs="Arial"/>
          <w:b/>
          <w:sz w:val="20"/>
        </w:rPr>
        <w:t>Бюджетните трансфери</w:t>
      </w:r>
      <w:r w:rsidRPr="00292138">
        <w:rPr>
          <w:rFonts w:ascii="Arial" w:hAnsi="Arial" w:cs="Arial"/>
          <w:sz w:val="20"/>
        </w:rPr>
        <w:t xml:space="preserve"> от </w:t>
      </w:r>
      <w:r w:rsidRPr="00292138">
        <w:rPr>
          <w:rFonts w:ascii="Arial" w:hAnsi="Arial" w:cs="Arial"/>
          <w:b/>
          <w:sz w:val="20"/>
        </w:rPr>
        <w:t>1-ви към 2-ри стълб</w:t>
      </w:r>
      <w:r w:rsidRPr="00292138">
        <w:rPr>
          <w:rFonts w:ascii="Arial" w:hAnsi="Arial" w:cs="Arial"/>
          <w:sz w:val="20"/>
        </w:rPr>
        <w:t xml:space="preserve"> на ОСП ще бъдат до 42%, като с 25% ще се финансират всяко действие, избрано от 2-ри стълб, 15% за финансиране само на действия в областта на околната среда и 2% за мерки в полза на младите земеделски стопани. Обратно, трансферите от </w:t>
      </w:r>
      <w:r w:rsidRPr="00292138">
        <w:rPr>
          <w:rFonts w:ascii="Arial" w:hAnsi="Arial" w:cs="Arial"/>
          <w:b/>
          <w:sz w:val="20"/>
        </w:rPr>
        <w:t>2-ри към 1-ви стълб</w:t>
      </w:r>
      <w:r w:rsidRPr="00292138">
        <w:rPr>
          <w:rFonts w:ascii="Arial" w:hAnsi="Arial" w:cs="Arial"/>
          <w:sz w:val="20"/>
        </w:rPr>
        <w:t xml:space="preserve"> могат да бъдат до 25% и могат да бъдат увеличени до 30% за ДЧ, чието директно подпомагане под 90% от средното за Европа.</w:t>
      </w:r>
    </w:p>
    <w:p w:rsidR="00617956" w:rsidRPr="00292138" w:rsidRDefault="00617956" w:rsidP="008B7A95">
      <w:pPr>
        <w:jc w:val="both"/>
        <w:rPr>
          <w:rFonts w:ascii="Arial" w:hAnsi="Arial" w:cs="Arial"/>
          <w:sz w:val="20"/>
        </w:rPr>
      </w:pPr>
      <w:r w:rsidRPr="00292138">
        <w:rPr>
          <w:rFonts w:ascii="Arial" w:hAnsi="Arial" w:cs="Arial"/>
          <w:b/>
          <w:sz w:val="20"/>
        </w:rPr>
        <w:t>В рамките на ОСП България ще има достъп до над 7 млрд. евро</w:t>
      </w:r>
      <w:r w:rsidRPr="00292138">
        <w:rPr>
          <w:rFonts w:ascii="Arial" w:hAnsi="Arial" w:cs="Arial"/>
          <w:sz w:val="20"/>
        </w:rPr>
        <w:t>, над 5 от които са за ДП и над 2 млрд. евро за развитие на селските райони (РСР) по предварителни изчисления.</w:t>
      </w:r>
    </w:p>
    <w:p w:rsidR="00617956" w:rsidRPr="00292138" w:rsidRDefault="00617956" w:rsidP="008B7A95">
      <w:pPr>
        <w:jc w:val="both"/>
        <w:rPr>
          <w:rFonts w:ascii="Arial" w:hAnsi="Arial" w:cs="Arial"/>
          <w:sz w:val="20"/>
        </w:rPr>
      </w:pPr>
      <w:r w:rsidRPr="00292138">
        <w:rPr>
          <w:rFonts w:ascii="Arial" w:hAnsi="Arial" w:cs="Arial"/>
          <w:sz w:val="20"/>
        </w:rPr>
        <w:t>Това ще позволи повишаване на средствата за ДП прогнозно с около 5% в сравнение с текущия финансов период и от 5,3 млрд. евро да станат 5,6 млрд. евро, благодарение на прилагането на механизма за външна конвергенция. Прогнозно осредненото плащане на хектар до 2027 г. следва да достигне 219 евро/ха.</w:t>
      </w:r>
    </w:p>
    <w:p w:rsidR="00617956" w:rsidRPr="00292138" w:rsidRDefault="00617956" w:rsidP="008B7A95">
      <w:pPr>
        <w:jc w:val="both"/>
        <w:rPr>
          <w:rFonts w:ascii="Arial" w:hAnsi="Arial" w:cs="Arial"/>
          <w:sz w:val="20"/>
        </w:rPr>
      </w:pPr>
      <w:r w:rsidRPr="00292138">
        <w:rPr>
          <w:rFonts w:ascii="Arial" w:hAnsi="Arial" w:cs="Arial"/>
          <w:sz w:val="20"/>
        </w:rPr>
        <w:t xml:space="preserve">Очакванията са предвиденият финансов ресурс да позволи повишаване на средствата за РСР за България с 250 млн. евро от ЕЗФРСР, или 10% повече в сравнение с първоначалното предложение на ЕК от 2018 г. С увеличението спрямо 2018 г. средствата за ЕЗФРСР от 1.97 млрд. евро достигат  2.2 млрд. евро по текущи цени.  </w:t>
      </w:r>
    </w:p>
    <w:p w:rsidR="0001496E" w:rsidRPr="0002016E" w:rsidRDefault="00617956" w:rsidP="008B7A95">
      <w:pPr>
        <w:jc w:val="both"/>
        <w:rPr>
          <w:rStyle w:val="longtext"/>
          <w:noProof/>
        </w:rPr>
      </w:pPr>
      <w:r w:rsidRPr="00292138">
        <w:rPr>
          <w:rFonts w:ascii="Arial" w:hAnsi="Arial" w:cs="Arial"/>
          <w:sz w:val="20"/>
        </w:rPr>
        <w:t xml:space="preserve">Пакетът за МФР предстои да бъде представен за съгласуване с Европейския парламент.  </w:t>
      </w:r>
    </w:p>
    <w:sectPr w:rsidR="0001496E" w:rsidRPr="0002016E" w:rsidSect="00852688">
      <w:headerReference w:type="default" r:id="rId11"/>
      <w:footerReference w:type="even" r:id="rId12"/>
      <w:footerReference w:type="default" r:id="rId13"/>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A20" w:rsidRDefault="008C1A20">
      <w:r>
        <w:separator/>
      </w:r>
    </w:p>
  </w:endnote>
  <w:endnote w:type="continuationSeparator" w:id="0">
    <w:p w:rsidR="008C1A20" w:rsidRDefault="008C1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C1A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C1A20"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9C11B2">
      <w:rPr>
        <w:rFonts w:ascii="Arial" w:hAnsi="Arial"/>
        <w:i/>
        <w:iCs/>
        <w:noProof/>
        <w:color w:val="800080"/>
        <w:sz w:val="18"/>
        <w:szCs w:val="18"/>
      </w:rPr>
      <w:t>4</w:t>
    </w:r>
    <w:r w:rsidRPr="004B3CB3">
      <w:rPr>
        <w:rFonts w:ascii="Arial" w:hAnsi="Arial"/>
        <w:i/>
        <w:iCs/>
        <w:color w:val="800080"/>
        <w:sz w:val="18"/>
        <w:szCs w:val="18"/>
      </w:rPr>
      <w:fldChar w:fldCharType="end"/>
    </w:r>
  </w:p>
  <w:p w:rsidR="005618E1" w:rsidRPr="004B3CB3" w:rsidRDefault="008C1A20">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A20" w:rsidRDefault="008C1A20">
      <w:r>
        <w:separator/>
      </w:r>
    </w:p>
  </w:footnote>
  <w:footnote w:type="continuationSeparator" w:id="0">
    <w:p w:rsidR="008C1A20" w:rsidRDefault="008C1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zh-TW"/>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8C1A20"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8C1A20">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527A50">
      <w:rPr>
        <w:rFonts w:ascii="Arial" w:hAnsi="Arial"/>
        <w:b/>
        <w:bCs/>
        <w:color w:val="800080"/>
        <w:sz w:val="20"/>
        <w:lang w:val="en-US"/>
      </w:rPr>
      <w:t>30</w:t>
    </w:r>
    <w:r>
      <w:rPr>
        <w:rFonts w:ascii="Arial" w:hAnsi="Arial"/>
        <w:b/>
        <w:bCs/>
        <w:color w:val="800080"/>
        <w:sz w:val="20"/>
      </w:rPr>
      <w:t>/</w:t>
    </w:r>
    <w:r w:rsidR="00A741E2">
      <w:rPr>
        <w:rFonts w:ascii="Arial" w:hAnsi="Arial"/>
        <w:b/>
        <w:bCs/>
        <w:color w:val="800080"/>
        <w:sz w:val="20"/>
      </w:rPr>
      <w:t>2</w:t>
    </w:r>
    <w:r w:rsidR="00527A50">
      <w:rPr>
        <w:rFonts w:ascii="Arial" w:hAnsi="Arial"/>
        <w:b/>
        <w:bCs/>
        <w:color w:val="800080"/>
        <w:sz w:val="20"/>
      </w:rPr>
      <w:t>7</w:t>
    </w:r>
    <w:r w:rsidR="006E7A46">
      <w:rPr>
        <w:rFonts w:ascii="Arial" w:hAnsi="Arial"/>
        <w:b/>
        <w:bCs/>
        <w:color w:val="800080"/>
        <w:sz w:val="20"/>
        <w:lang w:val="en-US"/>
      </w:rPr>
      <w:t>.</w:t>
    </w:r>
    <w:r w:rsidR="002C512F">
      <w:rPr>
        <w:rFonts w:ascii="Arial" w:hAnsi="Arial"/>
        <w:b/>
        <w:bCs/>
        <w:color w:val="800080"/>
        <w:sz w:val="20"/>
        <w:lang w:val="en-US"/>
      </w:rPr>
      <w:t>0</w:t>
    </w:r>
    <w:r w:rsidR="007B2DB0">
      <w:rPr>
        <w:rFonts w:ascii="Arial" w:hAnsi="Arial"/>
        <w:b/>
        <w:bCs/>
        <w:color w:val="800080"/>
        <w:sz w:val="20"/>
        <w:lang w:val="en-US"/>
      </w:rPr>
      <w:t>7</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144D9"/>
    <w:rsid w:val="0001496E"/>
    <w:rsid w:val="0002016E"/>
    <w:rsid w:val="0002497A"/>
    <w:rsid w:val="00024DB1"/>
    <w:rsid w:val="00032EDB"/>
    <w:rsid w:val="0004366B"/>
    <w:rsid w:val="00046BB0"/>
    <w:rsid w:val="00046D50"/>
    <w:rsid w:val="00050832"/>
    <w:rsid w:val="000518AE"/>
    <w:rsid w:val="00056231"/>
    <w:rsid w:val="0005714A"/>
    <w:rsid w:val="000576D0"/>
    <w:rsid w:val="0006687D"/>
    <w:rsid w:val="000678FD"/>
    <w:rsid w:val="0007208A"/>
    <w:rsid w:val="00081DAE"/>
    <w:rsid w:val="00091CD4"/>
    <w:rsid w:val="000A31F0"/>
    <w:rsid w:val="000A7CFB"/>
    <w:rsid w:val="000B2026"/>
    <w:rsid w:val="000B3B85"/>
    <w:rsid w:val="000B7B54"/>
    <w:rsid w:val="000C72E3"/>
    <w:rsid w:val="000F3D2D"/>
    <w:rsid w:val="001164FC"/>
    <w:rsid w:val="001173C3"/>
    <w:rsid w:val="00117955"/>
    <w:rsid w:val="00117A81"/>
    <w:rsid w:val="00120AD2"/>
    <w:rsid w:val="00131A6D"/>
    <w:rsid w:val="00134872"/>
    <w:rsid w:val="0013606E"/>
    <w:rsid w:val="00141A95"/>
    <w:rsid w:val="0014608C"/>
    <w:rsid w:val="001639CC"/>
    <w:rsid w:val="00170DF4"/>
    <w:rsid w:val="00173E25"/>
    <w:rsid w:val="00180311"/>
    <w:rsid w:val="00180441"/>
    <w:rsid w:val="00186654"/>
    <w:rsid w:val="00193EEE"/>
    <w:rsid w:val="0019617C"/>
    <w:rsid w:val="001A6A7A"/>
    <w:rsid w:val="001B1430"/>
    <w:rsid w:val="001B2D6A"/>
    <w:rsid w:val="001B5399"/>
    <w:rsid w:val="001C3F62"/>
    <w:rsid w:val="001C5BC3"/>
    <w:rsid w:val="001E1EAA"/>
    <w:rsid w:val="001E1F98"/>
    <w:rsid w:val="001E4050"/>
    <w:rsid w:val="001E4C01"/>
    <w:rsid w:val="001F2EC7"/>
    <w:rsid w:val="001F396B"/>
    <w:rsid w:val="00210721"/>
    <w:rsid w:val="002118F6"/>
    <w:rsid w:val="00215B7E"/>
    <w:rsid w:val="002163C0"/>
    <w:rsid w:val="00221CDF"/>
    <w:rsid w:val="0023339B"/>
    <w:rsid w:val="0024496F"/>
    <w:rsid w:val="0024546F"/>
    <w:rsid w:val="00251328"/>
    <w:rsid w:val="002521C1"/>
    <w:rsid w:val="002610A9"/>
    <w:rsid w:val="002653C2"/>
    <w:rsid w:val="00274F4E"/>
    <w:rsid w:val="00275471"/>
    <w:rsid w:val="00285183"/>
    <w:rsid w:val="0029075B"/>
    <w:rsid w:val="002918DE"/>
    <w:rsid w:val="00291A66"/>
    <w:rsid w:val="0029220D"/>
    <w:rsid w:val="002A2BBE"/>
    <w:rsid w:val="002A2C5F"/>
    <w:rsid w:val="002A5150"/>
    <w:rsid w:val="002A566C"/>
    <w:rsid w:val="002A6A4C"/>
    <w:rsid w:val="002B379D"/>
    <w:rsid w:val="002B44DA"/>
    <w:rsid w:val="002C21A3"/>
    <w:rsid w:val="002C512F"/>
    <w:rsid w:val="002C6EFE"/>
    <w:rsid w:val="002D0216"/>
    <w:rsid w:val="002D1A87"/>
    <w:rsid w:val="002D25F9"/>
    <w:rsid w:val="002D4BE9"/>
    <w:rsid w:val="002F1104"/>
    <w:rsid w:val="002F3080"/>
    <w:rsid w:val="002F6211"/>
    <w:rsid w:val="002F7E40"/>
    <w:rsid w:val="00300FA3"/>
    <w:rsid w:val="00303C35"/>
    <w:rsid w:val="00304D05"/>
    <w:rsid w:val="00305C45"/>
    <w:rsid w:val="00312DA6"/>
    <w:rsid w:val="00313FBA"/>
    <w:rsid w:val="00320AF0"/>
    <w:rsid w:val="0033369E"/>
    <w:rsid w:val="00350E9F"/>
    <w:rsid w:val="00353ACF"/>
    <w:rsid w:val="00374E31"/>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07F6D"/>
    <w:rsid w:val="00411829"/>
    <w:rsid w:val="00412AFD"/>
    <w:rsid w:val="004133A8"/>
    <w:rsid w:val="00414784"/>
    <w:rsid w:val="00422311"/>
    <w:rsid w:val="00422CDC"/>
    <w:rsid w:val="004317EA"/>
    <w:rsid w:val="0043388D"/>
    <w:rsid w:val="0044148C"/>
    <w:rsid w:val="00446398"/>
    <w:rsid w:val="00452F9D"/>
    <w:rsid w:val="0046415A"/>
    <w:rsid w:val="004923C1"/>
    <w:rsid w:val="00496775"/>
    <w:rsid w:val="004A0254"/>
    <w:rsid w:val="004A4C92"/>
    <w:rsid w:val="004B46D9"/>
    <w:rsid w:val="004F4705"/>
    <w:rsid w:val="004F5E4F"/>
    <w:rsid w:val="00502A0A"/>
    <w:rsid w:val="00504E8D"/>
    <w:rsid w:val="0051071D"/>
    <w:rsid w:val="005159B7"/>
    <w:rsid w:val="005179AD"/>
    <w:rsid w:val="00517F21"/>
    <w:rsid w:val="00523D20"/>
    <w:rsid w:val="005247A5"/>
    <w:rsid w:val="0052706F"/>
    <w:rsid w:val="005279E4"/>
    <w:rsid w:val="00527A50"/>
    <w:rsid w:val="00530C09"/>
    <w:rsid w:val="00537A32"/>
    <w:rsid w:val="00542DE9"/>
    <w:rsid w:val="00542E84"/>
    <w:rsid w:val="00550360"/>
    <w:rsid w:val="00562C02"/>
    <w:rsid w:val="00563064"/>
    <w:rsid w:val="00594324"/>
    <w:rsid w:val="00596313"/>
    <w:rsid w:val="005A0184"/>
    <w:rsid w:val="005B1884"/>
    <w:rsid w:val="005B4574"/>
    <w:rsid w:val="005C1BB7"/>
    <w:rsid w:val="005F3548"/>
    <w:rsid w:val="006068B4"/>
    <w:rsid w:val="00617956"/>
    <w:rsid w:val="00623765"/>
    <w:rsid w:val="00626A3F"/>
    <w:rsid w:val="00627881"/>
    <w:rsid w:val="006367A9"/>
    <w:rsid w:val="00642BB6"/>
    <w:rsid w:val="0066444F"/>
    <w:rsid w:val="00667C81"/>
    <w:rsid w:val="006809BC"/>
    <w:rsid w:val="00682667"/>
    <w:rsid w:val="006961F0"/>
    <w:rsid w:val="006A094F"/>
    <w:rsid w:val="006A7391"/>
    <w:rsid w:val="006A739D"/>
    <w:rsid w:val="006C196D"/>
    <w:rsid w:val="006E7A46"/>
    <w:rsid w:val="006F38F7"/>
    <w:rsid w:val="0070200F"/>
    <w:rsid w:val="00705B40"/>
    <w:rsid w:val="00713942"/>
    <w:rsid w:val="00714838"/>
    <w:rsid w:val="007178AB"/>
    <w:rsid w:val="00720E60"/>
    <w:rsid w:val="00723155"/>
    <w:rsid w:val="0072576F"/>
    <w:rsid w:val="00726AB6"/>
    <w:rsid w:val="00734448"/>
    <w:rsid w:val="00750FB4"/>
    <w:rsid w:val="00767AA8"/>
    <w:rsid w:val="007712FE"/>
    <w:rsid w:val="00782D3D"/>
    <w:rsid w:val="007846E5"/>
    <w:rsid w:val="007A388B"/>
    <w:rsid w:val="007A70E6"/>
    <w:rsid w:val="007B03F2"/>
    <w:rsid w:val="007B0CB0"/>
    <w:rsid w:val="007B2DB0"/>
    <w:rsid w:val="007C3F39"/>
    <w:rsid w:val="007C75B4"/>
    <w:rsid w:val="007D7438"/>
    <w:rsid w:val="007E2D2C"/>
    <w:rsid w:val="007E46F1"/>
    <w:rsid w:val="007E475C"/>
    <w:rsid w:val="007F4E89"/>
    <w:rsid w:val="008030C3"/>
    <w:rsid w:val="00811B89"/>
    <w:rsid w:val="00816686"/>
    <w:rsid w:val="0082007C"/>
    <w:rsid w:val="0082041E"/>
    <w:rsid w:val="008206C1"/>
    <w:rsid w:val="00821E30"/>
    <w:rsid w:val="0083184F"/>
    <w:rsid w:val="0083232B"/>
    <w:rsid w:val="00845489"/>
    <w:rsid w:val="008523EE"/>
    <w:rsid w:val="00852DE4"/>
    <w:rsid w:val="00861450"/>
    <w:rsid w:val="00865E24"/>
    <w:rsid w:val="0087702E"/>
    <w:rsid w:val="0087763E"/>
    <w:rsid w:val="008803A4"/>
    <w:rsid w:val="008836F2"/>
    <w:rsid w:val="008933AB"/>
    <w:rsid w:val="008A1360"/>
    <w:rsid w:val="008B2118"/>
    <w:rsid w:val="008B7A95"/>
    <w:rsid w:val="008C1A20"/>
    <w:rsid w:val="008D0E78"/>
    <w:rsid w:val="008D2FF4"/>
    <w:rsid w:val="008D58EC"/>
    <w:rsid w:val="008D7A9E"/>
    <w:rsid w:val="008E0F81"/>
    <w:rsid w:val="008E68B0"/>
    <w:rsid w:val="008F1C90"/>
    <w:rsid w:val="008F7ECC"/>
    <w:rsid w:val="009010C3"/>
    <w:rsid w:val="009063C7"/>
    <w:rsid w:val="0090678A"/>
    <w:rsid w:val="00910462"/>
    <w:rsid w:val="00912A06"/>
    <w:rsid w:val="00917F99"/>
    <w:rsid w:val="009203FA"/>
    <w:rsid w:val="00934FA6"/>
    <w:rsid w:val="009355BA"/>
    <w:rsid w:val="00936F1A"/>
    <w:rsid w:val="0094133F"/>
    <w:rsid w:val="00955B0D"/>
    <w:rsid w:val="00956512"/>
    <w:rsid w:val="009704A2"/>
    <w:rsid w:val="00975F09"/>
    <w:rsid w:val="00977CA7"/>
    <w:rsid w:val="0099695D"/>
    <w:rsid w:val="009A2752"/>
    <w:rsid w:val="009A5D09"/>
    <w:rsid w:val="009B1FAD"/>
    <w:rsid w:val="009C11B2"/>
    <w:rsid w:val="009D0924"/>
    <w:rsid w:val="009D6F1E"/>
    <w:rsid w:val="009E45D3"/>
    <w:rsid w:val="009E6BDB"/>
    <w:rsid w:val="009F4E95"/>
    <w:rsid w:val="009F7022"/>
    <w:rsid w:val="00A02393"/>
    <w:rsid w:val="00A1170C"/>
    <w:rsid w:val="00A15D87"/>
    <w:rsid w:val="00A227FC"/>
    <w:rsid w:val="00A25AAA"/>
    <w:rsid w:val="00A447C0"/>
    <w:rsid w:val="00A50E2C"/>
    <w:rsid w:val="00A5214D"/>
    <w:rsid w:val="00A56825"/>
    <w:rsid w:val="00A673EB"/>
    <w:rsid w:val="00A741E2"/>
    <w:rsid w:val="00A74737"/>
    <w:rsid w:val="00A77E07"/>
    <w:rsid w:val="00A77EC5"/>
    <w:rsid w:val="00AA0722"/>
    <w:rsid w:val="00AB140A"/>
    <w:rsid w:val="00AB1841"/>
    <w:rsid w:val="00AB2303"/>
    <w:rsid w:val="00AC52D6"/>
    <w:rsid w:val="00AC73DE"/>
    <w:rsid w:val="00AD504F"/>
    <w:rsid w:val="00AE0D25"/>
    <w:rsid w:val="00AE14FF"/>
    <w:rsid w:val="00AE2FF4"/>
    <w:rsid w:val="00B03285"/>
    <w:rsid w:val="00B16835"/>
    <w:rsid w:val="00B16C07"/>
    <w:rsid w:val="00B200ED"/>
    <w:rsid w:val="00B3223C"/>
    <w:rsid w:val="00B34793"/>
    <w:rsid w:val="00B36E39"/>
    <w:rsid w:val="00B411AC"/>
    <w:rsid w:val="00B539A9"/>
    <w:rsid w:val="00B6207E"/>
    <w:rsid w:val="00B64F87"/>
    <w:rsid w:val="00B73DA3"/>
    <w:rsid w:val="00B81125"/>
    <w:rsid w:val="00B8112B"/>
    <w:rsid w:val="00B853D4"/>
    <w:rsid w:val="00B873EA"/>
    <w:rsid w:val="00B90317"/>
    <w:rsid w:val="00B93F21"/>
    <w:rsid w:val="00BA2A9E"/>
    <w:rsid w:val="00BB4446"/>
    <w:rsid w:val="00BC35B8"/>
    <w:rsid w:val="00BC70E2"/>
    <w:rsid w:val="00BE0FE4"/>
    <w:rsid w:val="00BE55CA"/>
    <w:rsid w:val="00BF118B"/>
    <w:rsid w:val="00BF28EC"/>
    <w:rsid w:val="00BF7565"/>
    <w:rsid w:val="00C00F88"/>
    <w:rsid w:val="00C05E95"/>
    <w:rsid w:val="00C20809"/>
    <w:rsid w:val="00C3643A"/>
    <w:rsid w:val="00C37B23"/>
    <w:rsid w:val="00C44608"/>
    <w:rsid w:val="00C574EE"/>
    <w:rsid w:val="00C60D17"/>
    <w:rsid w:val="00C6312D"/>
    <w:rsid w:val="00C70511"/>
    <w:rsid w:val="00C718EB"/>
    <w:rsid w:val="00C71F16"/>
    <w:rsid w:val="00C7577F"/>
    <w:rsid w:val="00C801BF"/>
    <w:rsid w:val="00C96E9D"/>
    <w:rsid w:val="00C97050"/>
    <w:rsid w:val="00CA35A8"/>
    <w:rsid w:val="00CA40F5"/>
    <w:rsid w:val="00CA6CB8"/>
    <w:rsid w:val="00CA7960"/>
    <w:rsid w:val="00CB196D"/>
    <w:rsid w:val="00CB2886"/>
    <w:rsid w:val="00CC7CF0"/>
    <w:rsid w:val="00CD304C"/>
    <w:rsid w:val="00CE5641"/>
    <w:rsid w:val="00CE5E69"/>
    <w:rsid w:val="00CE7025"/>
    <w:rsid w:val="00CF0DEA"/>
    <w:rsid w:val="00D000AE"/>
    <w:rsid w:val="00D100BD"/>
    <w:rsid w:val="00D118DE"/>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A44A9"/>
    <w:rsid w:val="00DA4860"/>
    <w:rsid w:val="00DC502B"/>
    <w:rsid w:val="00DC5A8E"/>
    <w:rsid w:val="00DD1C95"/>
    <w:rsid w:val="00DE752F"/>
    <w:rsid w:val="00DF7E91"/>
    <w:rsid w:val="00E02B6A"/>
    <w:rsid w:val="00E17E07"/>
    <w:rsid w:val="00E2125A"/>
    <w:rsid w:val="00E23670"/>
    <w:rsid w:val="00E24FA2"/>
    <w:rsid w:val="00E256E7"/>
    <w:rsid w:val="00E32DB5"/>
    <w:rsid w:val="00E350AD"/>
    <w:rsid w:val="00E35D6F"/>
    <w:rsid w:val="00E4290A"/>
    <w:rsid w:val="00E44DF1"/>
    <w:rsid w:val="00E47639"/>
    <w:rsid w:val="00E51A6D"/>
    <w:rsid w:val="00E5449B"/>
    <w:rsid w:val="00E6099A"/>
    <w:rsid w:val="00E60B1D"/>
    <w:rsid w:val="00E67885"/>
    <w:rsid w:val="00E80A45"/>
    <w:rsid w:val="00E828B4"/>
    <w:rsid w:val="00EA4B29"/>
    <w:rsid w:val="00EA4B99"/>
    <w:rsid w:val="00EA5878"/>
    <w:rsid w:val="00EB0F17"/>
    <w:rsid w:val="00EB289B"/>
    <w:rsid w:val="00EB4927"/>
    <w:rsid w:val="00EB783C"/>
    <w:rsid w:val="00EB7BA6"/>
    <w:rsid w:val="00EC0DDC"/>
    <w:rsid w:val="00EC4213"/>
    <w:rsid w:val="00EC6BA3"/>
    <w:rsid w:val="00EE1065"/>
    <w:rsid w:val="00EE38E7"/>
    <w:rsid w:val="00EE70E7"/>
    <w:rsid w:val="00EE7B1B"/>
    <w:rsid w:val="00F029F3"/>
    <w:rsid w:val="00F02F9B"/>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5033"/>
    <w:rsid w:val="00FD4196"/>
    <w:rsid w:val="00FD5503"/>
    <w:rsid w:val="00FE14C1"/>
    <w:rsid w:val="00FE4D8F"/>
    <w:rsid w:val="00FE4FAD"/>
    <w:rsid w:val="00FE657F"/>
    <w:rsid w:val="00FF041A"/>
    <w:rsid w:val="00FF2308"/>
    <w:rsid w:val="00FF3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onsilium.europa.eu/bg/policies/long-term-eu-budget-2021-2027/" TargetMode="External"/><Relationship Id="rId4" Type="http://schemas.microsoft.com/office/2007/relationships/stylesWithEffects" Target="stylesWithEffects.xml"/><Relationship Id="rId9" Type="http://schemas.openxmlformats.org/officeDocument/2006/relationships/hyperlink" Target="https://www.consilium.europa.eu/bg/meetings/european-council/2020/07/17-2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0BE12-E46A-4013-9CEC-52C040D3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34</cp:revision>
  <dcterms:created xsi:type="dcterms:W3CDTF">2020-07-27T09:54:00Z</dcterms:created>
  <dcterms:modified xsi:type="dcterms:W3CDTF">2020-07-27T12:29:00Z</dcterms:modified>
</cp:coreProperties>
</file>