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08" w:type="dxa"/>
        <w:tblLook w:val="01E0" w:firstRow="1" w:lastRow="1" w:firstColumn="1" w:lastColumn="1" w:noHBand="0" w:noVBand="0"/>
      </w:tblPr>
      <w:tblGrid>
        <w:gridCol w:w="9923"/>
      </w:tblGrid>
      <w:tr w:rsidR="001B1430" w:rsidRPr="006E7A46" w14:paraId="1F85CFD7" w14:textId="77777777" w:rsidTr="00F73636">
        <w:tc>
          <w:tcPr>
            <w:tcW w:w="9923" w:type="dxa"/>
            <w:shd w:val="clear" w:color="auto" w:fill="C0C0C0"/>
          </w:tcPr>
          <w:p w14:paraId="1E618DB3" w14:textId="77777777" w:rsidR="001B1430" w:rsidRPr="006E7A46" w:rsidRDefault="001B1430" w:rsidP="00F73636">
            <w:pPr>
              <w:jc w:val="both"/>
              <w:rPr>
                <w:rFonts w:ascii="Arial" w:hAnsi="Arial" w:cs="Arial"/>
                <w:b/>
                <w:i/>
                <w:sz w:val="20"/>
              </w:rPr>
            </w:pPr>
            <w:r w:rsidRPr="006E7A46">
              <w:rPr>
                <w:rFonts w:ascii="Arial" w:hAnsi="Arial" w:cs="Arial"/>
                <w:b/>
                <w:i/>
                <w:sz w:val="20"/>
              </w:rPr>
              <w:t>Директни плащания</w:t>
            </w:r>
          </w:p>
        </w:tc>
      </w:tr>
    </w:tbl>
    <w:p w14:paraId="6B832D57" w14:textId="77777777" w:rsidR="00FE4D8F" w:rsidRDefault="00FE4D8F" w:rsidP="001B1430">
      <w:pPr>
        <w:jc w:val="both"/>
        <w:rPr>
          <w:rStyle w:val="longtext"/>
          <w:rFonts w:ascii="Arial" w:hAnsi="Arial" w:cs="Arial"/>
          <w:b/>
          <w:sz w:val="20"/>
          <w:lang w:val="en-US"/>
        </w:rPr>
      </w:pPr>
    </w:p>
    <w:p w14:paraId="226F5253" w14:textId="77777777" w:rsidR="00F5426C" w:rsidRPr="00A45553" w:rsidRDefault="006B77AC" w:rsidP="006B77AC">
      <w:pPr>
        <w:pStyle w:val="ListParagraph"/>
        <w:spacing w:line="240" w:lineRule="auto"/>
        <w:ind w:left="0"/>
        <w:jc w:val="both"/>
        <w:rPr>
          <w:rFonts w:ascii="Arial" w:hAnsi="Arial" w:cs="Arial"/>
          <w:noProof/>
          <w:sz w:val="20"/>
        </w:rPr>
      </w:pPr>
      <w:r w:rsidRPr="00A45553">
        <w:rPr>
          <w:rFonts w:ascii="Arial" w:hAnsi="Arial" w:cs="Arial"/>
          <w:b/>
          <w:noProof/>
          <w:sz w:val="20"/>
        </w:rPr>
        <w:t xml:space="preserve">1. </w:t>
      </w:r>
      <w:r w:rsidR="00F5426C" w:rsidRPr="00A45553">
        <w:rPr>
          <w:rFonts w:ascii="Arial" w:hAnsi="Arial" w:cs="Arial"/>
          <w:b/>
          <w:noProof/>
          <w:sz w:val="20"/>
        </w:rPr>
        <w:t>От</w:t>
      </w:r>
      <w:r w:rsidR="00F5426C" w:rsidRPr="00A45553">
        <w:rPr>
          <w:rFonts w:ascii="Times New Roman" w:hAnsi="Times New Roman"/>
          <w:noProof/>
          <w:szCs w:val="24"/>
        </w:rPr>
        <w:t xml:space="preserve"> </w:t>
      </w:r>
      <w:r w:rsidR="00F5426C" w:rsidRPr="00A45553">
        <w:rPr>
          <w:rFonts w:ascii="Arial" w:hAnsi="Arial" w:cs="Arial"/>
          <w:b/>
          <w:noProof/>
          <w:sz w:val="20"/>
        </w:rPr>
        <w:t xml:space="preserve">18 юни, започнаха теренните проверки по подадените заявления за директни плащания за Кампания 2020. </w:t>
      </w:r>
      <w:r w:rsidR="00F5426C" w:rsidRPr="00A45553">
        <w:rPr>
          <w:rFonts w:ascii="Arial" w:hAnsi="Arial" w:cs="Arial"/>
          <w:noProof/>
          <w:sz w:val="20"/>
        </w:rPr>
        <w:t xml:space="preserve">Проверките започнаха с посещения на място на декларираните площи по схемите за обвързано подпомагане за зеленчуци. </w:t>
      </w:r>
      <w:r w:rsidR="005578CC" w:rsidRPr="00A45553">
        <w:rPr>
          <w:rFonts w:ascii="Arial" w:hAnsi="Arial" w:cs="Arial"/>
          <w:noProof/>
          <w:sz w:val="20"/>
        </w:rPr>
        <w:t>По време на проверките се и</w:t>
      </w:r>
      <w:r w:rsidR="00F5426C" w:rsidRPr="00A45553">
        <w:rPr>
          <w:rFonts w:ascii="Arial" w:hAnsi="Arial" w:cs="Arial"/>
          <w:noProof/>
          <w:sz w:val="20"/>
        </w:rPr>
        <w:t>змерва</w:t>
      </w:r>
      <w:r w:rsidR="005578CC" w:rsidRPr="00A45553">
        <w:rPr>
          <w:rFonts w:ascii="Arial" w:hAnsi="Arial" w:cs="Arial"/>
          <w:noProof/>
          <w:sz w:val="20"/>
        </w:rPr>
        <w:t>т</w:t>
      </w:r>
      <w:r w:rsidR="00F5426C" w:rsidRPr="00A45553">
        <w:rPr>
          <w:rFonts w:ascii="Arial" w:hAnsi="Arial" w:cs="Arial"/>
          <w:noProof/>
          <w:sz w:val="20"/>
        </w:rPr>
        <w:t xml:space="preserve"> </w:t>
      </w:r>
      <w:r w:rsidR="005578CC" w:rsidRPr="00A45553">
        <w:rPr>
          <w:rFonts w:ascii="Arial" w:hAnsi="Arial" w:cs="Arial"/>
          <w:noProof/>
          <w:sz w:val="20"/>
        </w:rPr>
        <w:t>размерите</w:t>
      </w:r>
      <w:r w:rsidR="00F5426C" w:rsidRPr="00A45553">
        <w:rPr>
          <w:rFonts w:ascii="Arial" w:hAnsi="Arial" w:cs="Arial"/>
          <w:noProof/>
          <w:sz w:val="20"/>
        </w:rPr>
        <w:t xml:space="preserve"> на парцелите и се констатира наличието на заявените за подпомогне култури. Установява се още и дали са спазени минималните агротехнически мероприятия, които да гарантират получаването на добиви</w:t>
      </w:r>
      <w:r w:rsidR="003D7D61" w:rsidRPr="00A45553">
        <w:rPr>
          <w:rFonts w:ascii="Arial" w:hAnsi="Arial" w:cs="Arial"/>
          <w:noProof/>
          <w:sz w:val="20"/>
        </w:rPr>
        <w:t xml:space="preserve">. </w:t>
      </w:r>
      <w:r w:rsidR="00F5426C" w:rsidRPr="00A45553">
        <w:rPr>
          <w:rFonts w:ascii="Arial" w:hAnsi="Arial" w:cs="Arial"/>
          <w:noProof/>
          <w:sz w:val="20"/>
        </w:rPr>
        <w:t xml:space="preserve"> </w:t>
      </w:r>
      <w:r w:rsidRPr="00A45553">
        <w:rPr>
          <w:rFonts w:ascii="Arial" w:hAnsi="Arial" w:cs="Arial"/>
          <w:noProof/>
          <w:sz w:val="20"/>
        </w:rPr>
        <w:t>Избраните за посещения на място култури са</w:t>
      </w:r>
      <w:r w:rsidR="00F5426C" w:rsidRPr="00A45553">
        <w:rPr>
          <w:rFonts w:ascii="Arial" w:hAnsi="Arial" w:cs="Arial"/>
          <w:noProof/>
          <w:sz w:val="20"/>
        </w:rPr>
        <w:t xml:space="preserve">: домати - оранжерийно производство, пипер - оранжерийно производство, краставици - оранжерийно производство, домати на открито, пипер на открито, краставици на открито, корнишони на открито, лук, чесън, картофи. </w:t>
      </w:r>
      <w:r w:rsidRPr="00A45553">
        <w:rPr>
          <w:rFonts w:ascii="Arial" w:hAnsi="Arial" w:cs="Arial"/>
          <w:noProof/>
          <w:sz w:val="20"/>
        </w:rPr>
        <w:t xml:space="preserve">Те са определени след анализ на резултатите от извършените проверки през 2019 г. и спрямо подадените заявления за Kампания 2020. </w:t>
      </w:r>
      <w:r w:rsidR="00F5426C" w:rsidRPr="00A45553">
        <w:rPr>
          <w:rFonts w:ascii="Arial" w:hAnsi="Arial" w:cs="Arial"/>
          <w:noProof/>
          <w:sz w:val="20"/>
        </w:rPr>
        <w:t>Ще се проверяват и кандидати с констатирани несъответствия от миналата година, които за Кампания 2020 са заявили отново схеми за обвързано подпомагане за зеленчуци.</w:t>
      </w:r>
      <w:r w:rsidR="003D7D61" w:rsidRPr="00A45553">
        <w:rPr>
          <w:rFonts w:ascii="Arial" w:hAnsi="Arial" w:cs="Arial"/>
          <w:noProof/>
          <w:sz w:val="20"/>
        </w:rPr>
        <w:t xml:space="preserve"> През 2019 г. теренните проверки по схемите за обвързана подкрепа в сектор „Плодове и зеленчуци“ бяха увеличени на 50% спрямо изискваните по европейско законодателство 5% от заявените площи.</w:t>
      </w:r>
    </w:p>
    <w:p w14:paraId="23B60D66" w14:textId="77777777" w:rsidR="00D8580C" w:rsidRPr="00A45553" w:rsidRDefault="00D8580C" w:rsidP="00D8580C">
      <w:pPr>
        <w:jc w:val="both"/>
        <w:rPr>
          <w:rFonts w:ascii="Arial" w:eastAsiaTheme="minorHAnsi" w:hAnsi="Arial" w:cs="Arial"/>
          <w:b/>
          <w:bCs/>
          <w:noProof/>
          <w:sz w:val="20"/>
        </w:rPr>
      </w:pPr>
      <w:r w:rsidRPr="00A45553">
        <w:rPr>
          <w:rFonts w:ascii="Arial" w:hAnsi="Arial" w:cs="Arial"/>
          <w:b/>
          <w:noProof/>
          <w:sz w:val="20"/>
        </w:rPr>
        <w:t xml:space="preserve">2. </w:t>
      </w:r>
      <w:r w:rsidR="00210DBD" w:rsidRPr="00A45553">
        <w:rPr>
          <w:rFonts w:ascii="Arial" w:eastAsiaTheme="minorHAnsi" w:hAnsi="Arial" w:cs="Arial"/>
          <w:b/>
          <w:bCs/>
          <w:noProof/>
          <w:sz w:val="20"/>
        </w:rPr>
        <w:t xml:space="preserve">На 15 юни приключи Кампания 2020 за подаване на заявления за директни плащания 2020 г. </w:t>
      </w:r>
      <w:r w:rsidR="009F54DC" w:rsidRPr="00A45553">
        <w:rPr>
          <w:rFonts w:ascii="Arial" w:eastAsiaTheme="minorHAnsi" w:hAnsi="Arial" w:cs="Arial"/>
          <w:bCs/>
          <w:noProof/>
          <w:sz w:val="20"/>
        </w:rPr>
        <w:t>През цялата кампания са п</w:t>
      </w:r>
      <w:r w:rsidR="00210DBD" w:rsidRPr="00A45553">
        <w:rPr>
          <w:rFonts w:ascii="Arial" w:eastAsiaTheme="minorHAnsi" w:hAnsi="Arial" w:cs="Arial"/>
          <w:bCs/>
          <w:noProof/>
          <w:sz w:val="20"/>
        </w:rPr>
        <w:t xml:space="preserve">одадени общо </w:t>
      </w:r>
      <w:r w:rsidRPr="00A45553">
        <w:rPr>
          <w:rFonts w:ascii="Arial" w:eastAsiaTheme="minorHAnsi" w:hAnsi="Arial" w:cs="Arial"/>
          <w:bCs/>
          <w:noProof/>
          <w:sz w:val="20"/>
        </w:rPr>
        <w:t>102 808 заявления за подпомагане</w:t>
      </w:r>
      <w:r w:rsidR="00210DBD" w:rsidRPr="00A45553">
        <w:rPr>
          <w:rFonts w:ascii="Arial" w:eastAsiaTheme="minorHAnsi" w:hAnsi="Arial" w:cs="Arial"/>
          <w:b/>
          <w:bCs/>
          <w:noProof/>
          <w:sz w:val="20"/>
        </w:rPr>
        <w:t>.</w:t>
      </w:r>
      <w:r w:rsidRPr="00A45553">
        <w:rPr>
          <w:rFonts w:ascii="Arial" w:eastAsiaTheme="minorHAnsi" w:hAnsi="Arial" w:cs="Arial"/>
          <w:b/>
          <w:bCs/>
          <w:noProof/>
          <w:sz w:val="20"/>
        </w:rPr>
        <w:t xml:space="preserve"> </w:t>
      </w:r>
      <w:r w:rsidRPr="00A45553">
        <w:rPr>
          <w:rFonts w:ascii="Arial" w:eastAsiaTheme="minorHAnsi" w:hAnsi="Arial" w:cs="Arial"/>
          <w:noProof/>
          <w:sz w:val="20"/>
        </w:rPr>
        <w:t xml:space="preserve">Общо 62 451 са кандидатите по схемите и мерките за плащания на площ. Подадени са заявления за 3 883 961 хектара земя. По основната Схема за единно </w:t>
      </w:r>
      <w:r w:rsidR="00E844AB" w:rsidRPr="00A45553">
        <w:rPr>
          <w:rFonts w:ascii="Arial" w:eastAsiaTheme="minorHAnsi" w:hAnsi="Arial" w:cs="Arial"/>
          <w:noProof/>
          <w:sz w:val="20"/>
        </w:rPr>
        <w:t>плащане на площ (СЕПП)</w:t>
      </w:r>
      <w:r w:rsidRPr="00A45553">
        <w:rPr>
          <w:rFonts w:ascii="Arial" w:eastAsiaTheme="minorHAnsi" w:hAnsi="Arial" w:cs="Arial"/>
          <w:noProof/>
          <w:sz w:val="20"/>
        </w:rPr>
        <w:t xml:space="preserve"> участие са заявили 57 822 </w:t>
      </w:r>
      <w:r w:rsidR="00E844AB" w:rsidRPr="00A45553">
        <w:rPr>
          <w:rFonts w:ascii="Arial" w:eastAsiaTheme="minorHAnsi" w:hAnsi="Arial" w:cs="Arial"/>
          <w:noProof/>
          <w:sz w:val="20"/>
        </w:rPr>
        <w:t>фермери</w:t>
      </w:r>
      <w:r w:rsidRPr="00A45553">
        <w:rPr>
          <w:rFonts w:ascii="Arial" w:eastAsiaTheme="minorHAnsi" w:hAnsi="Arial" w:cs="Arial"/>
          <w:noProof/>
          <w:sz w:val="20"/>
        </w:rPr>
        <w:t xml:space="preserve">, </w:t>
      </w:r>
      <w:r w:rsidR="00E844AB" w:rsidRPr="00A45553">
        <w:rPr>
          <w:rFonts w:ascii="Arial" w:eastAsiaTheme="minorHAnsi" w:hAnsi="Arial" w:cs="Arial"/>
          <w:noProof/>
          <w:sz w:val="20"/>
        </w:rPr>
        <w:t xml:space="preserve">които са </w:t>
      </w:r>
      <w:r w:rsidRPr="00A45553">
        <w:rPr>
          <w:rFonts w:ascii="Arial" w:eastAsiaTheme="minorHAnsi" w:hAnsi="Arial" w:cs="Arial"/>
          <w:noProof/>
          <w:sz w:val="20"/>
        </w:rPr>
        <w:t xml:space="preserve">декларирали 3 841 704 ха земя. </w:t>
      </w:r>
      <w:r w:rsidR="00E844AB" w:rsidRPr="00A45553">
        <w:rPr>
          <w:rFonts w:ascii="Arial" w:eastAsiaTheme="minorHAnsi" w:hAnsi="Arial" w:cs="Arial"/>
          <w:noProof/>
          <w:sz w:val="20"/>
        </w:rPr>
        <w:t>З</w:t>
      </w:r>
      <w:r w:rsidRPr="00A45553">
        <w:rPr>
          <w:rFonts w:ascii="Arial" w:eastAsiaTheme="minorHAnsi" w:hAnsi="Arial" w:cs="Arial"/>
          <w:noProof/>
          <w:sz w:val="20"/>
          <w:szCs w:val="22"/>
          <w:lang w:eastAsia="bg-BG"/>
        </w:rPr>
        <w:t xml:space="preserve">а първа година земеделските стопани имаха възможност да подадат заявленията си за директни плащания </w:t>
      </w:r>
      <w:r w:rsidR="00E844AB" w:rsidRPr="00A45553">
        <w:rPr>
          <w:rFonts w:ascii="Arial" w:eastAsiaTheme="minorHAnsi" w:hAnsi="Arial" w:cs="Arial"/>
          <w:noProof/>
          <w:sz w:val="20"/>
          <w:szCs w:val="22"/>
          <w:lang w:eastAsia="bg-BG"/>
        </w:rPr>
        <w:t xml:space="preserve">и </w:t>
      </w:r>
      <w:r w:rsidRPr="00A45553">
        <w:rPr>
          <w:rFonts w:ascii="Arial" w:eastAsiaTheme="minorHAnsi" w:hAnsi="Arial" w:cs="Arial"/>
          <w:noProof/>
          <w:sz w:val="20"/>
          <w:szCs w:val="22"/>
          <w:lang w:eastAsia="bg-BG"/>
        </w:rPr>
        <w:t>чрез Системата за електронни услуги (СЕУ) на ДФ „Земеделие“.</w:t>
      </w:r>
      <w:r w:rsidR="00E844AB" w:rsidRPr="00A45553">
        <w:rPr>
          <w:rFonts w:ascii="Arial" w:eastAsiaTheme="minorHAnsi" w:hAnsi="Arial" w:cs="Arial"/>
          <w:noProof/>
          <w:sz w:val="20"/>
          <w:szCs w:val="22"/>
          <w:lang w:eastAsia="bg-BG"/>
        </w:rPr>
        <w:t xml:space="preserve"> </w:t>
      </w:r>
      <w:r w:rsidRPr="00A45553">
        <w:rPr>
          <w:rFonts w:ascii="Arial" w:eastAsiaTheme="minorHAnsi" w:hAnsi="Arial" w:cs="Arial"/>
          <w:noProof/>
          <w:sz w:val="20"/>
          <w:szCs w:val="22"/>
          <w:lang w:eastAsia="bg-BG"/>
        </w:rPr>
        <w:t>За кампания 2020 са подадени и заредени в ИСАК 2151 онлайн заявления</w:t>
      </w:r>
      <w:r w:rsidR="00E844AB" w:rsidRPr="00A45553">
        <w:rPr>
          <w:rFonts w:ascii="Arial" w:eastAsiaTheme="minorHAnsi" w:hAnsi="Arial" w:cs="Arial"/>
          <w:noProof/>
          <w:sz w:val="20"/>
          <w:szCs w:val="22"/>
          <w:lang w:eastAsia="bg-BG"/>
        </w:rPr>
        <w:t xml:space="preserve">. </w:t>
      </w:r>
      <w:r w:rsidRPr="00A45553">
        <w:rPr>
          <w:rFonts w:ascii="Arial" w:eastAsiaTheme="minorHAnsi" w:hAnsi="Arial" w:cs="Arial"/>
          <w:noProof/>
          <w:sz w:val="20"/>
        </w:rPr>
        <w:t xml:space="preserve">До </w:t>
      </w:r>
      <w:r w:rsidR="00E844AB" w:rsidRPr="00A45553">
        <w:rPr>
          <w:rFonts w:ascii="Arial" w:eastAsiaTheme="minorHAnsi" w:hAnsi="Arial" w:cs="Arial"/>
          <w:noProof/>
          <w:sz w:val="20"/>
        </w:rPr>
        <w:t>16 юни</w:t>
      </w:r>
      <w:r w:rsidRPr="00A45553">
        <w:rPr>
          <w:rFonts w:ascii="Arial" w:eastAsiaTheme="minorHAnsi" w:hAnsi="Arial" w:cs="Arial"/>
          <w:noProof/>
          <w:sz w:val="20"/>
        </w:rPr>
        <w:t>, за стопанската 2019/2020 година, регистрираните и пререгистрирани земеделски стопани са 79 990 броя. Срокът за пререгистрацията им изтече на 15 юни 2020 г., но регистрацията на нови земеделски стопани продължава до 30 септември 2020 г.</w:t>
      </w:r>
    </w:p>
    <w:p w14:paraId="1A2CD454" w14:textId="77777777" w:rsidR="002A2C5F" w:rsidRPr="00A45553" w:rsidRDefault="002A2C5F" w:rsidP="002A2C5F">
      <w:pPr>
        <w:tabs>
          <w:tab w:val="left" w:pos="4177"/>
        </w:tabs>
        <w:jc w:val="both"/>
        <w:rPr>
          <w:rFonts w:ascii="Arial" w:hAnsi="Arial" w:cs="Arial"/>
          <w:bCs/>
          <w:noProof/>
          <w:color w:val="666666"/>
          <w:sz w:val="20"/>
        </w:rPr>
      </w:pPr>
    </w:p>
    <w:tbl>
      <w:tblPr>
        <w:tblW w:w="10159" w:type="dxa"/>
        <w:tblInd w:w="108" w:type="dxa"/>
        <w:tblLook w:val="01E0" w:firstRow="1" w:lastRow="1" w:firstColumn="1" w:lastColumn="1" w:noHBand="0" w:noVBand="0"/>
      </w:tblPr>
      <w:tblGrid>
        <w:gridCol w:w="9923"/>
        <w:gridCol w:w="236"/>
      </w:tblGrid>
      <w:tr w:rsidR="001B1430" w:rsidRPr="00A45553" w14:paraId="117BCA99" w14:textId="77777777" w:rsidTr="00F73636">
        <w:tc>
          <w:tcPr>
            <w:tcW w:w="9923" w:type="dxa"/>
            <w:shd w:val="clear" w:color="auto" w:fill="C0C0C0"/>
            <w:hideMark/>
          </w:tcPr>
          <w:p w14:paraId="44DA5EED" w14:textId="77777777" w:rsidR="001B1430" w:rsidRPr="00A45553" w:rsidRDefault="001B1430" w:rsidP="00F73636">
            <w:pPr>
              <w:jc w:val="both"/>
              <w:rPr>
                <w:rFonts w:ascii="Arial" w:hAnsi="Arial" w:cs="Arial"/>
                <w:b/>
                <w:i/>
                <w:noProof/>
                <w:sz w:val="20"/>
              </w:rPr>
            </w:pPr>
            <w:r w:rsidRPr="00A45553">
              <w:rPr>
                <w:rFonts w:ascii="Arial" w:hAnsi="Arial" w:cs="Arial"/>
                <w:b/>
                <w:i/>
                <w:noProof/>
                <w:sz w:val="20"/>
              </w:rPr>
              <w:t>Пазарна подкрепа</w:t>
            </w:r>
          </w:p>
        </w:tc>
        <w:tc>
          <w:tcPr>
            <w:tcW w:w="236" w:type="dxa"/>
          </w:tcPr>
          <w:p w14:paraId="08787DB9" w14:textId="77777777" w:rsidR="001B1430" w:rsidRPr="00A45553" w:rsidRDefault="001B1430" w:rsidP="00F73636">
            <w:pPr>
              <w:jc w:val="both"/>
              <w:rPr>
                <w:rFonts w:ascii="Arial" w:hAnsi="Arial" w:cs="Arial"/>
                <w:b/>
                <w:i/>
                <w:noProof/>
                <w:sz w:val="20"/>
              </w:rPr>
            </w:pPr>
          </w:p>
        </w:tc>
      </w:tr>
    </w:tbl>
    <w:p w14:paraId="5517FF63" w14:textId="77777777" w:rsidR="001B1430" w:rsidRPr="00A45553" w:rsidRDefault="001B1430" w:rsidP="001B1430">
      <w:pPr>
        <w:jc w:val="both"/>
        <w:rPr>
          <w:rFonts w:ascii="Arial" w:eastAsia="SimSun" w:hAnsi="Arial" w:cs="Arial"/>
          <w:b/>
          <w:bCs/>
          <w:noProof/>
          <w:color w:val="000000"/>
          <w:sz w:val="20"/>
          <w:lang w:eastAsia="bg-BG"/>
        </w:rPr>
      </w:pPr>
    </w:p>
    <w:p w14:paraId="14AD4E76" w14:textId="72800A68" w:rsidR="000144D9" w:rsidRPr="005F465B" w:rsidRDefault="00E844AB" w:rsidP="005F465B">
      <w:pPr>
        <w:jc w:val="both"/>
        <w:rPr>
          <w:rFonts w:ascii="Arial" w:hAnsi="Arial" w:cs="Arial"/>
          <w:noProof/>
          <w:sz w:val="20"/>
        </w:rPr>
      </w:pPr>
      <w:r w:rsidRPr="00A45553">
        <w:rPr>
          <w:rFonts w:ascii="Arial" w:hAnsi="Arial" w:cs="Arial"/>
          <w:b/>
          <w:noProof/>
          <w:sz w:val="20"/>
        </w:rPr>
        <w:t>3</w:t>
      </w:r>
      <w:r w:rsidR="000144D9" w:rsidRPr="00A45553">
        <w:rPr>
          <w:rFonts w:ascii="Arial" w:hAnsi="Arial" w:cs="Arial"/>
          <w:b/>
          <w:noProof/>
          <w:sz w:val="20"/>
        </w:rPr>
        <w:t xml:space="preserve">. </w:t>
      </w:r>
      <w:r w:rsidR="005F465B" w:rsidRPr="005F465B">
        <w:rPr>
          <w:rFonts w:ascii="Arial" w:hAnsi="Arial" w:cs="Arial"/>
          <w:b/>
          <w:bCs/>
          <w:noProof/>
          <w:sz w:val="20"/>
        </w:rPr>
        <w:t>Биологично произведени продукти и био пчелен мед ще се предоставят по схемите „Училищен плод“ и „Училищно мляко“.</w:t>
      </w:r>
      <w:r w:rsidR="005F465B" w:rsidRPr="005F465B">
        <w:rPr>
          <w:rFonts w:ascii="Arial" w:hAnsi="Arial" w:cs="Arial"/>
          <w:b/>
          <w:noProof/>
          <w:sz w:val="20"/>
        </w:rPr>
        <w:t xml:space="preserve"> </w:t>
      </w:r>
      <w:bookmarkStart w:id="0" w:name="_GoBack"/>
      <w:r w:rsidR="005F465B" w:rsidRPr="005F465B">
        <w:rPr>
          <w:rFonts w:ascii="Arial" w:hAnsi="Arial" w:cs="Arial"/>
          <w:noProof/>
          <w:sz w:val="20"/>
        </w:rPr>
        <w:t>Това е предвидено с изменение на Наредба за условията и реда за прилагане на схеми за предоставяне на плодове и зеленчуци и на мляко и млечни продукти в учебните заведения – Схема "Училищен плод" и Схема "Училищно мляко", в сила 19.06.2020 г. (обн. ДВ, бр. 55 от 19.06.2020 г.). Биологично произведени продукти и био пчелен мед ще се предоставят по схемите „Училищен плод“  и „Училищно мляко“ от следващата учебна 2020/2021 година. По схемите ще се доставят от 3 до 6 пъти биологични плодове, зеленчуци, както и толкова  био мляко, млечни продукти в рамките на учебната година, наред с редовно раздаваните продукти конвенционално производство. Пчелният мед, който ще се доставя в учебните заведения, трябва да отговаря на изискванията на наредбата за изискванията към пчелния мед. Той  трябва да се доставя в индивидуални опаковки с ненарушена цялост. Отменена е и процедурата за избор на доставчици на продуктите от страна на учебните заведения. Така се намалява административната тежест от една страна, а от друга - ще се предотврати ситуация, в която след подаване на заявление за одобрение в ДФЗ може да се установи, че избраният от учебното заведение заявител не отговаря на задължителните критерии за допустимост по схемите. В допълнение, ще се съкратят сроковете за одобрение на заявителите, което ще позволи навременно стартирането на доставките към учебните заведения. Учебните заведения ще могат да се договарят с кандидатите за доставчици на принципа на свободната конкуренция.</w:t>
      </w:r>
    </w:p>
    <w:bookmarkEnd w:id="0"/>
    <w:p w14:paraId="57A7C202" w14:textId="77777777" w:rsidR="001B1430" w:rsidRPr="00A45553" w:rsidRDefault="001B1430" w:rsidP="001B1430">
      <w:pPr>
        <w:jc w:val="both"/>
        <w:rPr>
          <w:rFonts w:ascii="Arial" w:eastAsia="SimSun" w:hAnsi="Arial" w:cs="Arial"/>
          <w:b/>
          <w:bCs/>
          <w:noProof/>
          <w:color w:val="000000"/>
          <w:sz w:val="20"/>
          <w:lang w:eastAsia="bg-BG"/>
        </w:rPr>
      </w:pPr>
    </w:p>
    <w:tbl>
      <w:tblPr>
        <w:tblW w:w="10156" w:type="dxa"/>
        <w:tblInd w:w="108" w:type="dxa"/>
        <w:tblLook w:val="01E0" w:firstRow="1" w:lastRow="1" w:firstColumn="1" w:lastColumn="1" w:noHBand="0" w:noVBand="0"/>
      </w:tblPr>
      <w:tblGrid>
        <w:gridCol w:w="9900"/>
        <w:gridCol w:w="256"/>
      </w:tblGrid>
      <w:tr w:rsidR="001B1430" w:rsidRPr="00A45553" w14:paraId="4E74FF7A" w14:textId="77777777" w:rsidTr="00F73636">
        <w:tc>
          <w:tcPr>
            <w:tcW w:w="9900" w:type="dxa"/>
            <w:shd w:val="clear" w:color="auto" w:fill="C0C0C0"/>
            <w:hideMark/>
          </w:tcPr>
          <w:p w14:paraId="59CAA8F5" w14:textId="77777777" w:rsidR="001B1430" w:rsidRPr="00A45553" w:rsidRDefault="001B1430" w:rsidP="00F73636">
            <w:pPr>
              <w:tabs>
                <w:tab w:val="left" w:pos="1020"/>
              </w:tabs>
              <w:autoSpaceDE w:val="0"/>
              <w:autoSpaceDN w:val="0"/>
              <w:adjustRightInd w:val="0"/>
              <w:jc w:val="both"/>
              <w:rPr>
                <w:rFonts w:ascii="Arial" w:hAnsi="Arial" w:cs="Arial"/>
                <w:b/>
                <w:i/>
                <w:iCs/>
                <w:noProof/>
                <w:sz w:val="20"/>
              </w:rPr>
            </w:pPr>
            <w:r w:rsidRPr="00A45553">
              <w:rPr>
                <w:rFonts w:ascii="Arial" w:hAnsi="Arial" w:cs="Arial"/>
                <w:b/>
                <w:i/>
                <w:noProof/>
                <w:sz w:val="20"/>
              </w:rPr>
              <w:t>Визия за ОСП след 2020 г.</w:t>
            </w:r>
          </w:p>
        </w:tc>
        <w:tc>
          <w:tcPr>
            <w:tcW w:w="256" w:type="dxa"/>
          </w:tcPr>
          <w:p w14:paraId="4EC09DDD" w14:textId="77777777" w:rsidR="001B1430" w:rsidRPr="00A45553" w:rsidRDefault="001B1430" w:rsidP="00F73636">
            <w:pPr>
              <w:jc w:val="both"/>
              <w:rPr>
                <w:rFonts w:ascii="Arial" w:hAnsi="Arial" w:cs="Arial"/>
                <w:b/>
                <w:noProof/>
                <w:sz w:val="20"/>
              </w:rPr>
            </w:pPr>
          </w:p>
        </w:tc>
      </w:tr>
    </w:tbl>
    <w:p w14:paraId="7979BD24" w14:textId="77777777" w:rsidR="001B1430" w:rsidRPr="00A45553" w:rsidRDefault="002A2BBE" w:rsidP="001B1430">
      <w:pPr>
        <w:jc w:val="both"/>
        <w:rPr>
          <w:rFonts w:ascii="Arial" w:hAnsi="Arial" w:cs="Arial"/>
          <w:b/>
          <w:noProof/>
          <w:sz w:val="20"/>
        </w:rPr>
      </w:pPr>
      <w:r w:rsidRPr="00A45553">
        <w:rPr>
          <w:rFonts w:ascii="Arial" w:hAnsi="Arial" w:cs="Arial"/>
          <w:b/>
          <w:noProof/>
          <w:sz w:val="20"/>
        </w:rPr>
        <w:t xml:space="preserve"> </w:t>
      </w:r>
    </w:p>
    <w:p w14:paraId="4E59F567" w14:textId="77777777" w:rsidR="001B03FF" w:rsidRPr="003F6ACB" w:rsidRDefault="00E844AB" w:rsidP="001B03FF">
      <w:pPr>
        <w:jc w:val="both"/>
        <w:rPr>
          <w:rFonts w:ascii="Arial" w:eastAsia="Calibri" w:hAnsi="Arial" w:cs="Arial"/>
          <w:bCs/>
          <w:noProof/>
          <w:sz w:val="20"/>
        </w:rPr>
      </w:pPr>
      <w:r w:rsidRPr="00A45553">
        <w:rPr>
          <w:rFonts w:ascii="Arial" w:hAnsi="Arial" w:cs="Arial"/>
          <w:b/>
          <w:noProof/>
          <w:sz w:val="20"/>
        </w:rPr>
        <w:t>4</w:t>
      </w:r>
      <w:r w:rsidR="002A2BBE" w:rsidRPr="00A45553">
        <w:rPr>
          <w:rFonts w:ascii="Arial" w:hAnsi="Arial" w:cs="Arial"/>
          <w:b/>
          <w:noProof/>
          <w:sz w:val="20"/>
        </w:rPr>
        <w:t>.</w:t>
      </w:r>
      <w:r w:rsidR="00083F52" w:rsidRPr="00A45553">
        <w:rPr>
          <w:rFonts w:ascii="Arial" w:eastAsia="Calibri" w:hAnsi="Arial" w:cs="Arial"/>
          <w:b/>
          <w:bCs/>
          <w:noProof/>
          <w:sz w:val="20"/>
        </w:rPr>
        <w:t xml:space="preserve"> </w:t>
      </w:r>
      <w:r w:rsidR="001B03FF">
        <w:rPr>
          <w:rFonts w:ascii="Arial" w:eastAsia="Calibri" w:hAnsi="Arial" w:cs="Arial"/>
          <w:b/>
          <w:bCs/>
          <w:noProof/>
          <w:sz w:val="20"/>
        </w:rPr>
        <w:t>На по</w:t>
      </w:r>
      <w:r w:rsidR="00C43C39">
        <w:rPr>
          <w:rFonts w:ascii="Arial" w:eastAsia="Calibri" w:hAnsi="Arial" w:cs="Arial"/>
          <w:b/>
          <w:bCs/>
          <w:noProof/>
          <w:sz w:val="20"/>
        </w:rPr>
        <w:t xml:space="preserve">веденото на 15 юни заседание </w:t>
      </w:r>
      <w:r w:rsidR="001B03FF">
        <w:rPr>
          <w:rFonts w:ascii="Arial" w:eastAsia="Calibri" w:hAnsi="Arial" w:cs="Arial"/>
          <w:b/>
          <w:bCs/>
          <w:noProof/>
          <w:sz w:val="20"/>
        </w:rPr>
        <w:t>Специалния</w:t>
      </w:r>
      <w:r w:rsidR="00C43C39">
        <w:rPr>
          <w:rFonts w:ascii="Arial" w:eastAsia="Calibri" w:hAnsi="Arial" w:cs="Arial"/>
          <w:b/>
          <w:bCs/>
          <w:noProof/>
          <w:sz w:val="20"/>
        </w:rPr>
        <w:t>т</w:t>
      </w:r>
      <w:r w:rsidR="001B03FF">
        <w:rPr>
          <w:rFonts w:ascii="Arial" w:eastAsia="Calibri" w:hAnsi="Arial" w:cs="Arial"/>
          <w:b/>
          <w:bCs/>
          <w:noProof/>
          <w:sz w:val="20"/>
        </w:rPr>
        <w:t xml:space="preserve"> коми</w:t>
      </w:r>
      <w:r w:rsidR="003F6ACB">
        <w:rPr>
          <w:rFonts w:ascii="Arial" w:eastAsia="Calibri" w:hAnsi="Arial" w:cs="Arial"/>
          <w:b/>
          <w:bCs/>
          <w:noProof/>
          <w:sz w:val="20"/>
        </w:rPr>
        <w:t xml:space="preserve">тет по селско стопанство (СКСС) </w:t>
      </w:r>
      <w:r w:rsidR="002619B3">
        <w:rPr>
          <w:rFonts w:ascii="Arial" w:eastAsia="Calibri" w:hAnsi="Arial" w:cs="Arial"/>
          <w:b/>
          <w:bCs/>
          <w:noProof/>
          <w:sz w:val="20"/>
        </w:rPr>
        <w:t>се</w:t>
      </w:r>
      <w:r w:rsidR="003F6ACB">
        <w:rPr>
          <w:rFonts w:ascii="Arial" w:eastAsia="Calibri" w:hAnsi="Arial" w:cs="Arial"/>
          <w:b/>
          <w:bCs/>
          <w:noProof/>
          <w:sz w:val="20"/>
        </w:rPr>
        <w:t xml:space="preserve"> </w:t>
      </w:r>
      <w:r w:rsidR="003F6ACB" w:rsidRPr="003F6ACB">
        <w:rPr>
          <w:rFonts w:ascii="Arial" w:eastAsia="Calibri" w:hAnsi="Arial" w:cs="Arial"/>
          <w:b/>
          <w:bCs/>
          <w:noProof/>
          <w:sz w:val="20"/>
        </w:rPr>
        <w:t>з</w:t>
      </w:r>
      <w:r w:rsidR="001B03FF" w:rsidRPr="003F6ACB">
        <w:rPr>
          <w:rFonts w:ascii="Arial" w:eastAsia="Calibri" w:hAnsi="Arial" w:cs="Arial"/>
          <w:b/>
          <w:bCs/>
          <w:noProof/>
          <w:sz w:val="20"/>
        </w:rPr>
        <w:t>апозна с резултатите от първия политически трилог</w:t>
      </w:r>
      <w:r w:rsidR="002619B3">
        <w:rPr>
          <w:rFonts w:ascii="Arial" w:eastAsia="Calibri" w:hAnsi="Arial" w:cs="Arial"/>
          <w:b/>
          <w:bCs/>
          <w:noProof/>
          <w:sz w:val="20"/>
        </w:rPr>
        <w:t xml:space="preserve"> между Европейския парламент, Съвета и Европейската комисия</w:t>
      </w:r>
      <w:r w:rsidR="001B03FF" w:rsidRPr="003F6ACB">
        <w:rPr>
          <w:rFonts w:ascii="Arial" w:eastAsia="Calibri" w:hAnsi="Arial" w:cs="Arial"/>
          <w:b/>
          <w:bCs/>
          <w:noProof/>
          <w:sz w:val="20"/>
        </w:rPr>
        <w:t xml:space="preserve"> и технически</w:t>
      </w:r>
      <w:r w:rsidR="002619B3">
        <w:rPr>
          <w:rFonts w:ascii="Arial" w:eastAsia="Calibri" w:hAnsi="Arial" w:cs="Arial"/>
          <w:b/>
          <w:bCs/>
          <w:noProof/>
          <w:sz w:val="20"/>
        </w:rPr>
        <w:t>те</w:t>
      </w:r>
      <w:r w:rsidR="001B03FF" w:rsidRPr="003F6ACB">
        <w:rPr>
          <w:rFonts w:ascii="Arial" w:eastAsia="Calibri" w:hAnsi="Arial" w:cs="Arial"/>
          <w:b/>
          <w:bCs/>
          <w:noProof/>
          <w:sz w:val="20"/>
        </w:rPr>
        <w:t xml:space="preserve"> срещи в рамките на междиинституционалните преговори</w:t>
      </w:r>
      <w:r w:rsidR="002619B3">
        <w:rPr>
          <w:rFonts w:ascii="Arial" w:eastAsia="Calibri" w:hAnsi="Arial" w:cs="Arial"/>
          <w:b/>
          <w:bCs/>
          <w:noProof/>
          <w:sz w:val="20"/>
        </w:rPr>
        <w:t xml:space="preserve"> </w:t>
      </w:r>
      <w:r w:rsidR="001B03FF" w:rsidRPr="003F6ACB">
        <w:rPr>
          <w:rFonts w:ascii="Arial" w:eastAsia="Calibri" w:hAnsi="Arial" w:cs="Arial"/>
          <w:b/>
          <w:bCs/>
          <w:noProof/>
          <w:sz w:val="20"/>
        </w:rPr>
        <w:t xml:space="preserve">по Регламента </w:t>
      </w:r>
      <w:r w:rsidR="002619B3">
        <w:rPr>
          <w:rFonts w:ascii="Arial" w:eastAsia="Calibri" w:hAnsi="Arial" w:cs="Arial"/>
          <w:b/>
          <w:bCs/>
          <w:noProof/>
          <w:sz w:val="20"/>
        </w:rPr>
        <w:t>за</w:t>
      </w:r>
      <w:r w:rsidR="001B03FF" w:rsidRPr="003F6ACB">
        <w:rPr>
          <w:rFonts w:ascii="Arial" w:eastAsia="Calibri" w:hAnsi="Arial" w:cs="Arial"/>
          <w:b/>
          <w:bCs/>
          <w:noProof/>
          <w:sz w:val="20"/>
        </w:rPr>
        <w:t xml:space="preserve"> преходните правила</w:t>
      </w:r>
      <w:r w:rsidR="002619B3">
        <w:rPr>
          <w:rFonts w:ascii="Arial" w:eastAsia="Calibri" w:hAnsi="Arial" w:cs="Arial"/>
          <w:b/>
          <w:bCs/>
          <w:noProof/>
          <w:sz w:val="20"/>
        </w:rPr>
        <w:t>, както</w:t>
      </w:r>
      <w:r w:rsidR="001B03FF" w:rsidRPr="003F6ACB">
        <w:rPr>
          <w:rFonts w:ascii="Arial" w:eastAsia="Calibri" w:hAnsi="Arial" w:cs="Arial"/>
          <w:b/>
          <w:bCs/>
          <w:noProof/>
          <w:sz w:val="20"/>
        </w:rPr>
        <w:t xml:space="preserve"> и предостави някои насоки на Председателството по ключови изменения</w:t>
      </w:r>
      <w:r w:rsidR="001B03FF" w:rsidRPr="003F6ACB">
        <w:rPr>
          <w:rFonts w:ascii="Arial" w:eastAsia="Calibri" w:hAnsi="Arial" w:cs="Arial"/>
          <w:bCs/>
          <w:noProof/>
          <w:sz w:val="20"/>
        </w:rPr>
        <w:t xml:space="preserve">. </w:t>
      </w:r>
      <w:r w:rsidR="002619B3">
        <w:rPr>
          <w:rFonts w:ascii="Arial" w:eastAsia="Calibri" w:hAnsi="Arial" w:cs="Arial"/>
          <w:bCs/>
          <w:noProof/>
          <w:sz w:val="20"/>
        </w:rPr>
        <w:t>Р</w:t>
      </w:r>
      <w:r w:rsidR="001B03FF" w:rsidRPr="003F6ACB">
        <w:rPr>
          <w:rFonts w:ascii="Arial" w:eastAsia="Calibri" w:hAnsi="Arial" w:cs="Arial"/>
          <w:bCs/>
          <w:noProof/>
          <w:sz w:val="20"/>
        </w:rPr>
        <w:t>азвитието на преговорите</w:t>
      </w:r>
      <w:r w:rsidR="002619B3">
        <w:rPr>
          <w:rFonts w:ascii="Arial" w:eastAsia="Calibri" w:hAnsi="Arial" w:cs="Arial"/>
          <w:bCs/>
          <w:noProof/>
          <w:sz w:val="20"/>
        </w:rPr>
        <w:t xml:space="preserve"> е</w:t>
      </w:r>
      <w:r w:rsidR="001B03FF" w:rsidRPr="003F6ACB">
        <w:rPr>
          <w:rFonts w:ascii="Arial" w:eastAsia="Calibri" w:hAnsi="Arial" w:cs="Arial"/>
          <w:bCs/>
          <w:noProof/>
          <w:sz w:val="20"/>
        </w:rPr>
        <w:t xml:space="preserve"> в активна фаза</w:t>
      </w:r>
      <w:r w:rsidR="00CF34EE">
        <w:rPr>
          <w:rFonts w:ascii="Arial" w:eastAsia="Calibri" w:hAnsi="Arial" w:cs="Arial"/>
          <w:bCs/>
          <w:noProof/>
          <w:sz w:val="20"/>
        </w:rPr>
        <w:t>,</w:t>
      </w:r>
      <w:r w:rsidR="001B03FF" w:rsidRPr="003F6ACB">
        <w:rPr>
          <w:rFonts w:ascii="Arial" w:eastAsia="Calibri" w:hAnsi="Arial" w:cs="Arial"/>
          <w:bCs/>
          <w:noProof/>
          <w:sz w:val="20"/>
        </w:rPr>
        <w:t xml:space="preserve"> с оглед целта </w:t>
      </w:r>
      <w:r w:rsidR="002619B3">
        <w:rPr>
          <w:rFonts w:ascii="Arial" w:eastAsia="Calibri" w:hAnsi="Arial" w:cs="Arial"/>
          <w:bCs/>
          <w:noProof/>
          <w:sz w:val="20"/>
        </w:rPr>
        <w:t>за</w:t>
      </w:r>
      <w:r w:rsidR="001B03FF" w:rsidRPr="003F6ACB">
        <w:rPr>
          <w:rFonts w:ascii="Arial" w:eastAsia="Calibri" w:hAnsi="Arial" w:cs="Arial"/>
          <w:bCs/>
          <w:noProof/>
          <w:sz w:val="20"/>
        </w:rPr>
        <w:t xml:space="preserve"> приключване с политическо споразумение до края на юни. </w:t>
      </w:r>
      <w:r w:rsidR="002619B3">
        <w:rPr>
          <w:rFonts w:ascii="Arial" w:eastAsia="Calibri" w:hAnsi="Arial" w:cs="Arial"/>
          <w:bCs/>
          <w:noProof/>
          <w:sz w:val="20"/>
        </w:rPr>
        <w:t>Държавите членки се</w:t>
      </w:r>
      <w:r w:rsidR="00C43C39">
        <w:rPr>
          <w:rFonts w:ascii="Arial" w:eastAsia="Calibri" w:hAnsi="Arial" w:cs="Arial"/>
          <w:bCs/>
          <w:noProof/>
          <w:sz w:val="20"/>
        </w:rPr>
        <w:t xml:space="preserve"> </w:t>
      </w:r>
      <w:r w:rsidR="002619B3">
        <w:rPr>
          <w:rFonts w:ascii="Arial" w:eastAsia="Calibri" w:hAnsi="Arial" w:cs="Arial"/>
          <w:bCs/>
          <w:noProof/>
          <w:sz w:val="20"/>
        </w:rPr>
        <w:t>обединиха около принципа, че предложението не</w:t>
      </w:r>
      <w:r w:rsidR="00CF34EE">
        <w:rPr>
          <w:rFonts w:ascii="Arial" w:eastAsia="Calibri" w:hAnsi="Arial" w:cs="Arial"/>
          <w:bCs/>
          <w:noProof/>
          <w:sz w:val="20"/>
        </w:rPr>
        <w:t xml:space="preserve"> трябва да включва нови правила, н</w:t>
      </w:r>
      <w:r w:rsidR="002619B3">
        <w:rPr>
          <w:rFonts w:ascii="Arial" w:eastAsia="Calibri" w:hAnsi="Arial" w:cs="Arial"/>
          <w:bCs/>
          <w:noProof/>
          <w:sz w:val="20"/>
        </w:rPr>
        <w:t>о останаха на различни мнения относно продължителността на преходния период</w:t>
      </w:r>
      <w:r w:rsidR="001B03FF" w:rsidRPr="003F6ACB">
        <w:rPr>
          <w:rFonts w:ascii="Arial" w:eastAsia="Calibri" w:hAnsi="Arial" w:cs="Arial"/>
          <w:bCs/>
          <w:noProof/>
          <w:sz w:val="20"/>
        </w:rPr>
        <w:t xml:space="preserve">, който е обвързан със завършването на преговорите по МФР и ОСП и възможността за удължаване на </w:t>
      </w:r>
      <w:r w:rsidR="002619B3">
        <w:rPr>
          <w:rFonts w:ascii="Arial" w:eastAsia="Calibri" w:hAnsi="Arial" w:cs="Arial"/>
          <w:bCs/>
          <w:noProof/>
          <w:sz w:val="20"/>
        </w:rPr>
        <w:t>текущ</w:t>
      </w:r>
      <w:r w:rsidR="001B03FF" w:rsidRPr="003F6ACB">
        <w:rPr>
          <w:rFonts w:ascii="Arial" w:eastAsia="Calibri" w:hAnsi="Arial" w:cs="Arial"/>
          <w:bCs/>
          <w:noProof/>
          <w:sz w:val="20"/>
        </w:rPr>
        <w:t>ата ПРСР с повече от една година.</w:t>
      </w:r>
      <w:r w:rsidR="00CF34EE">
        <w:rPr>
          <w:rFonts w:ascii="Arial" w:eastAsia="Calibri" w:hAnsi="Arial" w:cs="Arial"/>
          <w:bCs/>
          <w:noProof/>
          <w:sz w:val="20"/>
        </w:rPr>
        <w:t xml:space="preserve"> Приорит</w:t>
      </w:r>
      <w:r w:rsidR="0031390F">
        <w:rPr>
          <w:rFonts w:ascii="Arial" w:eastAsia="Calibri" w:hAnsi="Arial" w:cs="Arial"/>
          <w:bCs/>
          <w:noProof/>
          <w:sz w:val="20"/>
        </w:rPr>
        <w:t>етният</w:t>
      </w:r>
      <w:r w:rsidR="00CF34EE">
        <w:rPr>
          <w:rFonts w:ascii="Arial" w:eastAsia="Calibri" w:hAnsi="Arial" w:cs="Arial"/>
          <w:bCs/>
          <w:noProof/>
          <w:sz w:val="20"/>
        </w:rPr>
        <w:t xml:space="preserve"> за България </w:t>
      </w:r>
      <w:r w:rsidR="0031390F">
        <w:rPr>
          <w:rFonts w:ascii="Arial" w:eastAsia="Calibri" w:hAnsi="Arial" w:cs="Arial"/>
          <w:bCs/>
          <w:noProof/>
          <w:sz w:val="20"/>
        </w:rPr>
        <w:t>въпрос</w:t>
      </w:r>
      <w:r w:rsidR="00CF34EE">
        <w:rPr>
          <w:rFonts w:ascii="Arial" w:eastAsia="Calibri" w:hAnsi="Arial" w:cs="Arial"/>
          <w:bCs/>
          <w:noProof/>
          <w:sz w:val="20"/>
        </w:rPr>
        <w:t xml:space="preserve"> за продължаването на преходната национална помощ за целия преходен период </w:t>
      </w:r>
      <w:r w:rsidR="0031390F">
        <w:rPr>
          <w:rFonts w:ascii="Arial" w:eastAsia="Calibri" w:hAnsi="Arial" w:cs="Arial"/>
          <w:bCs/>
          <w:noProof/>
          <w:sz w:val="20"/>
        </w:rPr>
        <w:t xml:space="preserve">и </w:t>
      </w:r>
      <w:r w:rsidR="00CF34EE">
        <w:rPr>
          <w:rFonts w:ascii="Arial" w:eastAsia="Calibri" w:hAnsi="Arial" w:cs="Arial"/>
          <w:bCs/>
          <w:noProof/>
          <w:sz w:val="20"/>
        </w:rPr>
        <w:t xml:space="preserve">на </w:t>
      </w:r>
      <w:r w:rsidR="0044523D">
        <w:rPr>
          <w:rFonts w:ascii="Arial" w:eastAsia="Calibri" w:hAnsi="Arial" w:cs="Arial"/>
          <w:bCs/>
          <w:noProof/>
          <w:sz w:val="20"/>
        </w:rPr>
        <w:lastRenderedPageBreak/>
        <w:t xml:space="preserve">същите </w:t>
      </w:r>
      <w:r w:rsidR="00CF34EE">
        <w:rPr>
          <w:rFonts w:ascii="Arial" w:eastAsia="Calibri" w:hAnsi="Arial" w:cs="Arial"/>
          <w:bCs/>
          <w:noProof/>
          <w:sz w:val="20"/>
        </w:rPr>
        <w:t>нива</w:t>
      </w:r>
      <w:r w:rsidR="0044523D">
        <w:rPr>
          <w:rFonts w:ascii="Arial" w:eastAsia="Calibri" w:hAnsi="Arial" w:cs="Arial"/>
          <w:bCs/>
          <w:noProof/>
          <w:sz w:val="20"/>
        </w:rPr>
        <w:t>, както през</w:t>
      </w:r>
      <w:r w:rsidR="00CF34EE">
        <w:rPr>
          <w:rFonts w:ascii="Arial" w:eastAsia="Calibri" w:hAnsi="Arial" w:cs="Arial"/>
          <w:bCs/>
          <w:noProof/>
          <w:sz w:val="20"/>
        </w:rPr>
        <w:t xml:space="preserve"> 2020 г.</w:t>
      </w:r>
      <w:r w:rsidR="0044523D">
        <w:rPr>
          <w:rFonts w:ascii="Arial" w:eastAsia="Calibri" w:hAnsi="Arial" w:cs="Arial"/>
          <w:bCs/>
          <w:noProof/>
          <w:sz w:val="20"/>
        </w:rPr>
        <w:t xml:space="preserve">, </w:t>
      </w:r>
      <w:r w:rsidR="0031390F">
        <w:rPr>
          <w:rFonts w:ascii="Arial" w:eastAsia="Calibri" w:hAnsi="Arial" w:cs="Arial"/>
          <w:bCs/>
          <w:noProof/>
          <w:sz w:val="20"/>
        </w:rPr>
        <w:t xml:space="preserve">беше постигнат. </w:t>
      </w:r>
      <w:r w:rsidR="00C43C39">
        <w:rPr>
          <w:rFonts w:ascii="Arial" w:eastAsia="Calibri" w:hAnsi="Arial" w:cs="Arial"/>
          <w:bCs/>
          <w:noProof/>
          <w:sz w:val="20"/>
        </w:rPr>
        <w:t>Първоначално т</w:t>
      </w:r>
      <w:r w:rsidR="0044523D">
        <w:rPr>
          <w:rFonts w:ascii="Arial" w:eastAsia="Calibri" w:hAnsi="Arial" w:cs="Arial"/>
          <w:bCs/>
          <w:noProof/>
          <w:sz w:val="20"/>
        </w:rPr>
        <w:t xml:space="preserve">ози елемент не </w:t>
      </w:r>
      <w:r w:rsidR="0031390F">
        <w:rPr>
          <w:rFonts w:ascii="Arial" w:eastAsia="Calibri" w:hAnsi="Arial" w:cs="Arial"/>
          <w:bCs/>
          <w:noProof/>
          <w:sz w:val="20"/>
        </w:rPr>
        <w:t>беш</w:t>
      </w:r>
      <w:r w:rsidR="0044523D">
        <w:rPr>
          <w:rFonts w:ascii="Arial" w:eastAsia="Calibri" w:hAnsi="Arial" w:cs="Arial"/>
          <w:bCs/>
          <w:noProof/>
          <w:sz w:val="20"/>
        </w:rPr>
        <w:t xml:space="preserve">е включен в предложението на </w:t>
      </w:r>
      <w:r w:rsidR="00C43C39">
        <w:rPr>
          <w:rFonts w:ascii="Arial" w:eastAsia="Calibri" w:hAnsi="Arial" w:cs="Arial"/>
          <w:bCs/>
          <w:noProof/>
          <w:sz w:val="20"/>
        </w:rPr>
        <w:t>Европейската комисия</w:t>
      </w:r>
      <w:r w:rsidR="0031390F">
        <w:rPr>
          <w:rFonts w:ascii="Arial" w:eastAsia="Calibri" w:hAnsi="Arial" w:cs="Arial"/>
          <w:bCs/>
          <w:noProof/>
          <w:sz w:val="20"/>
        </w:rPr>
        <w:t>.</w:t>
      </w:r>
      <w:r w:rsidR="005703A7">
        <w:rPr>
          <w:rFonts w:ascii="Arial" w:eastAsia="Calibri" w:hAnsi="Arial" w:cs="Arial"/>
          <w:bCs/>
          <w:noProof/>
          <w:sz w:val="20"/>
        </w:rPr>
        <w:t xml:space="preserve"> </w:t>
      </w:r>
      <w:r w:rsidR="00C43C39">
        <w:rPr>
          <w:rFonts w:ascii="Arial" w:eastAsia="Calibri" w:hAnsi="Arial" w:cs="Arial"/>
          <w:bCs/>
          <w:noProof/>
          <w:sz w:val="20"/>
        </w:rPr>
        <w:t xml:space="preserve">По отношение на измененията, свързани с </w:t>
      </w:r>
      <w:r w:rsidR="005703A7">
        <w:rPr>
          <w:rFonts w:ascii="Arial" w:eastAsia="Calibri" w:hAnsi="Arial" w:cs="Arial"/>
          <w:bCs/>
          <w:noProof/>
          <w:sz w:val="20"/>
        </w:rPr>
        <w:t>удължаване на периода на многогодишните агроекологични ангажименти, които могат да бъдат сключвани в рамките на преходния период</w:t>
      </w:r>
      <w:r w:rsidR="00C43C39">
        <w:rPr>
          <w:rFonts w:ascii="Arial" w:eastAsia="Calibri" w:hAnsi="Arial" w:cs="Arial"/>
          <w:bCs/>
          <w:noProof/>
          <w:sz w:val="20"/>
        </w:rPr>
        <w:t>, редица делегации се противопоставиха или изразиха резерви</w:t>
      </w:r>
      <w:r w:rsidR="005703A7">
        <w:rPr>
          <w:rFonts w:ascii="Arial" w:eastAsia="Calibri" w:hAnsi="Arial" w:cs="Arial"/>
          <w:bCs/>
          <w:noProof/>
          <w:sz w:val="20"/>
        </w:rPr>
        <w:t xml:space="preserve">. България и </w:t>
      </w:r>
      <w:r w:rsidR="00C43C39">
        <w:rPr>
          <w:rFonts w:ascii="Arial" w:eastAsia="Calibri" w:hAnsi="Arial" w:cs="Arial"/>
          <w:bCs/>
          <w:noProof/>
          <w:sz w:val="20"/>
        </w:rPr>
        <w:t>н</w:t>
      </w:r>
      <w:r w:rsidR="005703A7">
        <w:rPr>
          <w:rFonts w:ascii="Arial" w:eastAsia="Calibri" w:hAnsi="Arial" w:cs="Arial"/>
          <w:bCs/>
          <w:noProof/>
          <w:sz w:val="20"/>
        </w:rPr>
        <w:t>якои други държави членки подкрепиха изменението на ЕП, свързано със срока на продължаване на плащанията за райони с природни ограничения през преходния период. България предостави по време на заседанието допълнителна информация</w:t>
      </w:r>
      <w:r w:rsidR="00C43C39">
        <w:rPr>
          <w:rFonts w:ascii="Arial" w:eastAsia="Calibri" w:hAnsi="Arial" w:cs="Arial"/>
          <w:bCs/>
          <w:noProof/>
          <w:sz w:val="20"/>
        </w:rPr>
        <w:t xml:space="preserve"> по този приоритетен въпрос.</w:t>
      </w:r>
    </w:p>
    <w:p w14:paraId="6C285CD6" w14:textId="77777777" w:rsidR="00CF34EE" w:rsidRDefault="00CF34EE" w:rsidP="00AC334C">
      <w:pPr>
        <w:jc w:val="both"/>
        <w:rPr>
          <w:rFonts w:ascii="Arial" w:eastAsia="Calibri" w:hAnsi="Arial" w:cs="Arial"/>
          <w:b/>
          <w:bCs/>
          <w:noProof/>
          <w:sz w:val="20"/>
        </w:rPr>
      </w:pPr>
    </w:p>
    <w:p w14:paraId="637E7793" w14:textId="77777777" w:rsidR="00AC334C" w:rsidRPr="00C74E61" w:rsidRDefault="001B03FF" w:rsidP="00AC334C">
      <w:pPr>
        <w:jc w:val="both"/>
        <w:rPr>
          <w:rFonts w:ascii="Arial" w:eastAsia="Calibri" w:hAnsi="Arial" w:cs="Arial"/>
          <w:bCs/>
          <w:noProof/>
          <w:sz w:val="20"/>
          <w:lang w:val="ru-RU"/>
        </w:rPr>
      </w:pPr>
      <w:r w:rsidRPr="00C74E61">
        <w:rPr>
          <w:rFonts w:ascii="Arial" w:eastAsia="Calibri" w:hAnsi="Arial" w:cs="Arial"/>
          <w:b/>
          <w:bCs/>
          <w:noProof/>
          <w:sz w:val="20"/>
          <w:lang w:val="ru-RU"/>
        </w:rPr>
        <w:t xml:space="preserve">5. </w:t>
      </w:r>
      <w:r w:rsidR="00AC334C" w:rsidRPr="00A45553">
        <w:rPr>
          <w:rFonts w:ascii="Arial" w:eastAsia="Calibri" w:hAnsi="Arial" w:cs="Arial"/>
          <w:b/>
          <w:bCs/>
          <w:noProof/>
          <w:sz w:val="20"/>
        </w:rPr>
        <w:t xml:space="preserve">На заседанието на Работна група „Хоризонтални селскостопански въпроси“ към Съвета на ЕС на 17 юни 2020 г. продължи техническо разглеждане на проекта за Регламент за стратегическите планове и на Хоризонталния регламент. </w:t>
      </w:r>
      <w:r w:rsidR="00AC334C" w:rsidRPr="00A45553">
        <w:rPr>
          <w:rFonts w:ascii="Arial" w:eastAsia="Calibri" w:hAnsi="Arial" w:cs="Arial"/>
          <w:bCs/>
          <w:noProof/>
          <w:sz w:val="20"/>
        </w:rPr>
        <w:t xml:space="preserve">Председателството представи последните предложения за редакция на Регламента за стратегическите планове по ОСП, заедно със съпътстващата обяснителна бележка, която обединява коментарите и въпросите, представени от държавите членки по време на писмените консултации през април и май 2020 год. Основните направления, в които работи Хърватското председателство са индикаторите, като съществена част от предложения от ЕК нов модел за прилагане, начин на определяне и отчитане на единичната стойност за интервенции, които не са базирани на ИСАК и възможността и условията за прилагане на опростена схема за контрол на условността по отношение на малките земеделски стопани. Голяма част от ДЧ като цяло подкрепиха предложенията на Председателството и отчетоха постигнатия прогрес в нелеките условия, създадени от COVID-19. България също подкрепи Председателството по отношение на промените, свързани с индикаторите и отново повтори своята позиция за отчитане на уязвимостта на дребните земеделски стопани при прилагане на условността. Дискусиите оп проекта на регламенти за бъдещата ОСП ще продължат под предстоящото Германско председателство. </w:t>
      </w:r>
    </w:p>
    <w:p w14:paraId="05BE29BB" w14:textId="77777777" w:rsidR="00A735B5" w:rsidRPr="00C74E61" w:rsidRDefault="00A735B5" w:rsidP="00AC334C">
      <w:pPr>
        <w:jc w:val="both"/>
        <w:rPr>
          <w:rFonts w:ascii="Arial" w:eastAsia="Calibri" w:hAnsi="Arial" w:cs="Arial"/>
          <w:bCs/>
          <w:noProof/>
          <w:sz w:val="20"/>
          <w:lang w:val="ru-RU"/>
        </w:rPr>
      </w:pPr>
    </w:p>
    <w:p w14:paraId="6B53B0EA" w14:textId="77777777" w:rsidR="00A735B5" w:rsidRPr="00C74E61" w:rsidRDefault="00A735B5" w:rsidP="00A735B5">
      <w:pPr>
        <w:jc w:val="both"/>
        <w:rPr>
          <w:rFonts w:ascii="Arial" w:eastAsia="Calibri" w:hAnsi="Arial" w:cs="Arial"/>
          <w:bCs/>
          <w:noProof/>
          <w:sz w:val="20"/>
          <w:lang w:val="ru-RU"/>
        </w:rPr>
      </w:pPr>
      <w:r w:rsidRPr="00C74E61">
        <w:rPr>
          <w:rFonts w:ascii="Arial" w:eastAsia="Calibri" w:hAnsi="Arial" w:cs="Arial"/>
          <w:b/>
          <w:bCs/>
          <w:noProof/>
          <w:sz w:val="20"/>
          <w:lang w:val="ru-RU"/>
        </w:rPr>
        <w:t xml:space="preserve">6. </w:t>
      </w:r>
      <w:r w:rsidR="00760591">
        <w:rPr>
          <w:rFonts w:ascii="Arial" w:eastAsia="Calibri" w:hAnsi="Arial" w:cs="Arial"/>
          <w:b/>
          <w:bCs/>
          <w:noProof/>
          <w:sz w:val="20"/>
        </w:rPr>
        <w:t xml:space="preserve">Европейската сметна палата </w:t>
      </w:r>
      <w:r w:rsidR="00FF4366">
        <w:rPr>
          <w:rFonts w:ascii="Arial" w:eastAsia="Calibri" w:hAnsi="Arial" w:cs="Arial"/>
          <w:b/>
          <w:bCs/>
          <w:noProof/>
          <w:sz w:val="20"/>
        </w:rPr>
        <w:t xml:space="preserve">(ЕСП) </w:t>
      </w:r>
      <w:r w:rsidR="00760591">
        <w:rPr>
          <w:rFonts w:ascii="Arial" w:eastAsia="Calibri" w:hAnsi="Arial" w:cs="Arial"/>
          <w:b/>
          <w:bCs/>
          <w:noProof/>
          <w:sz w:val="20"/>
        </w:rPr>
        <w:t>е констатирала, че п</w:t>
      </w:r>
      <w:r w:rsidRPr="00C74E61">
        <w:rPr>
          <w:rFonts w:ascii="Arial" w:eastAsia="Calibri" w:hAnsi="Arial" w:cs="Arial"/>
          <w:b/>
          <w:bCs/>
          <w:noProof/>
          <w:sz w:val="20"/>
          <w:lang w:val="ru-RU"/>
        </w:rPr>
        <w:t>ри прилагане на нови</w:t>
      </w:r>
      <w:r w:rsidR="00760591">
        <w:rPr>
          <w:rFonts w:ascii="Arial" w:eastAsia="Calibri" w:hAnsi="Arial" w:cs="Arial"/>
          <w:b/>
          <w:bCs/>
          <w:noProof/>
          <w:sz w:val="20"/>
        </w:rPr>
        <w:t>те</w:t>
      </w:r>
      <w:r w:rsidRPr="00C74E61">
        <w:rPr>
          <w:rFonts w:ascii="Arial" w:eastAsia="Calibri" w:hAnsi="Arial" w:cs="Arial"/>
          <w:b/>
          <w:bCs/>
          <w:noProof/>
          <w:sz w:val="20"/>
          <w:lang w:val="ru-RU"/>
        </w:rPr>
        <w:t xml:space="preserve"> технологии за повърхностни изображения при мониторинг на Общата селскостопанска политика цялостният напредък е устойчив, но с по-бавно темпо при мониторинг</w:t>
      </w:r>
      <w:r w:rsidR="00760591">
        <w:rPr>
          <w:rFonts w:ascii="Arial" w:eastAsia="Calibri" w:hAnsi="Arial" w:cs="Arial"/>
          <w:b/>
          <w:bCs/>
          <w:noProof/>
          <w:sz w:val="20"/>
        </w:rPr>
        <w:t>а</w:t>
      </w:r>
      <w:r w:rsidRPr="00C74E61">
        <w:rPr>
          <w:rFonts w:ascii="Arial" w:eastAsia="Calibri" w:hAnsi="Arial" w:cs="Arial"/>
          <w:b/>
          <w:bCs/>
          <w:noProof/>
          <w:sz w:val="20"/>
          <w:lang w:val="ru-RU"/>
        </w:rPr>
        <w:t xml:space="preserve"> на климатичните изменения и околната среда. </w:t>
      </w:r>
      <w:r w:rsidRPr="00C74E61">
        <w:rPr>
          <w:rFonts w:ascii="Arial" w:eastAsia="Calibri" w:hAnsi="Arial" w:cs="Arial"/>
          <w:bCs/>
          <w:noProof/>
          <w:sz w:val="20"/>
          <w:lang w:val="ru-RU"/>
        </w:rPr>
        <w:t xml:space="preserve">Това е </w:t>
      </w:r>
      <w:r w:rsidR="00760591">
        <w:rPr>
          <w:rFonts w:ascii="Arial" w:eastAsia="Calibri" w:hAnsi="Arial" w:cs="Arial"/>
          <w:bCs/>
          <w:noProof/>
          <w:sz w:val="20"/>
        </w:rPr>
        <w:t>установено в нейния</w:t>
      </w:r>
      <w:r w:rsidRPr="00C74E61">
        <w:rPr>
          <w:rFonts w:ascii="Arial" w:eastAsia="Calibri" w:hAnsi="Arial" w:cs="Arial"/>
          <w:bCs/>
          <w:noProof/>
          <w:sz w:val="20"/>
          <w:lang w:val="ru-RU"/>
        </w:rPr>
        <w:t xml:space="preserve"> Специален доклад № 4/2020, който </w:t>
      </w:r>
      <w:r w:rsidR="00760591">
        <w:rPr>
          <w:rFonts w:ascii="Arial" w:eastAsia="Calibri" w:hAnsi="Arial" w:cs="Arial"/>
          <w:bCs/>
          <w:noProof/>
          <w:sz w:val="20"/>
        </w:rPr>
        <w:t xml:space="preserve">беше </w:t>
      </w:r>
      <w:r w:rsidRPr="00C74E61">
        <w:rPr>
          <w:rFonts w:ascii="Arial" w:eastAsia="Calibri" w:hAnsi="Arial" w:cs="Arial"/>
          <w:bCs/>
          <w:noProof/>
          <w:sz w:val="20"/>
          <w:lang w:val="ru-RU"/>
        </w:rPr>
        <w:t>представ</w:t>
      </w:r>
      <w:r w:rsidR="00760591">
        <w:rPr>
          <w:rFonts w:ascii="Arial" w:eastAsia="Calibri" w:hAnsi="Arial" w:cs="Arial"/>
          <w:bCs/>
          <w:noProof/>
          <w:sz w:val="20"/>
        </w:rPr>
        <w:t>ен</w:t>
      </w:r>
      <w:r w:rsidRPr="00C74E61">
        <w:rPr>
          <w:rFonts w:ascii="Arial" w:eastAsia="Calibri" w:hAnsi="Arial" w:cs="Arial"/>
          <w:bCs/>
          <w:noProof/>
          <w:sz w:val="20"/>
          <w:lang w:val="ru-RU"/>
        </w:rPr>
        <w:t xml:space="preserve"> на видео-заседание на Работната група по финансови селскостопански въпроси (АГРИФИН), проведе</w:t>
      </w:r>
      <w:r w:rsidR="00760591">
        <w:rPr>
          <w:rFonts w:ascii="Arial" w:eastAsia="Calibri" w:hAnsi="Arial" w:cs="Arial"/>
          <w:bCs/>
          <w:noProof/>
          <w:sz w:val="20"/>
        </w:rPr>
        <w:t>но</w:t>
      </w:r>
      <w:r w:rsidR="00760591" w:rsidRPr="00C74E61">
        <w:rPr>
          <w:rFonts w:ascii="Arial" w:eastAsia="Calibri" w:hAnsi="Arial" w:cs="Arial"/>
          <w:bCs/>
          <w:noProof/>
          <w:sz w:val="20"/>
          <w:lang w:val="ru-RU"/>
        </w:rPr>
        <w:t xml:space="preserve"> на 16</w:t>
      </w:r>
      <w:r w:rsidR="00760591">
        <w:rPr>
          <w:rFonts w:ascii="Arial" w:eastAsia="Calibri" w:hAnsi="Arial" w:cs="Arial"/>
          <w:bCs/>
          <w:noProof/>
          <w:sz w:val="20"/>
        </w:rPr>
        <w:t xml:space="preserve"> юни </w:t>
      </w:r>
      <w:r w:rsidRPr="00C74E61">
        <w:rPr>
          <w:rFonts w:ascii="Arial" w:eastAsia="Calibri" w:hAnsi="Arial" w:cs="Arial"/>
          <w:bCs/>
          <w:noProof/>
          <w:sz w:val="20"/>
          <w:lang w:val="ru-RU"/>
        </w:rPr>
        <w:t>2020 г. Европейската сметна палата е установила, че както Комисията, така и някои държави</w:t>
      </w:r>
      <w:r w:rsidR="00FF4366">
        <w:rPr>
          <w:rFonts w:ascii="Arial" w:eastAsia="Calibri" w:hAnsi="Arial" w:cs="Arial"/>
          <w:bCs/>
          <w:noProof/>
          <w:sz w:val="20"/>
        </w:rPr>
        <w:t>-</w:t>
      </w:r>
      <w:r w:rsidRPr="00C74E61">
        <w:rPr>
          <w:rFonts w:ascii="Arial" w:eastAsia="Calibri" w:hAnsi="Arial" w:cs="Arial"/>
          <w:bCs/>
          <w:noProof/>
          <w:sz w:val="20"/>
          <w:lang w:val="ru-RU"/>
        </w:rPr>
        <w:t xml:space="preserve"> членки са предприели действия за реализиране на потенциалните ползи от новите технологии. Комисията е подпомогнала използването на нови</w:t>
      </w:r>
      <w:r w:rsidR="00FF4366">
        <w:rPr>
          <w:rFonts w:ascii="Arial" w:eastAsia="Calibri" w:hAnsi="Arial" w:cs="Arial"/>
          <w:bCs/>
          <w:noProof/>
          <w:sz w:val="20"/>
        </w:rPr>
        <w:t>те</w:t>
      </w:r>
      <w:r w:rsidRPr="00C74E61">
        <w:rPr>
          <w:rFonts w:ascii="Arial" w:eastAsia="Calibri" w:hAnsi="Arial" w:cs="Arial"/>
          <w:bCs/>
          <w:noProof/>
          <w:sz w:val="20"/>
          <w:lang w:val="ru-RU"/>
        </w:rPr>
        <w:t xml:space="preserve"> технологии чрез организирането на редица конференции и семинари и е предоставила двустранна подкрепа на много разплащателни агенции. 15 от общо 66 разплащателни агенции са използвали данни от спътниците „Сентинел“ по програма „Коперник“ през 2019 г., за да проверят заявления за помощ за някои схеми и някои групи бенефициенти („проверки чрез мониторинг“). Извършеният от Сметната палата одит показа, че много разплащателни агенции считат, че съществуват пречки пред по-широкото използване на новите технологии. Въпреки че Комисията се е опитала да преодолее или намали някои от тези пречки, разплащателните агенции очакват допълнителни насоки от нея, за да вземат правилни решения и да намалят риска от бъдещи финансови корекции. За преминаването към проверки чрез мониторинг са необходими значителни промени в информационните системи, специфични ресурси и експертен опит. Комисията е предприела действия за улесняване на достъпа до данни от мисиите „Сентинел“ и до цифровите услуги за обработка на данни „в облак“, но използването им от разплащателните агенции за оперативни цели е все още ниско. ЕСП препоръчва на Комисията да създаде стимули за използването на проверките чрез мониторинг като основна система за контрол от страна на държавите членки в рамките на ОСП за периода след 2020 г. Освен това Европейската сметна палата препоръчва на Комисията да използва по-широко новите технологии при наблюдението на изискванията, свързани с околната среда и климата.</w:t>
      </w:r>
      <w:r w:rsidR="006917F8" w:rsidRPr="00C74E61">
        <w:rPr>
          <w:rFonts w:ascii="Arial" w:eastAsia="Calibri" w:hAnsi="Arial" w:cs="Arial"/>
          <w:bCs/>
          <w:noProof/>
          <w:sz w:val="20"/>
          <w:lang w:val="ru-RU"/>
        </w:rPr>
        <w:t xml:space="preserve"> Повече информация по доклада </w:t>
      </w:r>
      <w:r w:rsidR="006917F8">
        <w:rPr>
          <w:rFonts w:ascii="Arial" w:eastAsia="Calibri" w:hAnsi="Arial" w:cs="Arial"/>
          <w:bCs/>
          <w:noProof/>
          <w:sz w:val="20"/>
        </w:rPr>
        <w:t>можете да видите</w:t>
      </w:r>
      <w:r w:rsidRPr="00C74E61">
        <w:rPr>
          <w:rFonts w:ascii="Arial" w:eastAsia="Calibri" w:hAnsi="Arial" w:cs="Arial"/>
          <w:bCs/>
          <w:noProof/>
          <w:sz w:val="20"/>
          <w:lang w:val="ru-RU"/>
        </w:rPr>
        <w:t xml:space="preserve"> на</w:t>
      </w:r>
      <w:r w:rsidR="006917F8">
        <w:rPr>
          <w:rFonts w:ascii="Arial" w:eastAsia="Calibri" w:hAnsi="Arial" w:cs="Arial"/>
          <w:bCs/>
          <w:noProof/>
          <w:sz w:val="20"/>
        </w:rPr>
        <w:t xml:space="preserve"> следната връзка</w:t>
      </w:r>
      <w:r w:rsidRPr="00C74E61">
        <w:rPr>
          <w:rFonts w:ascii="Arial" w:eastAsia="Calibri" w:hAnsi="Arial" w:cs="Arial"/>
          <w:bCs/>
          <w:noProof/>
          <w:sz w:val="20"/>
          <w:lang w:val="ru-RU"/>
        </w:rPr>
        <w:t xml:space="preserve">: </w:t>
      </w:r>
      <w:hyperlink r:id="rId9" w:history="1">
        <w:r w:rsidRPr="006917F8">
          <w:rPr>
            <w:rStyle w:val="Hyperlink"/>
            <w:rFonts w:ascii="Arial" w:eastAsia="Calibri" w:hAnsi="Arial" w:cs="Arial"/>
            <w:bCs/>
            <w:noProof/>
            <w:sz w:val="20"/>
            <w:lang w:val="en-US"/>
          </w:rPr>
          <w:t>https</w:t>
        </w:r>
        <w:r w:rsidRPr="00C74E61">
          <w:rPr>
            <w:rStyle w:val="Hyperlink"/>
            <w:rFonts w:ascii="Arial" w:eastAsia="Calibri" w:hAnsi="Arial" w:cs="Arial"/>
            <w:bCs/>
            <w:noProof/>
            <w:sz w:val="20"/>
            <w:lang w:val="ru-RU"/>
          </w:rPr>
          <w:t>://</w:t>
        </w:r>
        <w:r w:rsidRPr="006917F8">
          <w:rPr>
            <w:rStyle w:val="Hyperlink"/>
            <w:rFonts w:ascii="Arial" w:eastAsia="Calibri" w:hAnsi="Arial" w:cs="Arial"/>
            <w:bCs/>
            <w:noProof/>
            <w:sz w:val="20"/>
            <w:lang w:val="en-US"/>
          </w:rPr>
          <w:t>www</w:t>
        </w:r>
        <w:r w:rsidRPr="00C74E61">
          <w:rPr>
            <w:rStyle w:val="Hyperlink"/>
            <w:rFonts w:ascii="Arial" w:eastAsia="Calibri" w:hAnsi="Arial" w:cs="Arial"/>
            <w:bCs/>
            <w:noProof/>
            <w:sz w:val="20"/>
            <w:lang w:val="ru-RU"/>
          </w:rPr>
          <w:t>.</w:t>
        </w:r>
        <w:r w:rsidRPr="006917F8">
          <w:rPr>
            <w:rStyle w:val="Hyperlink"/>
            <w:rFonts w:ascii="Arial" w:eastAsia="Calibri" w:hAnsi="Arial" w:cs="Arial"/>
            <w:bCs/>
            <w:noProof/>
            <w:sz w:val="20"/>
            <w:lang w:val="en-US"/>
          </w:rPr>
          <w:t>eca</w:t>
        </w:r>
        <w:r w:rsidRPr="00C74E61">
          <w:rPr>
            <w:rStyle w:val="Hyperlink"/>
            <w:rFonts w:ascii="Arial" w:eastAsia="Calibri" w:hAnsi="Arial" w:cs="Arial"/>
            <w:bCs/>
            <w:noProof/>
            <w:sz w:val="20"/>
            <w:lang w:val="ru-RU"/>
          </w:rPr>
          <w:t>.</w:t>
        </w:r>
        <w:r w:rsidRPr="006917F8">
          <w:rPr>
            <w:rStyle w:val="Hyperlink"/>
            <w:rFonts w:ascii="Arial" w:eastAsia="Calibri" w:hAnsi="Arial" w:cs="Arial"/>
            <w:bCs/>
            <w:noProof/>
            <w:sz w:val="20"/>
            <w:lang w:val="en-US"/>
          </w:rPr>
          <w:t>europa</w:t>
        </w:r>
        <w:r w:rsidRPr="00C74E61">
          <w:rPr>
            <w:rStyle w:val="Hyperlink"/>
            <w:rFonts w:ascii="Arial" w:eastAsia="Calibri" w:hAnsi="Arial" w:cs="Arial"/>
            <w:bCs/>
            <w:noProof/>
            <w:sz w:val="20"/>
            <w:lang w:val="ru-RU"/>
          </w:rPr>
          <w:t>.</w:t>
        </w:r>
        <w:r w:rsidRPr="006917F8">
          <w:rPr>
            <w:rStyle w:val="Hyperlink"/>
            <w:rFonts w:ascii="Arial" w:eastAsia="Calibri" w:hAnsi="Arial" w:cs="Arial"/>
            <w:bCs/>
            <w:noProof/>
            <w:sz w:val="20"/>
            <w:lang w:val="en-US"/>
          </w:rPr>
          <w:t>eu</w:t>
        </w:r>
        <w:r w:rsidRPr="00C74E61">
          <w:rPr>
            <w:rStyle w:val="Hyperlink"/>
            <w:rFonts w:ascii="Arial" w:eastAsia="Calibri" w:hAnsi="Arial" w:cs="Arial"/>
            <w:bCs/>
            <w:noProof/>
            <w:sz w:val="20"/>
            <w:lang w:val="ru-RU"/>
          </w:rPr>
          <w:t>/</w:t>
        </w:r>
        <w:r w:rsidRPr="006917F8">
          <w:rPr>
            <w:rStyle w:val="Hyperlink"/>
            <w:rFonts w:ascii="Arial" w:eastAsia="Calibri" w:hAnsi="Arial" w:cs="Arial"/>
            <w:bCs/>
            <w:noProof/>
            <w:sz w:val="20"/>
            <w:lang w:val="en-US"/>
          </w:rPr>
          <w:t>Lists</w:t>
        </w:r>
        <w:r w:rsidRPr="00C74E61">
          <w:rPr>
            <w:rStyle w:val="Hyperlink"/>
            <w:rFonts w:ascii="Arial" w:eastAsia="Calibri" w:hAnsi="Arial" w:cs="Arial"/>
            <w:bCs/>
            <w:noProof/>
            <w:sz w:val="20"/>
            <w:lang w:val="ru-RU"/>
          </w:rPr>
          <w:t>/</w:t>
        </w:r>
        <w:r w:rsidRPr="006917F8">
          <w:rPr>
            <w:rStyle w:val="Hyperlink"/>
            <w:rFonts w:ascii="Arial" w:eastAsia="Calibri" w:hAnsi="Arial" w:cs="Arial"/>
            <w:bCs/>
            <w:noProof/>
            <w:sz w:val="20"/>
            <w:lang w:val="en-US"/>
          </w:rPr>
          <w:t>ECADocuments</w:t>
        </w:r>
        <w:r w:rsidRPr="00C74E61">
          <w:rPr>
            <w:rStyle w:val="Hyperlink"/>
            <w:rFonts w:ascii="Arial" w:eastAsia="Calibri" w:hAnsi="Arial" w:cs="Arial"/>
            <w:bCs/>
            <w:noProof/>
            <w:sz w:val="20"/>
            <w:lang w:val="ru-RU"/>
          </w:rPr>
          <w:t>/</w:t>
        </w:r>
        <w:r w:rsidRPr="006917F8">
          <w:rPr>
            <w:rStyle w:val="Hyperlink"/>
            <w:rFonts w:ascii="Arial" w:eastAsia="Calibri" w:hAnsi="Arial" w:cs="Arial"/>
            <w:bCs/>
            <w:noProof/>
            <w:sz w:val="20"/>
            <w:lang w:val="en-US"/>
          </w:rPr>
          <w:t>SR</w:t>
        </w:r>
        <w:r w:rsidRPr="00C74E61">
          <w:rPr>
            <w:rStyle w:val="Hyperlink"/>
            <w:rFonts w:ascii="Arial" w:eastAsia="Calibri" w:hAnsi="Arial" w:cs="Arial"/>
            <w:bCs/>
            <w:noProof/>
            <w:sz w:val="20"/>
            <w:lang w:val="ru-RU"/>
          </w:rPr>
          <w:t>20_04/</w:t>
        </w:r>
        <w:r w:rsidRPr="006917F8">
          <w:rPr>
            <w:rStyle w:val="Hyperlink"/>
            <w:rFonts w:ascii="Arial" w:eastAsia="Calibri" w:hAnsi="Arial" w:cs="Arial"/>
            <w:bCs/>
            <w:noProof/>
            <w:sz w:val="20"/>
            <w:lang w:val="en-US"/>
          </w:rPr>
          <w:t>SR</w:t>
        </w:r>
        <w:r w:rsidRPr="00C74E61">
          <w:rPr>
            <w:rStyle w:val="Hyperlink"/>
            <w:rFonts w:ascii="Arial" w:eastAsia="Calibri" w:hAnsi="Arial" w:cs="Arial"/>
            <w:bCs/>
            <w:noProof/>
            <w:sz w:val="20"/>
            <w:lang w:val="ru-RU"/>
          </w:rPr>
          <w:t>_</w:t>
        </w:r>
        <w:r w:rsidRPr="006917F8">
          <w:rPr>
            <w:rStyle w:val="Hyperlink"/>
            <w:rFonts w:ascii="Arial" w:eastAsia="Calibri" w:hAnsi="Arial" w:cs="Arial"/>
            <w:bCs/>
            <w:noProof/>
            <w:sz w:val="20"/>
            <w:lang w:val="en-US"/>
          </w:rPr>
          <w:t>New</w:t>
        </w:r>
        <w:r w:rsidRPr="00C74E61">
          <w:rPr>
            <w:rStyle w:val="Hyperlink"/>
            <w:rFonts w:ascii="Arial" w:eastAsia="Calibri" w:hAnsi="Arial" w:cs="Arial"/>
            <w:bCs/>
            <w:noProof/>
            <w:sz w:val="20"/>
            <w:lang w:val="ru-RU"/>
          </w:rPr>
          <w:t>_</w:t>
        </w:r>
        <w:r w:rsidRPr="006917F8">
          <w:rPr>
            <w:rStyle w:val="Hyperlink"/>
            <w:rFonts w:ascii="Arial" w:eastAsia="Calibri" w:hAnsi="Arial" w:cs="Arial"/>
            <w:bCs/>
            <w:noProof/>
            <w:sz w:val="20"/>
            <w:lang w:val="en-US"/>
          </w:rPr>
          <w:t>technologies</w:t>
        </w:r>
        <w:r w:rsidRPr="00C74E61">
          <w:rPr>
            <w:rStyle w:val="Hyperlink"/>
            <w:rFonts w:ascii="Arial" w:eastAsia="Calibri" w:hAnsi="Arial" w:cs="Arial"/>
            <w:bCs/>
            <w:noProof/>
            <w:sz w:val="20"/>
            <w:lang w:val="ru-RU"/>
          </w:rPr>
          <w:t>_</w:t>
        </w:r>
        <w:r w:rsidRPr="006917F8">
          <w:rPr>
            <w:rStyle w:val="Hyperlink"/>
            <w:rFonts w:ascii="Arial" w:eastAsia="Calibri" w:hAnsi="Arial" w:cs="Arial"/>
            <w:bCs/>
            <w:noProof/>
            <w:sz w:val="20"/>
            <w:lang w:val="en-US"/>
          </w:rPr>
          <w:t>in</w:t>
        </w:r>
        <w:r w:rsidRPr="00C74E61">
          <w:rPr>
            <w:rStyle w:val="Hyperlink"/>
            <w:rFonts w:ascii="Arial" w:eastAsia="Calibri" w:hAnsi="Arial" w:cs="Arial"/>
            <w:bCs/>
            <w:noProof/>
            <w:sz w:val="20"/>
            <w:lang w:val="ru-RU"/>
          </w:rPr>
          <w:t>_</w:t>
        </w:r>
        <w:r w:rsidRPr="006917F8">
          <w:rPr>
            <w:rStyle w:val="Hyperlink"/>
            <w:rFonts w:ascii="Arial" w:eastAsia="Calibri" w:hAnsi="Arial" w:cs="Arial"/>
            <w:bCs/>
            <w:noProof/>
            <w:sz w:val="20"/>
            <w:lang w:val="en-US"/>
          </w:rPr>
          <w:t>agri</w:t>
        </w:r>
        <w:r w:rsidRPr="00C74E61">
          <w:rPr>
            <w:rStyle w:val="Hyperlink"/>
            <w:rFonts w:ascii="Arial" w:eastAsia="Calibri" w:hAnsi="Arial" w:cs="Arial"/>
            <w:bCs/>
            <w:noProof/>
            <w:sz w:val="20"/>
            <w:lang w:val="ru-RU"/>
          </w:rPr>
          <w:t>-</w:t>
        </w:r>
        <w:r w:rsidRPr="006917F8">
          <w:rPr>
            <w:rStyle w:val="Hyperlink"/>
            <w:rFonts w:ascii="Arial" w:eastAsia="Calibri" w:hAnsi="Arial" w:cs="Arial"/>
            <w:bCs/>
            <w:noProof/>
            <w:sz w:val="20"/>
            <w:lang w:val="en-US"/>
          </w:rPr>
          <w:t>monitoring</w:t>
        </w:r>
        <w:r w:rsidRPr="00C74E61">
          <w:rPr>
            <w:rStyle w:val="Hyperlink"/>
            <w:rFonts w:ascii="Arial" w:eastAsia="Calibri" w:hAnsi="Arial" w:cs="Arial"/>
            <w:bCs/>
            <w:noProof/>
            <w:sz w:val="20"/>
            <w:lang w:val="ru-RU"/>
          </w:rPr>
          <w:t>_</w:t>
        </w:r>
        <w:r w:rsidRPr="006917F8">
          <w:rPr>
            <w:rStyle w:val="Hyperlink"/>
            <w:rFonts w:ascii="Arial" w:eastAsia="Calibri" w:hAnsi="Arial" w:cs="Arial"/>
            <w:bCs/>
            <w:noProof/>
            <w:sz w:val="20"/>
            <w:lang w:val="en-US"/>
          </w:rPr>
          <w:t>BG</w:t>
        </w:r>
        <w:r w:rsidRPr="00C74E61">
          <w:rPr>
            <w:rStyle w:val="Hyperlink"/>
            <w:rFonts w:ascii="Arial" w:eastAsia="Calibri" w:hAnsi="Arial" w:cs="Arial"/>
            <w:bCs/>
            <w:noProof/>
            <w:sz w:val="20"/>
            <w:lang w:val="ru-RU"/>
          </w:rPr>
          <w:t>.</w:t>
        </w:r>
        <w:r w:rsidRPr="006917F8">
          <w:rPr>
            <w:rStyle w:val="Hyperlink"/>
            <w:rFonts w:ascii="Arial" w:eastAsia="Calibri" w:hAnsi="Arial" w:cs="Arial"/>
            <w:bCs/>
            <w:noProof/>
            <w:sz w:val="20"/>
            <w:lang w:val="en-US"/>
          </w:rPr>
          <w:t>pdf</w:t>
        </w:r>
      </w:hyperlink>
    </w:p>
    <w:p w14:paraId="04B6F3E0" w14:textId="77777777" w:rsidR="00A735B5" w:rsidRPr="00C74E61" w:rsidRDefault="00A735B5" w:rsidP="00AC334C">
      <w:pPr>
        <w:jc w:val="both"/>
        <w:rPr>
          <w:rFonts w:ascii="Arial" w:eastAsia="Calibri" w:hAnsi="Arial" w:cs="Arial"/>
          <w:bCs/>
          <w:noProof/>
          <w:sz w:val="20"/>
          <w:lang w:val="ru-RU"/>
        </w:rPr>
      </w:pPr>
    </w:p>
    <w:tbl>
      <w:tblPr>
        <w:tblW w:w="10159" w:type="dxa"/>
        <w:tblInd w:w="108" w:type="dxa"/>
        <w:tblLook w:val="01E0" w:firstRow="1" w:lastRow="1" w:firstColumn="1" w:lastColumn="1" w:noHBand="0" w:noVBand="0"/>
      </w:tblPr>
      <w:tblGrid>
        <w:gridCol w:w="9923"/>
        <w:gridCol w:w="236"/>
      </w:tblGrid>
      <w:tr w:rsidR="001B1430" w:rsidRPr="00A45553" w14:paraId="57E8EDE4" w14:textId="77777777" w:rsidTr="00F73636">
        <w:tc>
          <w:tcPr>
            <w:tcW w:w="9923" w:type="dxa"/>
            <w:shd w:val="clear" w:color="auto" w:fill="C0C0C0"/>
            <w:hideMark/>
          </w:tcPr>
          <w:p w14:paraId="116B1775" w14:textId="77777777" w:rsidR="001B1430" w:rsidRPr="00A45553" w:rsidRDefault="001B1430" w:rsidP="00F73636">
            <w:pPr>
              <w:jc w:val="both"/>
              <w:rPr>
                <w:rStyle w:val="longtext"/>
                <w:rFonts w:ascii="Arial" w:hAnsi="Arial" w:cs="Arial"/>
                <w:b/>
                <w:i/>
                <w:noProof/>
                <w:sz w:val="20"/>
              </w:rPr>
            </w:pPr>
            <w:r w:rsidRPr="00A45553">
              <w:rPr>
                <w:rStyle w:val="longtext"/>
                <w:rFonts w:ascii="Arial" w:hAnsi="Arial" w:cs="Arial"/>
                <w:b/>
                <w:i/>
                <w:noProof/>
                <w:sz w:val="20"/>
              </w:rPr>
              <w:t>Още от ЕС и света</w:t>
            </w:r>
          </w:p>
        </w:tc>
        <w:tc>
          <w:tcPr>
            <w:tcW w:w="236" w:type="dxa"/>
          </w:tcPr>
          <w:p w14:paraId="546F9661" w14:textId="77777777" w:rsidR="001B1430" w:rsidRPr="00A45553" w:rsidRDefault="001B1430" w:rsidP="00F73636">
            <w:pPr>
              <w:jc w:val="both"/>
              <w:rPr>
                <w:rStyle w:val="longtext"/>
                <w:rFonts w:ascii="Arial" w:hAnsi="Arial" w:cs="Arial"/>
                <w:b/>
                <w:noProof/>
                <w:sz w:val="20"/>
              </w:rPr>
            </w:pPr>
          </w:p>
        </w:tc>
      </w:tr>
    </w:tbl>
    <w:p w14:paraId="1DFB17D3" w14:textId="77777777" w:rsidR="001B1430" w:rsidRPr="00A45553" w:rsidRDefault="001B1430" w:rsidP="001B14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b/>
          <w:noProof/>
          <w:sz w:val="20"/>
        </w:rPr>
      </w:pPr>
    </w:p>
    <w:p w14:paraId="44CDC4E1" w14:textId="77777777" w:rsidR="00AC334C" w:rsidRPr="00A45553" w:rsidRDefault="00BB6D01" w:rsidP="00AC334C">
      <w:pPr>
        <w:jc w:val="both"/>
        <w:rPr>
          <w:rFonts w:ascii="Arial" w:eastAsia="Calibri" w:hAnsi="Arial" w:cs="Arial"/>
          <w:noProof/>
          <w:sz w:val="20"/>
        </w:rPr>
      </w:pPr>
      <w:r>
        <w:rPr>
          <w:rStyle w:val="longtext"/>
          <w:rFonts w:ascii="Arial" w:hAnsi="Arial" w:cs="Arial"/>
          <w:b/>
          <w:noProof/>
          <w:sz w:val="20"/>
        </w:rPr>
        <w:t>7</w:t>
      </w:r>
      <w:r w:rsidR="002A2BBE" w:rsidRPr="00A45553">
        <w:rPr>
          <w:rStyle w:val="longtext"/>
          <w:rFonts w:ascii="Arial" w:hAnsi="Arial" w:cs="Arial"/>
          <w:b/>
          <w:noProof/>
          <w:sz w:val="20"/>
        </w:rPr>
        <w:t>.</w:t>
      </w:r>
      <w:r w:rsidR="00AC334C" w:rsidRPr="00A45553">
        <w:rPr>
          <w:rStyle w:val="longtext"/>
          <w:rFonts w:ascii="Arial" w:hAnsi="Arial" w:cs="Arial"/>
          <w:b/>
          <w:noProof/>
          <w:sz w:val="20"/>
        </w:rPr>
        <w:t xml:space="preserve"> </w:t>
      </w:r>
      <w:r w:rsidR="00AC334C" w:rsidRPr="00A45553">
        <w:rPr>
          <w:rFonts w:ascii="Arial" w:eastAsia="Calibri" w:hAnsi="Arial" w:cs="Arial"/>
          <w:b/>
          <w:bCs/>
          <w:noProof/>
          <w:sz w:val="20"/>
        </w:rPr>
        <w:t>На видеокондерентната среща на Европейския съвет на 19 юни държавните и правителствените ръководители на Е</w:t>
      </w:r>
      <w:r w:rsidR="006B2EDA" w:rsidRPr="00A45553">
        <w:rPr>
          <w:rFonts w:ascii="Arial" w:eastAsia="Calibri" w:hAnsi="Arial" w:cs="Arial"/>
          <w:b/>
          <w:bCs/>
          <w:noProof/>
          <w:sz w:val="20"/>
        </w:rPr>
        <w:t xml:space="preserve">С </w:t>
      </w:r>
      <w:r w:rsidR="00AC334C" w:rsidRPr="00A45553">
        <w:rPr>
          <w:rFonts w:ascii="Arial" w:eastAsia="Calibri" w:hAnsi="Arial" w:cs="Arial"/>
          <w:b/>
          <w:bCs/>
          <w:noProof/>
          <w:sz w:val="20"/>
        </w:rPr>
        <w:t xml:space="preserve">обсъдиха плановете за възстановяване от кризата с COVID-19 и новия дългосрочен бюджет на ЕС, представен от Европейската комисия на 27 май 2020 г.  </w:t>
      </w:r>
      <w:r w:rsidR="00AC334C" w:rsidRPr="00A45553">
        <w:rPr>
          <w:rFonts w:ascii="Arial" w:eastAsia="Calibri" w:hAnsi="Arial" w:cs="Arial"/>
          <w:bCs/>
          <w:noProof/>
          <w:sz w:val="20"/>
        </w:rPr>
        <w:t xml:space="preserve">Очаква се да бъде постигнато </w:t>
      </w:r>
      <w:r w:rsidR="00856721" w:rsidRPr="00A45553">
        <w:rPr>
          <w:rFonts w:ascii="Arial" w:eastAsia="Calibri" w:hAnsi="Arial" w:cs="Arial"/>
          <w:bCs/>
          <w:noProof/>
          <w:sz w:val="20"/>
        </w:rPr>
        <w:t xml:space="preserve">политическо споразумение </w:t>
      </w:r>
      <w:r w:rsidR="00AC334C" w:rsidRPr="00A45553">
        <w:rPr>
          <w:rFonts w:ascii="Arial" w:eastAsia="Calibri" w:hAnsi="Arial" w:cs="Arial"/>
          <w:bCs/>
          <w:noProof/>
          <w:sz w:val="20"/>
        </w:rPr>
        <w:t>през юли, въпреки огромните различия в позициите на държавите членки.</w:t>
      </w:r>
      <w:r w:rsidR="00AC334C" w:rsidRPr="00A45553">
        <w:rPr>
          <w:rFonts w:ascii="Arial" w:eastAsia="Calibri" w:hAnsi="Arial" w:cs="Arial"/>
          <w:b/>
          <w:bCs/>
          <w:noProof/>
          <w:sz w:val="20"/>
        </w:rPr>
        <w:t xml:space="preserve"> </w:t>
      </w:r>
      <w:r w:rsidR="00AC334C" w:rsidRPr="00A45553">
        <w:rPr>
          <w:rFonts w:ascii="Arial" w:eastAsia="Calibri" w:hAnsi="Arial" w:cs="Arial"/>
          <w:bCs/>
          <w:noProof/>
          <w:sz w:val="20"/>
        </w:rPr>
        <w:t xml:space="preserve">Тема на </w:t>
      </w:r>
      <w:r w:rsidR="00AC334C" w:rsidRPr="00A45553">
        <w:rPr>
          <w:rFonts w:ascii="Arial" w:eastAsia="Calibri" w:hAnsi="Arial" w:cs="Arial"/>
          <w:noProof/>
          <w:sz w:val="20"/>
        </w:rPr>
        <w:t>лидерската среща бе</w:t>
      </w:r>
      <w:r w:rsidR="006B2EDA" w:rsidRPr="00A45553">
        <w:rPr>
          <w:rFonts w:ascii="Arial" w:eastAsia="Calibri" w:hAnsi="Arial" w:cs="Arial"/>
          <w:noProof/>
          <w:sz w:val="20"/>
        </w:rPr>
        <w:t>ше</w:t>
      </w:r>
      <w:r w:rsidR="00AC334C" w:rsidRPr="00A45553">
        <w:rPr>
          <w:rFonts w:ascii="Arial" w:eastAsia="Calibri" w:hAnsi="Arial" w:cs="Arial"/>
          <w:noProof/>
          <w:sz w:val="20"/>
        </w:rPr>
        <w:t xml:space="preserve"> най-големия</w:t>
      </w:r>
      <w:r w:rsidR="006B2EDA" w:rsidRPr="00A45553">
        <w:rPr>
          <w:rFonts w:ascii="Arial" w:eastAsia="Calibri" w:hAnsi="Arial" w:cs="Arial"/>
          <w:noProof/>
          <w:sz w:val="20"/>
        </w:rPr>
        <w:t>т</w:t>
      </w:r>
      <w:r w:rsidR="00AC334C" w:rsidRPr="00A45553">
        <w:rPr>
          <w:rFonts w:ascii="Arial" w:eastAsia="Calibri" w:hAnsi="Arial" w:cs="Arial"/>
          <w:noProof/>
          <w:sz w:val="20"/>
        </w:rPr>
        <w:t xml:space="preserve"> </w:t>
      </w:r>
      <w:r w:rsidR="00D73A17" w:rsidRPr="00A45553">
        <w:rPr>
          <w:rFonts w:ascii="Arial" w:eastAsia="Calibri" w:hAnsi="Arial" w:cs="Arial"/>
          <w:noProof/>
          <w:sz w:val="20"/>
        </w:rPr>
        <w:t>финансов</w:t>
      </w:r>
      <w:r w:rsidR="00AC334C" w:rsidRPr="00A45553">
        <w:rPr>
          <w:rFonts w:ascii="Arial" w:eastAsia="Calibri" w:hAnsi="Arial" w:cs="Arial"/>
          <w:noProof/>
          <w:sz w:val="20"/>
        </w:rPr>
        <w:t xml:space="preserve"> стимул, предоставян някога от блока, </w:t>
      </w:r>
      <w:r w:rsidR="00D73A17" w:rsidRPr="00A45553">
        <w:rPr>
          <w:rFonts w:ascii="Arial" w:eastAsia="Calibri" w:hAnsi="Arial" w:cs="Arial"/>
          <w:noProof/>
          <w:sz w:val="20"/>
        </w:rPr>
        <w:t xml:space="preserve">чрез </w:t>
      </w:r>
      <w:r w:rsidR="00AC334C" w:rsidRPr="00A45553">
        <w:rPr>
          <w:rFonts w:ascii="Arial" w:eastAsia="Calibri" w:hAnsi="Arial" w:cs="Arial"/>
          <w:noProof/>
          <w:sz w:val="20"/>
        </w:rPr>
        <w:t>който да</w:t>
      </w:r>
      <w:r w:rsidR="00D73A17" w:rsidRPr="00A45553">
        <w:rPr>
          <w:rFonts w:ascii="Arial" w:eastAsia="Calibri" w:hAnsi="Arial" w:cs="Arial"/>
          <w:noProof/>
          <w:sz w:val="20"/>
        </w:rPr>
        <w:t xml:space="preserve"> се</w:t>
      </w:r>
      <w:r w:rsidR="00700ADF" w:rsidRPr="00A45553">
        <w:rPr>
          <w:rFonts w:ascii="Arial" w:eastAsia="Calibri" w:hAnsi="Arial" w:cs="Arial"/>
          <w:noProof/>
          <w:sz w:val="20"/>
        </w:rPr>
        <w:t xml:space="preserve"> </w:t>
      </w:r>
      <w:r w:rsidR="00AC334C" w:rsidRPr="00A45553">
        <w:rPr>
          <w:rFonts w:ascii="Arial" w:eastAsia="Calibri" w:hAnsi="Arial" w:cs="Arial"/>
          <w:noProof/>
          <w:sz w:val="20"/>
        </w:rPr>
        <w:t>отговори подобаващо на икономическата криза, предизвикана от пандемията.</w:t>
      </w:r>
      <w:r w:rsidR="00AC334C" w:rsidRPr="00A45553">
        <w:rPr>
          <w:rFonts w:ascii="Arial" w:eastAsia="Calibri" w:hAnsi="Arial" w:cs="Arial"/>
          <w:b/>
          <w:bCs/>
          <w:noProof/>
          <w:sz w:val="20"/>
        </w:rPr>
        <w:t xml:space="preserve"> </w:t>
      </w:r>
      <w:r w:rsidR="00AC334C" w:rsidRPr="00A45553">
        <w:rPr>
          <w:rFonts w:ascii="Arial" w:eastAsia="Calibri" w:hAnsi="Arial" w:cs="Arial"/>
          <w:noProof/>
          <w:sz w:val="20"/>
        </w:rPr>
        <w:t xml:space="preserve">Европейската комисия предложи 750 милиарда евро за новия фонд за </w:t>
      </w:r>
      <w:r w:rsidR="00AC334C" w:rsidRPr="00A45553">
        <w:rPr>
          <w:rFonts w:ascii="Arial" w:eastAsia="Calibri" w:hAnsi="Arial" w:cs="Arial"/>
          <w:noProof/>
          <w:sz w:val="20"/>
        </w:rPr>
        <w:lastRenderedPageBreak/>
        <w:t>възстановяване и 1,1 трилиона евро за многогодишната финансова рамка за 2021-2027 г. – дългосрочният бюджет на ЕС.</w:t>
      </w:r>
      <w:r w:rsidR="009273A5">
        <w:rPr>
          <w:rFonts w:ascii="Arial" w:eastAsia="Calibri" w:hAnsi="Arial" w:cs="Arial"/>
          <w:noProof/>
          <w:sz w:val="20"/>
        </w:rPr>
        <w:t xml:space="preserve"> В</w:t>
      </w:r>
      <w:r w:rsidR="00AC334C" w:rsidRPr="00A45553">
        <w:rPr>
          <w:rFonts w:ascii="Arial" w:eastAsia="Calibri" w:hAnsi="Arial" w:cs="Arial"/>
          <w:noProof/>
          <w:sz w:val="20"/>
        </w:rPr>
        <w:t>идеоконференцията не доведе до конкретни резултати. Дискусията послужи като възможност за лидерите на 27-те държави</w:t>
      </w:r>
      <w:r w:rsidR="00C458AC">
        <w:rPr>
          <w:rFonts w:ascii="Arial" w:eastAsia="Calibri" w:hAnsi="Arial" w:cs="Arial"/>
          <w:noProof/>
          <w:sz w:val="20"/>
        </w:rPr>
        <w:t>-</w:t>
      </w:r>
      <w:r w:rsidR="00AC334C" w:rsidRPr="00A45553">
        <w:rPr>
          <w:rFonts w:ascii="Arial" w:eastAsia="Calibri" w:hAnsi="Arial" w:cs="Arial"/>
          <w:noProof/>
          <w:sz w:val="20"/>
        </w:rPr>
        <w:t xml:space="preserve"> членки да изразят приоритетите и опасенията си във връзка с пакета.</w:t>
      </w:r>
      <w:r w:rsidR="00AC334C" w:rsidRPr="00A45553">
        <w:rPr>
          <w:rFonts w:ascii="Arial" w:eastAsia="Calibri" w:hAnsi="Arial" w:cs="Arial"/>
          <w:b/>
          <w:bCs/>
          <w:noProof/>
          <w:sz w:val="20"/>
        </w:rPr>
        <w:t xml:space="preserve"> </w:t>
      </w:r>
      <w:r w:rsidR="00AC334C" w:rsidRPr="00A45553">
        <w:rPr>
          <w:rFonts w:ascii="Arial" w:eastAsia="Calibri" w:hAnsi="Arial" w:cs="Arial"/>
          <w:noProof/>
          <w:sz w:val="20"/>
        </w:rPr>
        <w:t>“Не подценяваме трудностите”, посочи председателят на Европейския съвет Шарл Мишел след виртуалната среща на върха.</w:t>
      </w:r>
      <w:r w:rsidR="00AC334C" w:rsidRPr="00A45553">
        <w:rPr>
          <w:rFonts w:ascii="Arial" w:eastAsia="Calibri" w:hAnsi="Arial" w:cs="Arial"/>
          <w:b/>
          <w:bCs/>
          <w:noProof/>
          <w:sz w:val="20"/>
        </w:rPr>
        <w:t xml:space="preserve"> </w:t>
      </w:r>
      <w:r w:rsidR="00AC334C" w:rsidRPr="00A45553">
        <w:rPr>
          <w:rFonts w:ascii="Arial" w:eastAsia="Calibri" w:hAnsi="Arial" w:cs="Arial"/>
          <w:noProof/>
          <w:sz w:val="20"/>
        </w:rPr>
        <w:t>Въпреки ниските очаквания, лидерите изразиха задоволството от конструктивната дискусия, усещането за неотложност, споделено от всички и единодушната подкрепа за разгръщане на “амбициозен отговор”. Този отговор трябва да съчетава солидарността с нуждата от инвестиции и реформи. Това посочи председателят на Европейската комисия Урсула фон дер Лайен. “Зарадвах се да чуя как лидерите подчертаха, че трябва да направим всичко възможно, за да постигнем споразумение в Европейския съвет преди летния сезон”, добави тя.</w:t>
      </w:r>
      <w:r w:rsidR="00AC334C" w:rsidRPr="00A45553">
        <w:rPr>
          <w:rFonts w:ascii="Arial" w:eastAsia="Calibri" w:hAnsi="Arial" w:cs="Arial"/>
          <w:b/>
          <w:bCs/>
          <w:noProof/>
          <w:sz w:val="20"/>
        </w:rPr>
        <w:t xml:space="preserve"> </w:t>
      </w:r>
      <w:r w:rsidR="00AC334C" w:rsidRPr="00A45553">
        <w:rPr>
          <w:rFonts w:ascii="Arial" w:eastAsia="Calibri" w:hAnsi="Arial" w:cs="Arial"/>
          <w:noProof/>
          <w:sz w:val="20"/>
        </w:rPr>
        <w:t>Хърватският премиер Андрей Пленкович, чиято страна е председател на ротационното председателство на ЕС, коментира, че е бил окуражен след като е изслушал колегите си. Германският канцлер Ангела Меркел коментира, че разговорите са били много конструктивни. Тя добави, че всички са наясно, че ситуацията сега е съвсем различна</w:t>
      </w:r>
      <w:r w:rsidR="00C458AC">
        <w:rPr>
          <w:rFonts w:ascii="Arial" w:eastAsia="Calibri" w:hAnsi="Arial" w:cs="Arial"/>
          <w:noProof/>
          <w:sz w:val="20"/>
        </w:rPr>
        <w:t>,</w:t>
      </w:r>
      <w:r w:rsidR="00AC334C" w:rsidRPr="00A45553">
        <w:rPr>
          <w:rFonts w:ascii="Arial" w:eastAsia="Calibri" w:hAnsi="Arial" w:cs="Arial"/>
          <w:noProof/>
          <w:sz w:val="20"/>
        </w:rPr>
        <w:t xml:space="preserve"> в сравнение с предишната среща на </w:t>
      </w:r>
      <w:r w:rsidR="00C458AC">
        <w:rPr>
          <w:rFonts w:ascii="Arial" w:eastAsia="Calibri" w:hAnsi="Arial" w:cs="Arial"/>
          <w:noProof/>
          <w:sz w:val="20"/>
        </w:rPr>
        <w:t>високо ниво</w:t>
      </w:r>
      <w:r w:rsidR="00AC334C" w:rsidRPr="00A45553">
        <w:rPr>
          <w:rFonts w:ascii="Arial" w:eastAsia="Calibri" w:hAnsi="Arial" w:cs="Arial"/>
          <w:noProof/>
          <w:sz w:val="20"/>
        </w:rPr>
        <w:t xml:space="preserve">, проведена през февруари в Брюксел. Тогава лидерите на ЕС не успяха да постигнат споразумение за седемгодишния бюджет на ЕС. В следващите дни </w:t>
      </w:r>
      <w:r w:rsidR="00C458AC">
        <w:rPr>
          <w:rFonts w:ascii="Arial" w:eastAsia="Calibri" w:hAnsi="Arial" w:cs="Arial"/>
          <w:noProof/>
          <w:sz w:val="20"/>
        </w:rPr>
        <w:t>председателят на Европейския съвет</w:t>
      </w:r>
      <w:r w:rsidR="00AC334C" w:rsidRPr="00A45553">
        <w:rPr>
          <w:rFonts w:ascii="Arial" w:eastAsia="Calibri" w:hAnsi="Arial" w:cs="Arial"/>
          <w:noProof/>
          <w:sz w:val="20"/>
        </w:rPr>
        <w:t xml:space="preserve"> ще направи опит да смекчи огромната разлика в позициите между държавите членки, особено между т. нар. “Пестелива четворка” и страните, който са най-силно засегнати от пандемията като Италия и Испания.</w:t>
      </w:r>
      <w:r w:rsidR="00AC334C" w:rsidRPr="00A45553">
        <w:rPr>
          <w:rFonts w:ascii="Arial" w:eastAsia="Calibri" w:hAnsi="Arial" w:cs="Arial"/>
          <w:b/>
          <w:bCs/>
          <w:noProof/>
          <w:sz w:val="20"/>
        </w:rPr>
        <w:t xml:space="preserve"> </w:t>
      </w:r>
      <w:r w:rsidR="00AC334C" w:rsidRPr="00A45553">
        <w:rPr>
          <w:rFonts w:ascii="Arial" w:eastAsia="Calibri" w:hAnsi="Arial" w:cs="Arial"/>
          <w:noProof/>
          <w:sz w:val="20"/>
        </w:rPr>
        <w:t>Това предложение ще бъде основата за нова среща на върха в средата на юли, обясни той. Това ще е първият Европейски съвет в Брюксел след разпространението на пандемията в Европа. Дипломатите и служителите на ЕС не изключват втора среща на върха през юли в Брюксел, когато Германия ще поеме председателството на Съвета на ЕС.</w:t>
      </w:r>
      <w:r w:rsidR="00AC334C" w:rsidRPr="00A45553">
        <w:rPr>
          <w:rFonts w:ascii="Arial" w:eastAsia="Calibri" w:hAnsi="Arial" w:cs="Arial"/>
          <w:b/>
          <w:bCs/>
          <w:noProof/>
          <w:sz w:val="20"/>
        </w:rPr>
        <w:t xml:space="preserve"> </w:t>
      </w:r>
      <w:r w:rsidR="00AC334C" w:rsidRPr="00A45553">
        <w:rPr>
          <w:rFonts w:ascii="Arial" w:eastAsia="Calibri" w:hAnsi="Arial" w:cs="Arial"/>
          <w:noProof/>
          <w:sz w:val="20"/>
        </w:rPr>
        <w:t xml:space="preserve">След като политическото споразумение бъде постигнато единодушно, то трябва да бъде прието от Европейския парламент и 27-те национални парламента на държавите членки през втората половина на годината, така че </w:t>
      </w:r>
      <w:r w:rsidR="00C458AC">
        <w:rPr>
          <w:rFonts w:ascii="Arial" w:eastAsia="Calibri" w:hAnsi="Arial" w:cs="Arial"/>
          <w:noProof/>
          <w:sz w:val="20"/>
        </w:rPr>
        <w:t>средствата</w:t>
      </w:r>
      <w:r w:rsidR="00AC334C" w:rsidRPr="00A45553">
        <w:rPr>
          <w:rFonts w:ascii="Arial" w:eastAsia="Calibri" w:hAnsi="Arial" w:cs="Arial"/>
          <w:noProof/>
          <w:sz w:val="20"/>
        </w:rPr>
        <w:t xml:space="preserve"> да бъдат достъпни в началото на 2021 г.</w:t>
      </w:r>
    </w:p>
    <w:p w14:paraId="2506D3AA" w14:textId="77777777" w:rsidR="00AC334C" w:rsidRPr="00A45553" w:rsidRDefault="00AC334C" w:rsidP="00AC334C">
      <w:pPr>
        <w:jc w:val="both"/>
        <w:rPr>
          <w:rFonts w:ascii="Arial" w:hAnsi="Arial" w:cs="Arial"/>
          <w:b/>
          <w:noProof/>
          <w:sz w:val="20"/>
        </w:rPr>
      </w:pPr>
    </w:p>
    <w:p w14:paraId="11F2F821" w14:textId="77777777" w:rsidR="002A2BBE" w:rsidRPr="00A45553" w:rsidRDefault="002A2BBE" w:rsidP="001B14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b/>
          <w:noProof/>
          <w:sz w:val="20"/>
        </w:rPr>
      </w:pPr>
    </w:p>
    <w:p w14:paraId="3125B586" w14:textId="77777777" w:rsidR="001B1430" w:rsidRPr="00A45553" w:rsidRDefault="001173C3" w:rsidP="007C75B4">
      <w:pPr>
        <w:jc w:val="center"/>
        <w:rPr>
          <w:rStyle w:val="longtext"/>
          <w:rFonts w:ascii="Arial" w:hAnsi="Arial" w:cs="Arial"/>
          <w:noProof/>
          <w:sz w:val="20"/>
        </w:rPr>
      </w:pPr>
      <w:r w:rsidRPr="00A45553">
        <w:rPr>
          <w:rStyle w:val="longtext"/>
          <w:rFonts w:ascii="Arial" w:hAnsi="Arial" w:cs="Arial"/>
          <w:b/>
          <w:noProof/>
          <w:sz w:val="20"/>
        </w:rPr>
        <w:tab/>
      </w:r>
      <w:r w:rsidRPr="00A45553">
        <w:rPr>
          <w:rStyle w:val="longtext"/>
          <w:rFonts w:ascii="Arial" w:hAnsi="Arial" w:cs="Arial"/>
          <w:b/>
          <w:noProof/>
          <w:sz w:val="20"/>
        </w:rPr>
        <w:tab/>
      </w:r>
      <w:r w:rsidRPr="00A45553">
        <w:rPr>
          <w:rStyle w:val="longtext"/>
          <w:rFonts w:ascii="Arial" w:hAnsi="Arial" w:cs="Arial"/>
          <w:b/>
          <w:noProof/>
          <w:sz w:val="20"/>
        </w:rPr>
        <w:tab/>
      </w:r>
      <w:r w:rsidRPr="00A45553">
        <w:rPr>
          <w:rStyle w:val="longtext"/>
          <w:rFonts w:ascii="Arial" w:hAnsi="Arial" w:cs="Arial"/>
          <w:b/>
          <w:noProof/>
          <w:sz w:val="20"/>
        </w:rPr>
        <w:tab/>
      </w:r>
    </w:p>
    <w:p w14:paraId="0EB19D9D" w14:textId="77777777" w:rsidR="0001496E" w:rsidRPr="00A45553" w:rsidRDefault="0001496E" w:rsidP="00120AD2">
      <w:pPr>
        <w:jc w:val="both"/>
        <w:rPr>
          <w:rStyle w:val="longtext"/>
          <w:noProof/>
        </w:rPr>
      </w:pPr>
    </w:p>
    <w:sectPr w:rsidR="0001496E" w:rsidRPr="00A45553" w:rsidSect="00852688">
      <w:headerReference w:type="default" r:id="rId10"/>
      <w:footerReference w:type="even" r:id="rId11"/>
      <w:footerReference w:type="default" r:id="rId12"/>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084243" w14:textId="77777777" w:rsidR="00124D9C" w:rsidRDefault="00124D9C">
      <w:r>
        <w:separator/>
      </w:r>
    </w:p>
  </w:endnote>
  <w:endnote w:type="continuationSeparator" w:id="0">
    <w:p w14:paraId="3E2B84AD" w14:textId="77777777" w:rsidR="00124D9C" w:rsidRDefault="00124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68259" w14:textId="77777777"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14:paraId="7283807F" w14:textId="77777777" w:rsidR="005618E1" w:rsidRDefault="00124D9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3388C9" w14:textId="77777777" w:rsidR="004B3CB3" w:rsidRPr="004B3CB3" w:rsidRDefault="00124D9C" w:rsidP="004B3CB3">
    <w:pPr>
      <w:pStyle w:val="Footer"/>
      <w:pBdr>
        <w:bottom w:val="single" w:sz="4" w:space="1" w:color="7030A0"/>
      </w:pBdr>
      <w:ind w:right="-23"/>
      <w:rPr>
        <w:rFonts w:ascii="Arial" w:hAnsi="Arial"/>
        <w:i/>
        <w:iCs/>
        <w:color w:val="800080"/>
        <w:sz w:val="18"/>
        <w:szCs w:val="18"/>
        <w:lang w:val="en-US"/>
      </w:rPr>
    </w:pPr>
  </w:p>
  <w:p w14:paraId="21A31EAD" w14:textId="43EA8CB1" w:rsidR="004B3CB3" w:rsidRPr="004B3CB3" w:rsidRDefault="00403CB9" w:rsidP="004B3CB3">
    <w:pPr>
      <w:pStyle w:val="Footer"/>
      <w:ind w:right="-23"/>
      <w:rPr>
        <w:rFonts w:ascii="Arial" w:hAnsi="Arial"/>
        <w:i/>
        <w:iCs/>
        <w:color w:val="800080"/>
        <w:sz w:val="18"/>
        <w:szCs w:val="18"/>
        <w:lang w:val="ru-RU"/>
      </w:rPr>
    </w:pPr>
    <w:r>
      <w:rPr>
        <w:rFonts w:ascii="Arial" w:hAnsi="Arial"/>
        <w:i/>
        <w:iCs/>
        <w:color w:val="800080"/>
        <w:sz w:val="18"/>
        <w:szCs w:val="18"/>
      </w:rPr>
      <w:t>Д</w:t>
    </w:r>
    <w:r w:rsidR="00AB2303">
      <w:rPr>
        <w:rFonts w:ascii="Arial" w:hAnsi="Arial"/>
        <w:i/>
        <w:iCs/>
        <w:color w:val="800080"/>
        <w:sz w:val="18"/>
        <w:szCs w:val="18"/>
      </w:rPr>
      <w:t xml:space="preserve">ирекции „Директни плащания </w:t>
    </w:r>
    <w:r>
      <w:rPr>
        <w:rFonts w:ascii="Arial" w:hAnsi="Arial"/>
        <w:i/>
        <w:iCs/>
        <w:color w:val="800080"/>
        <w:sz w:val="18"/>
        <w:szCs w:val="18"/>
      </w:rPr>
      <w:t xml:space="preserve">” и „Пазарни мерки и организации на </w:t>
    </w:r>
    <w:r w:rsidRPr="004B3CB3">
      <w:rPr>
        <w:rFonts w:ascii="Arial" w:hAnsi="Arial"/>
        <w:i/>
        <w:iCs/>
        <w:color w:val="800080"/>
        <w:sz w:val="18"/>
        <w:szCs w:val="18"/>
        <w:lang w:val="ru-RU"/>
      </w:rPr>
      <w:t xml:space="preserve"> </w:t>
    </w:r>
    <w:r w:rsidR="00AB2303">
      <w:rPr>
        <w:rFonts w:ascii="Arial" w:hAnsi="Arial"/>
        <w:i/>
        <w:iCs/>
        <w:color w:val="800080"/>
        <w:sz w:val="18"/>
        <w:szCs w:val="18"/>
      </w:rPr>
      <w:t>производители“, МЗХГ</w:t>
    </w:r>
    <w:r w:rsidR="00AB2303" w:rsidRPr="004B3CB3">
      <w:rPr>
        <w:rFonts w:ascii="Arial" w:hAnsi="Arial"/>
        <w:i/>
        <w:iCs/>
        <w:color w:val="800080"/>
        <w:sz w:val="18"/>
        <w:szCs w:val="18"/>
        <w:lang w:val="ru-RU"/>
      </w:rPr>
      <w:t xml:space="preserve"> </w:t>
    </w:r>
    <w:r w:rsidR="00C74E61">
      <w:rPr>
        <w:rFonts w:ascii="Arial" w:hAnsi="Arial"/>
        <w:i/>
        <w:iCs/>
        <w:color w:val="800080"/>
        <w:sz w:val="18"/>
        <w:szCs w:val="18"/>
        <w:lang w:val="ru-RU"/>
      </w:rPr>
      <w:tab/>
    </w:r>
    <w:r w:rsidR="00C74E61">
      <w:rPr>
        <w:rFonts w:ascii="Arial" w:hAnsi="Arial"/>
        <w:i/>
        <w:iCs/>
        <w:color w:val="800080"/>
        <w:sz w:val="18"/>
        <w:szCs w:val="18"/>
        <w:lang w:val="ru-RU"/>
      </w:rPr>
      <w:tab/>
    </w:r>
    <w:r w:rsidRPr="004B3CB3">
      <w:rPr>
        <w:rFonts w:ascii="Arial" w:hAnsi="Arial"/>
        <w:i/>
        <w:iCs/>
        <w:color w:val="800080"/>
        <w:sz w:val="18"/>
        <w:szCs w:val="18"/>
        <w:lang w:val="ru-RU"/>
      </w:rPr>
      <w:t xml:space="preserve">     </w:t>
    </w:r>
    <w:r w:rsidRPr="004B3CB3">
      <w:rPr>
        <w:rFonts w:ascii="Arial" w:hAnsi="Arial"/>
        <w:i/>
        <w:iCs/>
        <w:color w:val="800080"/>
        <w:sz w:val="18"/>
        <w:szCs w:val="18"/>
      </w:rPr>
      <w:fldChar w:fldCharType="begin"/>
    </w:r>
    <w:r w:rsidRPr="004B3CB3">
      <w:rPr>
        <w:rFonts w:ascii="Arial" w:hAnsi="Arial"/>
        <w:i/>
        <w:iCs/>
        <w:color w:val="800080"/>
        <w:sz w:val="18"/>
        <w:szCs w:val="18"/>
      </w:rPr>
      <w:instrText xml:space="preserve"> PAGE   \* MERGEFORMAT </w:instrText>
    </w:r>
    <w:r w:rsidRPr="004B3CB3">
      <w:rPr>
        <w:rFonts w:ascii="Arial" w:hAnsi="Arial"/>
        <w:i/>
        <w:iCs/>
        <w:color w:val="800080"/>
        <w:sz w:val="18"/>
        <w:szCs w:val="18"/>
      </w:rPr>
      <w:fldChar w:fldCharType="separate"/>
    </w:r>
    <w:r w:rsidR="005F465B">
      <w:rPr>
        <w:rFonts w:ascii="Arial" w:hAnsi="Arial"/>
        <w:i/>
        <w:iCs/>
        <w:noProof/>
        <w:color w:val="800080"/>
        <w:sz w:val="18"/>
        <w:szCs w:val="18"/>
      </w:rPr>
      <w:t>1</w:t>
    </w:r>
    <w:r w:rsidRPr="004B3CB3">
      <w:rPr>
        <w:rFonts w:ascii="Arial" w:hAnsi="Arial"/>
        <w:i/>
        <w:iCs/>
        <w:color w:val="800080"/>
        <w:sz w:val="18"/>
        <w:szCs w:val="18"/>
      </w:rPr>
      <w:fldChar w:fldCharType="end"/>
    </w:r>
  </w:p>
  <w:p w14:paraId="09DC996F" w14:textId="77777777" w:rsidR="005618E1" w:rsidRPr="004B3CB3" w:rsidRDefault="00124D9C">
    <w:pPr>
      <w:pStyle w:val="Footer"/>
      <w:ind w:right="360"/>
      <w:rPr>
        <w:rFonts w:ascii="Arial" w:hAnsi="Arial"/>
        <w:i/>
        <w:iCs/>
        <w:color w:val="800080"/>
        <w:sz w:val="18"/>
        <w:szCs w:val="18"/>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74C242" w14:textId="77777777" w:rsidR="00124D9C" w:rsidRDefault="00124D9C">
      <w:r>
        <w:separator/>
      </w:r>
    </w:p>
  </w:footnote>
  <w:footnote w:type="continuationSeparator" w:id="0">
    <w:p w14:paraId="609AC133" w14:textId="77777777" w:rsidR="00124D9C" w:rsidRDefault="00124D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1E0" w:firstRow="1" w:lastRow="1" w:firstColumn="1" w:lastColumn="1" w:noHBand="0" w:noVBand="0"/>
    </w:tblPr>
    <w:tblGrid>
      <w:gridCol w:w="7379"/>
      <w:gridCol w:w="2535"/>
    </w:tblGrid>
    <w:tr w:rsidR="005618E1" w14:paraId="1A7D0AE8" w14:textId="77777777">
      <w:trPr>
        <w:trHeight w:val="495"/>
      </w:trPr>
      <w:tc>
        <w:tcPr>
          <w:tcW w:w="7379" w:type="dxa"/>
        </w:tcPr>
        <w:p w14:paraId="08E7EEC7" w14:textId="77777777" w:rsidR="005618E1" w:rsidRDefault="00403CB9">
          <w:r>
            <w:rPr>
              <w:rFonts w:ascii="Palatino Linotype" w:hAnsi="Palatino Linotype" w:cs="Palatino Linotype"/>
              <w:i/>
              <w:iCs/>
              <w:noProof/>
              <w:sz w:val="52"/>
              <w:szCs w:val="52"/>
              <w:lang w:eastAsia="bg-BG"/>
            </w:rPr>
            <w:drawing>
              <wp:inline distT="0" distB="0" distL="0" distR="0" wp14:anchorId="33D996EE" wp14:editId="3D7FE48E">
                <wp:extent cx="233680" cy="212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rPr>
            <w:t>INFO SHEET</w:t>
          </w:r>
          <w:r>
            <w:rPr>
              <w:rFonts w:ascii="Arial" w:hAnsi="Arial" w:cs="Arial"/>
              <w:b/>
              <w:i/>
              <w:color w:val="0000FF"/>
              <w:sz w:val="44"/>
              <w:szCs w:val="44"/>
              <w:lang w:val="en-US"/>
            </w:rPr>
            <w:t xml:space="preserve"> </w:t>
          </w:r>
          <w:r>
            <w:rPr>
              <w:rFonts w:ascii="Arial" w:hAnsi="Arial" w:cs="Arial"/>
              <w:b/>
              <w:i/>
              <w:color w:val="0000FF"/>
              <w:sz w:val="44"/>
              <w:szCs w:val="44"/>
            </w:rPr>
            <w:t xml:space="preserve">         </w:t>
          </w:r>
        </w:p>
      </w:tc>
      <w:tc>
        <w:tcPr>
          <w:tcW w:w="2535" w:type="dxa"/>
          <w:vMerge w:val="restart"/>
          <w:tcBorders>
            <w:bottom w:val="single" w:sz="24" w:space="0" w:color="0000FF"/>
          </w:tcBorders>
          <w:vAlign w:val="center"/>
        </w:tcPr>
        <w:p w14:paraId="44C00F66" w14:textId="77777777" w:rsidR="005618E1" w:rsidRDefault="00124D9C" w:rsidP="00831EFF">
          <w:pPr>
            <w:jc w:val="right"/>
            <w:rPr>
              <w:rFonts w:ascii="Comic Sans MS" w:hAnsi="Comic Sans MS" w:cs="Arial"/>
              <w:b/>
              <w:color w:val="640064"/>
              <w:sz w:val="18"/>
              <w:szCs w:val="18"/>
            </w:rPr>
          </w:pPr>
        </w:p>
        <w:p w14:paraId="171BA45C" w14:textId="77777777" w:rsidR="005618E1" w:rsidRDefault="00403CB9" w:rsidP="00FB1F3E">
          <w:pPr>
            <w:jc w:val="right"/>
            <w:rPr>
              <w:color w:val="640064"/>
              <w:sz w:val="18"/>
              <w:szCs w:val="18"/>
              <w:lang w:val="en-US"/>
            </w:rPr>
          </w:pPr>
          <w:r>
            <w:rPr>
              <w:rFonts w:ascii="Comic Sans MS" w:hAnsi="Comic Sans MS" w:cs="Arial"/>
              <w:b/>
              <w:color w:val="640064"/>
              <w:sz w:val="18"/>
              <w:szCs w:val="18"/>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rPr>
            <w:br/>
          </w:r>
          <w:r w:rsidR="008836F2">
            <w:rPr>
              <w:rFonts w:ascii="Comic Sans MS" w:hAnsi="Comic Sans MS" w:cs="Arial"/>
              <w:b/>
              <w:color w:val="640064"/>
              <w:sz w:val="18"/>
              <w:szCs w:val="18"/>
              <w:lang w:val="en-US"/>
            </w:rPr>
            <w:t>MARKET SUPP</w:t>
          </w:r>
          <w:r>
            <w:rPr>
              <w:rFonts w:ascii="Comic Sans MS" w:hAnsi="Comic Sans MS" w:cs="Arial"/>
              <w:b/>
              <w:color w:val="640064"/>
              <w:sz w:val="18"/>
              <w:szCs w:val="18"/>
              <w:lang w:val="en-US"/>
            </w:rPr>
            <w:t>ORT</w:t>
          </w:r>
        </w:p>
      </w:tc>
    </w:tr>
    <w:tr w:rsidR="005618E1" w14:paraId="3D8B2FDF" w14:textId="77777777">
      <w:trPr>
        <w:trHeight w:val="241"/>
      </w:trPr>
      <w:tc>
        <w:tcPr>
          <w:tcW w:w="7379" w:type="dxa"/>
          <w:tcBorders>
            <w:bottom w:val="single" w:sz="24" w:space="0" w:color="0000FF"/>
          </w:tcBorders>
        </w:tcPr>
        <w:p w14:paraId="4A182393" w14:textId="77777777" w:rsidR="005618E1" w:rsidRDefault="00403CB9">
          <w:pPr>
            <w:rPr>
              <w:sz w:val="20"/>
              <w:lang w:val="ru-RU"/>
            </w:rPr>
          </w:pPr>
          <w:r>
            <w:rPr>
              <w:rFonts w:ascii="Arial" w:hAnsi="Arial"/>
              <w:b/>
              <w:color w:val="800080"/>
              <w:sz w:val="20"/>
            </w:rPr>
            <w:t>Събития</w:t>
          </w:r>
          <w:r>
            <w:rPr>
              <w:rFonts w:ascii="Arial" w:hAnsi="Arial"/>
              <w:b/>
              <w:color w:val="800080"/>
              <w:sz w:val="20"/>
              <w:lang w:val="ru-RU"/>
            </w:rPr>
            <w:t>та</w:t>
          </w:r>
          <w:r>
            <w:rPr>
              <w:rFonts w:ascii="Arial" w:hAnsi="Arial"/>
              <w:b/>
              <w:color w:val="800080"/>
              <w:sz w:val="20"/>
            </w:rPr>
            <w:t xml:space="preserve"> от изминалата седмица          </w:t>
          </w:r>
        </w:p>
      </w:tc>
      <w:tc>
        <w:tcPr>
          <w:tcW w:w="2535" w:type="dxa"/>
          <w:vMerge/>
          <w:tcBorders>
            <w:top w:val="single" w:sz="4" w:space="0" w:color="auto"/>
            <w:bottom w:val="single" w:sz="24" w:space="0" w:color="0000FF"/>
          </w:tcBorders>
        </w:tcPr>
        <w:p w14:paraId="1B198836" w14:textId="77777777" w:rsidR="005618E1" w:rsidRDefault="00124D9C">
          <w:pPr>
            <w:rPr>
              <w:lang w:val="ru-RU"/>
            </w:rPr>
          </w:pPr>
        </w:p>
      </w:tc>
    </w:tr>
  </w:tbl>
  <w:p w14:paraId="1FB856F4" w14:textId="77777777"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rPr>
      <w:tab/>
    </w:r>
    <w:r w:rsidR="00050832">
      <w:rPr>
        <w:rFonts w:ascii="Arial" w:hAnsi="Arial"/>
        <w:b/>
        <w:bCs/>
        <w:color w:val="800080"/>
        <w:sz w:val="20"/>
        <w:lang w:val="en-US"/>
      </w:rPr>
      <w:t>4</w:t>
    </w:r>
    <w:r w:rsidR="008D7A9E">
      <w:rPr>
        <w:rFonts w:ascii="Arial" w:hAnsi="Arial"/>
        <w:b/>
        <w:bCs/>
        <w:color w:val="800080"/>
        <w:sz w:val="20"/>
        <w:lang w:val="en-US"/>
      </w:rPr>
      <w:t>2</w:t>
    </w:r>
    <w:r w:rsidR="00350E9F">
      <w:rPr>
        <w:rFonts w:ascii="Arial" w:hAnsi="Arial"/>
        <w:b/>
        <w:bCs/>
        <w:color w:val="800080"/>
        <w:sz w:val="20"/>
      </w:rPr>
      <w:t>5</w:t>
    </w:r>
    <w:r>
      <w:rPr>
        <w:rFonts w:ascii="Arial" w:hAnsi="Arial"/>
        <w:b/>
        <w:bCs/>
        <w:color w:val="800080"/>
        <w:sz w:val="20"/>
      </w:rPr>
      <w:t>/</w:t>
    </w:r>
    <w:r w:rsidR="00350E9F">
      <w:rPr>
        <w:rFonts w:ascii="Arial" w:hAnsi="Arial"/>
        <w:b/>
        <w:bCs/>
        <w:color w:val="800080"/>
        <w:sz w:val="20"/>
      </w:rPr>
      <w:t>22</w:t>
    </w:r>
    <w:r w:rsidR="006E7A46">
      <w:rPr>
        <w:rFonts w:ascii="Arial" w:hAnsi="Arial"/>
        <w:b/>
        <w:bCs/>
        <w:color w:val="800080"/>
        <w:sz w:val="20"/>
        <w:lang w:val="en-US"/>
      </w:rPr>
      <w:t>.</w:t>
    </w:r>
    <w:r w:rsidR="002C512F">
      <w:rPr>
        <w:rFonts w:ascii="Arial" w:hAnsi="Arial"/>
        <w:b/>
        <w:bCs/>
        <w:color w:val="800080"/>
        <w:sz w:val="20"/>
        <w:lang w:val="en-US"/>
      </w:rPr>
      <w:t>0</w:t>
    </w:r>
    <w:r w:rsidR="00305C45">
      <w:rPr>
        <w:rFonts w:ascii="Arial" w:hAnsi="Arial"/>
        <w:b/>
        <w:bCs/>
        <w:color w:val="800080"/>
        <w:sz w:val="20"/>
        <w:lang w:val="en-US"/>
      </w:rPr>
      <w:t>6</w:t>
    </w:r>
    <w:r>
      <w:rPr>
        <w:rFonts w:ascii="Arial" w:hAnsi="Arial"/>
        <w:b/>
        <w:bCs/>
        <w:color w:val="800080"/>
        <w:sz w:val="20"/>
      </w:rPr>
      <w:t>.20</w:t>
    </w:r>
    <w:r w:rsidR="00B36E39">
      <w:rPr>
        <w:rFonts w:ascii="Arial" w:hAnsi="Arial"/>
        <w:b/>
        <w:bCs/>
        <w:color w:val="800080"/>
        <w:sz w:val="20"/>
        <w:lang w:val="en-US"/>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nsid w:val="41E66499"/>
    <w:multiLevelType w:val="hybridMultilevel"/>
    <w:tmpl w:val="3B4C22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4">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
    <w:nsid w:val="4CE66999"/>
    <w:multiLevelType w:val="hybridMultilevel"/>
    <w:tmpl w:val="94BA4AD2"/>
    <w:lvl w:ilvl="0" w:tplc="1EAAD70C">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4D7D0709"/>
    <w:multiLevelType w:val="hybridMultilevel"/>
    <w:tmpl w:val="E1CE1E36"/>
    <w:lvl w:ilvl="0" w:tplc="F314FBF8">
      <w:start w:val="1"/>
      <w:numFmt w:val="bullet"/>
      <w:lvlText w:val=""/>
      <w:lvlJc w:val="center"/>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7">
    <w:nsid w:val="725150E0"/>
    <w:multiLevelType w:val="hybridMultilevel"/>
    <w:tmpl w:val="C240AE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8">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9"/>
  </w:num>
  <w:num w:numId="2">
    <w:abstractNumId w:val="8"/>
  </w:num>
  <w:num w:numId="3">
    <w:abstractNumId w:val="4"/>
  </w:num>
  <w:num w:numId="4">
    <w:abstractNumId w:val="2"/>
  </w:num>
  <w:num w:numId="5">
    <w:abstractNumId w:val="0"/>
  </w:num>
  <w:num w:numId="6">
    <w:abstractNumId w:val="1"/>
  </w:num>
  <w:num w:numId="7">
    <w:abstractNumId w:val="6"/>
  </w:num>
  <w:num w:numId="8">
    <w:abstractNumId w:val="3"/>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B9"/>
    <w:rsid w:val="00000E7B"/>
    <w:rsid w:val="000023EA"/>
    <w:rsid w:val="000144D9"/>
    <w:rsid w:val="0001496E"/>
    <w:rsid w:val="0002497A"/>
    <w:rsid w:val="00024DB1"/>
    <w:rsid w:val="00032EDB"/>
    <w:rsid w:val="0004366B"/>
    <w:rsid w:val="00046BB0"/>
    <w:rsid w:val="00046D50"/>
    <w:rsid w:val="00050832"/>
    <w:rsid w:val="000518AE"/>
    <w:rsid w:val="0005714A"/>
    <w:rsid w:val="0006687D"/>
    <w:rsid w:val="000678FD"/>
    <w:rsid w:val="0007208A"/>
    <w:rsid w:val="00081DAE"/>
    <w:rsid w:val="00083F52"/>
    <w:rsid w:val="00091CD4"/>
    <w:rsid w:val="000A31F0"/>
    <w:rsid w:val="000B2026"/>
    <w:rsid w:val="000B7B54"/>
    <w:rsid w:val="001164FC"/>
    <w:rsid w:val="001173C3"/>
    <w:rsid w:val="00117A81"/>
    <w:rsid w:val="00120AD2"/>
    <w:rsid w:val="00124D9C"/>
    <w:rsid w:val="00130877"/>
    <w:rsid w:val="00131A6D"/>
    <w:rsid w:val="00134872"/>
    <w:rsid w:val="0013606E"/>
    <w:rsid w:val="0014608C"/>
    <w:rsid w:val="001639CC"/>
    <w:rsid w:val="00170DF4"/>
    <w:rsid w:val="00173E25"/>
    <w:rsid w:val="00180311"/>
    <w:rsid w:val="00180441"/>
    <w:rsid w:val="00186654"/>
    <w:rsid w:val="00193EEE"/>
    <w:rsid w:val="001A6A7A"/>
    <w:rsid w:val="001B03FF"/>
    <w:rsid w:val="001B1430"/>
    <w:rsid w:val="001B5399"/>
    <w:rsid w:val="001C3E8B"/>
    <w:rsid w:val="001C3F62"/>
    <w:rsid w:val="001E1EAA"/>
    <w:rsid w:val="001E1F98"/>
    <w:rsid w:val="001E4050"/>
    <w:rsid w:val="001E4C01"/>
    <w:rsid w:val="001F2EC7"/>
    <w:rsid w:val="001F396B"/>
    <w:rsid w:val="00210721"/>
    <w:rsid w:val="00210DBD"/>
    <w:rsid w:val="002118F6"/>
    <w:rsid w:val="00215B7E"/>
    <w:rsid w:val="002163C0"/>
    <w:rsid w:val="00221CDF"/>
    <w:rsid w:val="0024546F"/>
    <w:rsid w:val="002521C1"/>
    <w:rsid w:val="002610A9"/>
    <w:rsid w:val="002619B3"/>
    <w:rsid w:val="002653C2"/>
    <w:rsid w:val="00274F4E"/>
    <w:rsid w:val="00275471"/>
    <w:rsid w:val="00285183"/>
    <w:rsid w:val="0029075B"/>
    <w:rsid w:val="002918DE"/>
    <w:rsid w:val="0029220D"/>
    <w:rsid w:val="002A2BBE"/>
    <w:rsid w:val="002A2C5F"/>
    <w:rsid w:val="002A5150"/>
    <w:rsid w:val="002A6A4C"/>
    <w:rsid w:val="002B379D"/>
    <w:rsid w:val="002B44DA"/>
    <w:rsid w:val="002C21A3"/>
    <w:rsid w:val="002C512F"/>
    <w:rsid w:val="002C6EFE"/>
    <w:rsid w:val="002D0216"/>
    <w:rsid w:val="002D1A87"/>
    <w:rsid w:val="002D25F9"/>
    <w:rsid w:val="002D4BE9"/>
    <w:rsid w:val="002D6243"/>
    <w:rsid w:val="002F1104"/>
    <w:rsid w:val="002F6211"/>
    <w:rsid w:val="002F7E40"/>
    <w:rsid w:val="00300FA3"/>
    <w:rsid w:val="00303C35"/>
    <w:rsid w:val="00304D05"/>
    <w:rsid w:val="00305C45"/>
    <w:rsid w:val="00312DA6"/>
    <w:rsid w:val="0031390F"/>
    <w:rsid w:val="00313FBA"/>
    <w:rsid w:val="00320AF0"/>
    <w:rsid w:val="0033369E"/>
    <w:rsid w:val="00350E9F"/>
    <w:rsid w:val="00353ACF"/>
    <w:rsid w:val="003877CA"/>
    <w:rsid w:val="003952CE"/>
    <w:rsid w:val="00396C28"/>
    <w:rsid w:val="003A56BA"/>
    <w:rsid w:val="003B7AAB"/>
    <w:rsid w:val="003C0E47"/>
    <w:rsid w:val="003C1BFF"/>
    <w:rsid w:val="003C3DEB"/>
    <w:rsid w:val="003D0C6C"/>
    <w:rsid w:val="003D4968"/>
    <w:rsid w:val="003D5B7F"/>
    <w:rsid w:val="003D6634"/>
    <w:rsid w:val="003D7D61"/>
    <w:rsid w:val="003E0404"/>
    <w:rsid w:val="003E118D"/>
    <w:rsid w:val="003E5CB2"/>
    <w:rsid w:val="003F562A"/>
    <w:rsid w:val="003F6ACB"/>
    <w:rsid w:val="00403CB9"/>
    <w:rsid w:val="00411829"/>
    <w:rsid w:val="004133A8"/>
    <w:rsid w:val="00414784"/>
    <w:rsid w:val="00422311"/>
    <w:rsid w:val="004317EA"/>
    <w:rsid w:val="0043388D"/>
    <w:rsid w:val="0044148C"/>
    <w:rsid w:val="0044523D"/>
    <w:rsid w:val="00446398"/>
    <w:rsid w:val="0046415A"/>
    <w:rsid w:val="004923C1"/>
    <w:rsid w:val="00496775"/>
    <w:rsid w:val="004A0254"/>
    <w:rsid w:val="004A4C92"/>
    <w:rsid w:val="004B46D9"/>
    <w:rsid w:val="004F4705"/>
    <w:rsid w:val="004F5E4F"/>
    <w:rsid w:val="00502A0A"/>
    <w:rsid w:val="0051071D"/>
    <w:rsid w:val="005159B7"/>
    <w:rsid w:val="005179AD"/>
    <w:rsid w:val="005247A5"/>
    <w:rsid w:val="0052706F"/>
    <w:rsid w:val="005279E4"/>
    <w:rsid w:val="00530C09"/>
    <w:rsid w:val="00537A32"/>
    <w:rsid w:val="00542DE9"/>
    <w:rsid w:val="00550360"/>
    <w:rsid w:val="005578CC"/>
    <w:rsid w:val="00562C02"/>
    <w:rsid w:val="00563064"/>
    <w:rsid w:val="005703A7"/>
    <w:rsid w:val="00594324"/>
    <w:rsid w:val="00596313"/>
    <w:rsid w:val="005A0184"/>
    <w:rsid w:val="005B1884"/>
    <w:rsid w:val="005B4574"/>
    <w:rsid w:val="005C1BB7"/>
    <w:rsid w:val="005F465B"/>
    <w:rsid w:val="006068B4"/>
    <w:rsid w:val="00623765"/>
    <w:rsid w:val="00626A3F"/>
    <w:rsid w:val="00627881"/>
    <w:rsid w:val="006367A9"/>
    <w:rsid w:val="00642BB6"/>
    <w:rsid w:val="0066444F"/>
    <w:rsid w:val="00682667"/>
    <w:rsid w:val="006917F8"/>
    <w:rsid w:val="006961F0"/>
    <w:rsid w:val="006A094F"/>
    <w:rsid w:val="006A7391"/>
    <w:rsid w:val="006A739D"/>
    <w:rsid w:val="006B2EDA"/>
    <w:rsid w:val="006B77AC"/>
    <w:rsid w:val="006C196D"/>
    <w:rsid w:val="006E7A46"/>
    <w:rsid w:val="006F38F7"/>
    <w:rsid w:val="00700ADF"/>
    <w:rsid w:val="0070200F"/>
    <w:rsid w:val="00703C0B"/>
    <w:rsid w:val="00705B40"/>
    <w:rsid w:val="00713942"/>
    <w:rsid w:val="00714838"/>
    <w:rsid w:val="00726AB6"/>
    <w:rsid w:val="00734448"/>
    <w:rsid w:val="00750FB4"/>
    <w:rsid w:val="00760591"/>
    <w:rsid w:val="007712FE"/>
    <w:rsid w:val="00782D3D"/>
    <w:rsid w:val="007846E5"/>
    <w:rsid w:val="007A388B"/>
    <w:rsid w:val="007A70E6"/>
    <w:rsid w:val="007B03F2"/>
    <w:rsid w:val="007B0CB0"/>
    <w:rsid w:val="007C3F39"/>
    <w:rsid w:val="007C75B4"/>
    <w:rsid w:val="007D7438"/>
    <w:rsid w:val="007E475C"/>
    <w:rsid w:val="007F4E89"/>
    <w:rsid w:val="008030C3"/>
    <w:rsid w:val="00811B89"/>
    <w:rsid w:val="00816686"/>
    <w:rsid w:val="0082007C"/>
    <w:rsid w:val="008206C1"/>
    <w:rsid w:val="0083184F"/>
    <w:rsid w:val="0083232B"/>
    <w:rsid w:val="0083658E"/>
    <w:rsid w:val="00845489"/>
    <w:rsid w:val="00852DE4"/>
    <w:rsid w:val="00856721"/>
    <w:rsid w:val="00861450"/>
    <w:rsid w:val="00865E24"/>
    <w:rsid w:val="0087702E"/>
    <w:rsid w:val="0087763E"/>
    <w:rsid w:val="008803A4"/>
    <w:rsid w:val="008836F2"/>
    <w:rsid w:val="008933AB"/>
    <w:rsid w:val="008A1360"/>
    <w:rsid w:val="008B2118"/>
    <w:rsid w:val="008C1794"/>
    <w:rsid w:val="008D0E78"/>
    <w:rsid w:val="008D2FF4"/>
    <w:rsid w:val="008D58EC"/>
    <w:rsid w:val="008D7A9E"/>
    <w:rsid w:val="008E0F81"/>
    <w:rsid w:val="008F08AE"/>
    <w:rsid w:val="008F1C90"/>
    <w:rsid w:val="008F7ECC"/>
    <w:rsid w:val="009063C7"/>
    <w:rsid w:val="0090678A"/>
    <w:rsid w:val="00910462"/>
    <w:rsid w:val="00917F99"/>
    <w:rsid w:val="009203FA"/>
    <w:rsid w:val="009273A5"/>
    <w:rsid w:val="00934FA6"/>
    <w:rsid w:val="009355BA"/>
    <w:rsid w:val="00955B0D"/>
    <w:rsid w:val="00956512"/>
    <w:rsid w:val="009704A2"/>
    <w:rsid w:val="00975F09"/>
    <w:rsid w:val="00977CA7"/>
    <w:rsid w:val="0099695D"/>
    <w:rsid w:val="009A2752"/>
    <w:rsid w:val="009A5D09"/>
    <w:rsid w:val="009B1FAD"/>
    <w:rsid w:val="009B3A00"/>
    <w:rsid w:val="009D0924"/>
    <w:rsid w:val="009D6F1E"/>
    <w:rsid w:val="009E45D3"/>
    <w:rsid w:val="009E6BDB"/>
    <w:rsid w:val="009F4E95"/>
    <w:rsid w:val="009F54DC"/>
    <w:rsid w:val="009F7022"/>
    <w:rsid w:val="00A02393"/>
    <w:rsid w:val="00A1170C"/>
    <w:rsid w:val="00A15D87"/>
    <w:rsid w:val="00A227FC"/>
    <w:rsid w:val="00A25AAA"/>
    <w:rsid w:val="00A447C0"/>
    <w:rsid w:val="00A45553"/>
    <w:rsid w:val="00A50E2C"/>
    <w:rsid w:val="00A5214D"/>
    <w:rsid w:val="00A56825"/>
    <w:rsid w:val="00A673EB"/>
    <w:rsid w:val="00A735B5"/>
    <w:rsid w:val="00A74737"/>
    <w:rsid w:val="00A77EC5"/>
    <w:rsid w:val="00AB140A"/>
    <w:rsid w:val="00AB1841"/>
    <w:rsid w:val="00AB2303"/>
    <w:rsid w:val="00AC334C"/>
    <w:rsid w:val="00AC73DE"/>
    <w:rsid w:val="00AD504F"/>
    <w:rsid w:val="00AE0D25"/>
    <w:rsid w:val="00AE14FF"/>
    <w:rsid w:val="00AE2FF4"/>
    <w:rsid w:val="00B03285"/>
    <w:rsid w:val="00B16835"/>
    <w:rsid w:val="00B16C07"/>
    <w:rsid w:val="00B200ED"/>
    <w:rsid w:val="00B3223C"/>
    <w:rsid w:val="00B34793"/>
    <w:rsid w:val="00B36E39"/>
    <w:rsid w:val="00B411AC"/>
    <w:rsid w:val="00B44188"/>
    <w:rsid w:val="00B539A9"/>
    <w:rsid w:val="00B6207E"/>
    <w:rsid w:val="00B64F87"/>
    <w:rsid w:val="00B73DA3"/>
    <w:rsid w:val="00B81125"/>
    <w:rsid w:val="00B8112B"/>
    <w:rsid w:val="00B853D4"/>
    <w:rsid w:val="00B90317"/>
    <w:rsid w:val="00B93F21"/>
    <w:rsid w:val="00BA2A9E"/>
    <w:rsid w:val="00BA469B"/>
    <w:rsid w:val="00BB6D01"/>
    <w:rsid w:val="00BC35B8"/>
    <w:rsid w:val="00BC70E2"/>
    <w:rsid w:val="00BE55CA"/>
    <w:rsid w:val="00BF118B"/>
    <w:rsid w:val="00BF28EC"/>
    <w:rsid w:val="00C00F88"/>
    <w:rsid w:val="00C0120F"/>
    <w:rsid w:val="00C05E95"/>
    <w:rsid w:val="00C20809"/>
    <w:rsid w:val="00C3643A"/>
    <w:rsid w:val="00C37B23"/>
    <w:rsid w:val="00C43C39"/>
    <w:rsid w:val="00C44608"/>
    <w:rsid w:val="00C458AC"/>
    <w:rsid w:val="00C574EE"/>
    <w:rsid w:val="00C60D17"/>
    <w:rsid w:val="00C6312D"/>
    <w:rsid w:val="00C718EB"/>
    <w:rsid w:val="00C74E61"/>
    <w:rsid w:val="00C7577F"/>
    <w:rsid w:val="00C801BF"/>
    <w:rsid w:val="00CA35A8"/>
    <w:rsid w:val="00CA7960"/>
    <w:rsid w:val="00CB196D"/>
    <w:rsid w:val="00CB2886"/>
    <w:rsid w:val="00CC7CF0"/>
    <w:rsid w:val="00CE5E69"/>
    <w:rsid w:val="00CF0DEA"/>
    <w:rsid w:val="00CF34EE"/>
    <w:rsid w:val="00D000AE"/>
    <w:rsid w:val="00D100BD"/>
    <w:rsid w:val="00D1195A"/>
    <w:rsid w:val="00D14F3F"/>
    <w:rsid w:val="00D167B1"/>
    <w:rsid w:val="00D25C9A"/>
    <w:rsid w:val="00D3159B"/>
    <w:rsid w:val="00D32B06"/>
    <w:rsid w:val="00D43BBD"/>
    <w:rsid w:val="00D52E17"/>
    <w:rsid w:val="00D61B59"/>
    <w:rsid w:val="00D6359C"/>
    <w:rsid w:val="00D63914"/>
    <w:rsid w:val="00D73A17"/>
    <w:rsid w:val="00D758EF"/>
    <w:rsid w:val="00D80D84"/>
    <w:rsid w:val="00D8519B"/>
    <w:rsid w:val="00D8580C"/>
    <w:rsid w:val="00D86732"/>
    <w:rsid w:val="00DA44A9"/>
    <w:rsid w:val="00DA4860"/>
    <w:rsid w:val="00DC5A8E"/>
    <w:rsid w:val="00DE752F"/>
    <w:rsid w:val="00DF7E91"/>
    <w:rsid w:val="00E02B6A"/>
    <w:rsid w:val="00E17E07"/>
    <w:rsid w:val="00E2125A"/>
    <w:rsid w:val="00E23670"/>
    <w:rsid w:val="00E24FA2"/>
    <w:rsid w:val="00E256E7"/>
    <w:rsid w:val="00E35D6F"/>
    <w:rsid w:val="00E4290A"/>
    <w:rsid w:val="00E44DF1"/>
    <w:rsid w:val="00E47639"/>
    <w:rsid w:val="00E51A6D"/>
    <w:rsid w:val="00E5449B"/>
    <w:rsid w:val="00E6099A"/>
    <w:rsid w:val="00E60B1D"/>
    <w:rsid w:val="00E67885"/>
    <w:rsid w:val="00E844AB"/>
    <w:rsid w:val="00E844FB"/>
    <w:rsid w:val="00EA4B29"/>
    <w:rsid w:val="00EA4B99"/>
    <w:rsid w:val="00EA5878"/>
    <w:rsid w:val="00EB0F17"/>
    <w:rsid w:val="00EB289B"/>
    <w:rsid w:val="00EB4927"/>
    <w:rsid w:val="00EB783C"/>
    <w:rsid w:val="00EC0DDC"/>
    <w:rsid w:val="00EC4213"/>
    <w:rsid w:val="00EC6BA3"/>
    <w:rsid w:val="00EE1065"/>
    <w:rsid w:val="00EE38E7"/>
    <w:rsid w:val="00EE7B1B"/>
    <w:rsid w:val="00EF2EEE"/>
    <w:rsid w:val="00F029F3"/>
    <w:rsid w:val="00F0360F"/>
    <w:rsid w:val="00F045BF"/>
    <w:rsid w:val="00F12C83"/>
    <w:rsid w:val="00F23EFD"/>
    <w:rsid w:val="00F30D26"/>
    <w:rsid w:val="00F40970"/>
    <w:rsid w:val="00F43319"/>
    <w:rsid w:val="00F4416D"/>
    <w:rsid w:val="00F531AD"/>
    <w:rsid w:val="00F5426C"/>
    <w:rsid w:val="00F6008B"/>
    <w:rsid w:val="00F67B7A"/>
    <w:rsid w:val="00F70B6C"/>
    <w:rsid w:val="00F72B07"/>
    <w:rsid w:val="00F72F6C"/>
    <w:rsid w:val="00F73C4B"/>
    <w:rsid w:val="00F74337"/>
    <w:rsid w:val="00F95033"/>
    <w:rsid w:val="00FD4196"/>
    <w:rsid w:val="00FD5503"/>
    <w:rsid w:val="00FE14C1"/>
    <w:rsid w:val="00FE4D8F"/>
    <w:rsid w:val="00FE657F"/>
    <w:rsid w:val="00FF041A"/>
    <w:rsid w:val="00FF3C83"/>
    <w:rsid w:val="00FF4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9F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uiPriority w:val="99"/>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uiPriority w:val="99"/>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241644202">
      <w:bodyDiv w:val="1"/>
      <w:marLeft w:val="0"/>
      <w:marRight w:val="0"/>
      <w:marTop w:val="0"/>
      <w:marBottom w:val="0"/>
      <w:divBdr>
        <w:top w:val="none" w:sz="0" w:space="0" w:color="auto"/>
        <w:left w:val="none" w:sz="0" w:space="0" w:color="auto"/>
        <w:bottom w:val="none" w:sz="0" w:space="0" w:color="auto"/>
        <w:right w:val="none" w:sz="0" w:space="0" w:color="auto"/>
      </w:divBdr>
    </w:div>
    <w:div w:id="433937666">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560021652">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953755776">
      <w:bodyDiv w:val="1"/>
      <w:marLeft w:val="0"/>
      <w:marRight w:val="0"/>
      <w:marTop w:val="0"/>
      <w:marBottom w:val="0"/>
      <w:divBdr>
        <w:top w:val="none" w:sz="0" w:space="0" w:color="auto"/>
        <w:left w:val="none" w:sz="0" w:space="0" w:color="auto"/>
        <w:bottom w:val="none" w:sz="0" w:space="0" w:color="auto"/>
        <w:right w:val="none" w:sz="0" w:space="0" w:color="auto"/>
      </w:divBdr>
    </w:div>
    <w:div w:id="1013461771">
      <w:bodyDiv w:val="1"/>
      <w:marLeft w:val="0"/>
      <w:marRight w:val="0"/>
      <w:marTop w:val="0"/>
      <w:marBottom w:val="0"/>
      <w:divBdr>
        <w:top w:val="none" w:sz="0" w:space="0" w:color="auto"/>
        <w:left w:val="none" w:sz="0" w:space="0" w:color="auto"/>
        <w:bottom w:val="none" w:sz="0" w:space="0" w:color="auto"/>
        <w:right w:val="none" w:sz="0" w:space="0" w:color="auto"/>
      </w:divBdr>
    </w:div>
    <w:div w:id="1107505765">
      <w:bodyDiv w:val="1"/>
      <w:marLeft w:val="0"/>
      <w:marRight w:val="0"/>
      <w:marTop w:val="0"/>
      <w:marBottom w:val="0"/>
      <w:divBdr>
        <w:top w:val="none" w:sz="0" w:space="0" w:color="auto"/>
        <w:left w:val="none" w:sz="0" w:space="0" w:color="auto"/>
        <w:bottom w:val="none" w:sz="0" w:space="0" w:color="auto"/>
        <w:right w:val="none" w:sz="0" w:space="0" w:color="auto"/>
      </w:divBdr>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479495847">
      <w:bodyDiv w:val="1"/>
      <w:marLeft w:val="0"/>
      <w:marRight w:val="0"/>
      <w:marTop w:val="0"/>
      <w:marBottom w:val="0"/>
      <w:divBdr>
        <w:top w:val="none" w:sz="0" w:space="0" w:color="auto"/>
        <w:left w:val="none" w:sz="0" w:space="0" w:color="auto"/>
        <w:bottom w:val="none" w:sz="0" w:space="0" w:color="auto"/>
        <w:right w:val="none" w:sz="0" w:space="0" w:color="auto"/>
      </w:divBdr>
      <w:divsChild>
        <w:div w:id="490175239">
          <w:marLeft w:val="0"/>
          <w:marRight w:val="0"/>
          <w:marTop w:val="0"/>
          <w:marBottom w:val="0"/>
          <w:divBdr>
            <w:top w:val="none" w:sz="0" w:space="0" w:color="auto"/>
            <w:left w:val="none" w:sz="0" w:space="0" w:color="auto"/>
            <w:bottom w:val="none" w:sz="0" w:space="0" w:color="auto"/>
            <w:right w:val="none" w:sz="0" w:space="0" w:color="auto"/>
          </w:divBdr>
        </w:div>
      </w:divsChild>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528522263">
      <w:bodyDiv w:val="1"/>
      <w:marLeft w:val="0"/>
      <w:marRight w:val="0"/>
      <w:marTop w:val="0"/>
      <w:marBottom w:val="0"/>
      <w:divBdr>
        <w:top w:val="none" w:sz="0" w:space="0" w:color="auto"/>
        <w:left w:val="none" w:sz="0" w:space="0" w:color="auto"/>
        <w:bottom w:val="none" w:sz="0" w:space="0" w:color="auto"/>
        <w:right w:val="none" w:sz="0" w:space="0" w:color="auto"/>
      </w:divBdr>
      <w:divsChild>
        <w:div w:id="1532955808">
          <w:marLeft w:val="0"/>
          <w:marRight w:val="0"/>
          <w:marTop w:val="0"/>
          <w:marBottom w:val="0"/>
          <w:divBdr>
            <w:top w:val="none" w:sz="0" w:space="0" w:color="auto"/>
            <w:left w:val="none" w:sz="0" w:space="0" w:color="auto"/>
            <w:bottom w:val="none" w:sz="0" w:space="0" w:color="auto"/>
            <w:right w:val="none" w:sz="0" w:space="0" w:color="auto"/>
          </w:divBdr>
        </w:div>
      </w:divsChild>
    </w:div>
    <w:div w:id="1540163828">
      <w:bodyDiv w:val="1"/>
      <w:marLeft w:val="0"/>
      <w:marRight w:val="0"/>
      <w:marTop w:val="0"/>
      <w:marBottom w:val="0"/>
      <w:divBdr>
        <w:top w:val="none" w:sz="0" w:space="0" w:color="auto"/>
        <w:left w:val="none" w:sz="0" w:space="0" w:color="auto"/>
        <w:bottom w:val="none" w:sz="0" w:space="0" w:color="auto"/>
        <w:right w:val="none" w:sz="0" w:space="0" w:color="auto"/>
      </w:divBdr>
    </w:div>
    <w:div w:id="1749039099">
      <w:bodyDiv w:val="1"/>
      <w:marLeft w:val="0"/>
      <w:marRight w:val="0"/>
      <w:marTop w:val="0"/>
      <w:marBottom w:val="0"/>
      <w:divBdr>
        <w:top w:val="none" w:sz="0" w:space="0" w:color="auto"/>
        <w:left w:val="none" w:sz="0" w:space="0" w:color="auto"/>
        <w:bottom w:val="none" w:sz="0" w:space="0" w:color="auto"/>
        <w:right w:val="none" w:sz="0" w:space="0" w:color="auto"/>
      </w:divBdr>
    </w:div>
    <w:div w:id="1750037718">
      <w:bodyDiv w:val="1"/>
      <w:marLeft w:val="0"/>
      <w:marRight w:val="0"/>
      <w:marTop w:val="0"/>
      <w:marBottom w:val="0"/>
      <w:divBdr>
        <w:top w:val="none" w:sz="0" w:space="0" w:color="auto"/>
        <w:left w:val="none" w:sz="0" w:space="0" w:color="auto"/>
        <w:bottom w:val="none" w:sz="0" w:space="0" w:color="auto"/>
        <w:right w:val="none" w:sz="0" w:space="0" w:color="auto"/>
      </w:divBdr>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 w:id="1874923961">
      <w:bodyDiv w:val="1"/>
      <w:marLeft w:val="0"/>
      <w:marRight w:val="0"/>
      <w:marTop w:val="0"/>
      <w:marBottom w:val="0"/>
      <w:divBdr>
        <w:top w:val="none" w:sz="0" w:space="0" w:color="auto"/>
        <w:left w:val="none" w:sz="0" w:space="0" w:color="auto"/>
        <w:bottom w:val="none" w:sz="0" w:space="0" w:color="auto"/>
        <w:right w:val="none" w:sz="0" w:space="0" w:color="auto"/>
      </w:divBdr>
    </w:div>
    <w:div w:id="1961834929">
      <w:bodyDiv w:val="1"/>
      <w:marLeft w:val="0"/>
      <w:marRight w:val="0"/>
      <w:marTop w:val="0"/>
      <w:marBottom w:val="0"/>
      <w:divBdr>
        <w:top w:val="none" w:sz="0" w:space="0" w:color="auto"/>
        <w:left w:val="none" w:sz="0" w:space="0" w:color="auto"/>
        <w:bottom w:val="none" w:sz="0" w:space="0" w:color="auto"/>
        <w:right w:val="none" w:sz="0" w:space="0" w:color="auto"/>
      </w:divBdr>
    </w:div>
    <w:div w:id="211670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eca.europa.eu/Lists/ECADocuments/SR20_04/SR_New_technologies_in_agri-monitoring_BG.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7B32E-3B3B-4BAB-849D-F4A77178C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1796</Words>
  <Characters>10239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Potrebitel</cp:lastModifiedBy>
  <cp:revision>3</cp:revision>
  <dcterms:created xsi:type="dcterms:W3CDTF">2020-06-22T09:19:00Z</dcterms:created>
  <dcterms:modified xsi:type="dcterms:W3CDTF">2020-06-22T11:24:00Z</dcterms:modified>
</cp:coreProperties>
</file>