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6A760C">
            <w:pPr>
              <w:jc w:val="both"/>
              <w:rPr>
                <w:rFonts w:ascii="Arial" w:hAnsi="Arial" w:cs="Arial"/>
                <w:b/>
                <w:i/>
                <w:sz w:val="20"/>
              </w:rPr>
            </w:pPr>
            <w:r w:rsidRPr="006E7A46">
              <w:rPr>
                <w:rFonts w:ascii="Arial" w:hAnsi="Arial" w:cs="Arial"/>
                <w:b/>
                <w:i/>
                <w:sz w:val="20"/>
              </w:rPr>
              <w:t>Директни плащания</w:t>
            </w:r>
          </w:p>
        </w:tc>
      </w:tr>
    </w:tbl>
    <w:p w:rsidR="00F90089" w:rsidRDefault="00F90089" w:rsidP="006A760C">
      <w:pPr>
        <w:tabs>
          <w:tab w:val="left" w:pos="4177"/>
        </w:tabs>
        <w:jc w:val="both"/>
        <w:rPr>
          <w:rStyle w:val="longtext"/>
          <w:rFonts w:ascii="Arial" w:hAnsi="Arial" w:cs="Arial"/>
          <w:b/>
          <w:sz w:val="20"/>
          <w:lang w:val="en-US"/>
        </w:rPr>
      </w:pPr>
    </w:p>
    <w:p w:rsidR="00F90089" w:rsidRPr="0072505D" w:rsidRDefault="000144D9" w:rsidP="006A760C">
      <w:pPr>
        <w:tabs>
          <w:tab w:val="left" w:pos="4177"/>
        </w:tabs>
        <w:jc w:val="both"/>
        <w:rPr>
          <w:rFonts w:ascii="Arial" w:hAnsi="Arial" w:cs="Arial"/>
          <w:noProof/>
          <w:sz w:val="20"/>
        </w:rPr>
      </w:pPr>
      <w:r w:rsidRPr="0072505D">
        <w:rPr>
          <w:rStyle w:val="longtext"/>
          <w:rFonts w:ascii="Arial" w:hAnsi="Arial" w:cs="Arial"/>
          <w:b/>
          <w:noProof/>
          <w:sz w:val="20"/>
        </w:rPr>
        <w:t>1.</w:t>
      </w:r>
      <w:r w:rsidR="00F90089" w:rsidRPr="0072505D">
        <w:rPr>
          <w:rStyle w:val="longtext"/>
          <w:rFonts w:ascii="Arial" w:hAnsi="Arial" w:cs="Arial"/>
          <w:b/>
          <w:noProof/>
          <w:sz w:val="20"/>
        </w:rPr>
        <w:t xml:space="preserve"> </w:t>
      </w:r>
      <w:r w:rsidR="000A3D56" w:rsidRPr="0072505D">
        <w:rPr>
          <w:rFonts w:ascii="Arial" w:hAnsi="Arial" w:cs="Arial"/>
          <w:b/>
          <w:noProof/>
          <w:sz w:val="20"/>
        </w:rPr>
        <w:t>На 12</w:t>
      </w:r>
      <w:r w:rsidR="00C9506F" w:rsidRPr="0072505D">
        <w:rPr>
          <w:rFonts w:ascii="Arial" w:hAnsi="Arial" w:cs="Arial"/>
          <w:b/>
          <w:noProof/>
          <w:sz w:val="20"/>
        </w:rPr>
        <w:t xml:space="preserve"> март </w:t>
      </w:r>
      <w:r w:rsidR="000A3D56" w:rsidRPr="0072505D">
        <w:rPr>
          <w:rFonts w:ascii="Arial" w:hAnsi="Arial" w:cs="Arial"/>
          <w:b/>
          <w:noProof/>
          <w:sz w:val="20"/>
        </w:rPr>
        <w:t>2020 г. със з</w:t>
      </w:r>
      <w:r w:rsidR="00F90089" w:rsidRPr="0072505D">
        <w:rPr>
          <w:rFonts w:ascii="Arial" w:hAnsi="Arial" w:cs="Arial"/>
          <w:b/>
          <w:noProof/>
          <w:sz w:val="20"/>
        </w:rPr>
        <w:t xml:space="preserve">аповеди на министъра на земеделието, храните и горите е определен размерът на подпомагането по схемите за обвързана подкрепа за плодове и зеленчуци за Кампания 2019. </w:t>
      </w:r>
      <w:r w:rsidR="00F90089" w:rsidRPr="0072505D">
        <w:rPr>
          <w:rFonts w:ascii="Arial" w:hAnsi="Arial" w:cs="Arial"/>
          <w:noProof/>
          <w:sz w:val="20"/>
        </w:rPr>
        <w:t>При сх</w:t>
      </w:r>
      <w:r w:rsidR="004F2AF9" w:rsidRPr="0072505D">
        <w:rPr>
          <w:rFonts w:ascii="Arial" w:hAnsi="Arial" w:cs="Arial"/>
          <w:noProof/>
          <w:sz w:val="20"/>
        </w:rPr>
        <w:t>емата за обвързано подпомагане з</w:t>
      </w:r>
      <w:r w:rsidR="00F90089" w:rsidRPr="0072505D">
        <w:rPr>
          <w:rFonts w:ascii="Arial" w:hAnsi="Arial" w:cs="Arial"/>
          <w:noProof/>
          <w:sz w:val="20"/>
        </w:rPr>
        <w:t xml:space="preserve">а домати, краставици, корнишони и патладжан </w:t>
      </w:r>
      <w:r w:rsidR="004F2AF9" w:rsidRPr="0072505D">
        <w:rPr>
          <w:rFonts w:ascii="Arial" w:hAnsi="Arial" w:cs="Arial"/>
          <w:noProof/>
          <w:sz w:val="20"/>
        </w:rPr>
        <w:t xml:space="preserve">за първите </w:t>
      </w:r>
      <w:r w:rsidR="00F90089" w:rsidRPr="0072505D">
        <w:rPr>
          <w:rFonts w:ascii="Arial" w:hAnsi="Arial" w:cs="Arial"/>
          <w:noProof/>
          <w:sz w:val="20"/>
        </w:rPr>
        <w:t>30 ха е ставка</w:t>
      </w:r>
      <w:r w:rsidR="004F2AF9" w:rsidRPr="0072505D">
        <w:rPr>
          <w:rFonts w:ascii="Arial" w:hAnsi="Arial" w:cs="Arial"/>
          <w:noProof/>
          <w:sz w:val="20"/>
        </w:rPr>
        <w:t>та</w:t>
      </w:r>
      <w:r w:rsidR="00F90089" w:rsidRPr="0072505D">
        <w:rPr>
          <w:rFonts w:ascii="Arial" w:hAnsi="Arial" w:cs="Arial"/>
          <w:noProof/>
          <w:sz w:val="20"/>
        </w:rPr>
        <w:t xml:space="preserve"> </w:t>
      </w:r>
      <w:r w:rsidR="004F2AF9" w:rsidRPr="0072505D">
        <w:rPr>
          <w:rFonts w:ascii="Arial" w:hAnsi="Arial" w:cs="Arial"/>
          <w:noProof/>
          <w:sz w:val="20"/>
        </w:rPr>
        <w:t>е</w:t>
      </w:r>
      <w:r w:rsidR="00F90089" w:rsidRPr="0072505D">
        <w:rPr>
          <w:rFonts w:ascii="Arial" w:hAnsi="Arial" w:cs="Arial"/>
          <w:noProof/>
          <w:sz w:val="20"/>
        </w:rPr>
        <w:t xml:space="preserve"> 1 361,01 лв./ха, а над 30 ха - 907,34 лв. Определеният размер на плащането за един допустим за подпомагане хектар по схемата за пипер е 1 942,72 лв. за първите 30 ха, </w:t>
      </w:r>
      <w:r w:rsidR="004F2AF9" w:rsidRPr="0072505D">
        <w:rPr>
          <w:rFonts w:ascii="Arial" w:hAnsi="Arial" w:cs="Arial"/>
          <w:noProof/>
          <w:sz w:val="20"/>
        </w:rPr>
        <w:t>и</w:t>
      </w:r>
      <w:r w:rsidR="00F90089" w:rsidRPr="0072505D">
        <w:rPr>
          <w:rFonts w:ascii="Arial" w:hAnsi="Arial" w:cs="Arial"/>
          <w:noProof/>
          <w:sz w:val="20"/>
        </w:rPr>
        <w:t xml:space="preserve"> 1 295,15лв. </w:t>
      </w:r>
      <w:r w:rsidR="004F2AF9" w:rsidRPr="0072505D">
        <w:rPr>
          <w:rFonts w:ascii="Arial" w:hAnsi="Arial" w:cs="Arial"/>
          <w:noProof/>
          <w:sz w:val="20"/>
        </w:rPr>
        <w:t xml:space="preserve">за </w:t>
      </w:r>
      <w:r w:rsidR="00F90089" w:rsidRPr="0072505D">
        <w:rPr>
          <w:rFonts w:ascii="Arial" w:hAnsi="Arial" w:cs="Arial"/>
          <w:noProof/>
          <w:sz w:val="20"/>
        </w:rPr>
        <w:t>на</w:t>
      </w:r>
      <w:r w:rsidR="004F2AF9" w:rsidRPr="0072505D">
        <w:rPr>
          <w:rFonts w:ascii="Arial" w:hAnsi="Arial" w:cs="Arial"/>
          <w:noProof/>
          <w:sz w:val="20"/>
        </w:rPr>
        <w:t>д 30</w:t>
      </w:r>
      <w:r w:rsidR="00F90089" w:rsidRPr="0072505D">
        <w:rPr>
          <w:rFonts w:ascii="Arial" w:hAnsi="Arial" w:cs="Arial"/>
          <w:noProof/>
          <w:sz w:val="20"/>
        </w:rPr>
        <w:t xml:space="preserve"> ха. Субсидията по схемата за обвързано подпомагане </w:t>
      </w:r>
      <w:r w:rsidR="00FE2D77" w:rsidRPr="0072505D">
        <w:rPr>
          <w:rFonts w:ascii="Arial" w:hAnsi="Arial" w:cs="Arial"/>
          <w:noProof/>
          <w:sz w:val="20"/>
        </w:rPr>
        <w:t xml:space="preserve">за </w:t>
      </w:r>
      <w:r w:rsidR="00F90089" w:rsidRPr="0072505D">
        <w:rPr>
          <w:rFonts w:ascii="Arial" w:hAnsi="Arial" w:cs="Arial"/>
          <w:noProof/>
          <w:sz w:val="20"/>
        </w:rPr>
        <w:t>моркови, зеле, дини и пъпеши е 881,05</w:t>
      </w:r>
      <w:r w:rsidR="00FE2D77" w:rsidRPr="0072505D">
        <w:rPr>
          <w:rFonts w:ascii="Arial" w:hAnsi="Arial" w:cs="Arial"/>
          <w:noProof/>
          <w:sz w:val="20"/>
        </w:rPr>
        <w:t xml:space="preserve"> лв./ха</w:t>
      </w:r>
      <w:r w:rsidR="00F90089" w:rsidRPr="0072505D">
        <w:rPr>
          <w:rFonts w:ascii="Arial" w:hAnsi="Arial" w:cs="Arial"/>
          <w:noProof/>
          <w:sz w:val="20"/>
        </w:rPr>
        <w:t xml:space="preserve"> за първите 30 ха и 587,37</w:t>
      </w:r>
      <w:r w:rsidR="00FE2D77" w:rsidRPr="0072505D">
        <w:rPr>
          <w:rFonts w:ascii="Arial" w:hAnsi="Arial" w:cs="Arial"/>
          <w:noProof/>
          <w:sz w:val="20"/>
        </w:rPr>
        <w:t xml:space="preserve"> </w:t>
      </w:r>
      <w:r w:rsidR="00F90089" w:rsidRPr="0072505D">
        <w:rPr>
          <w:rFonts w:ascii="Arial" w:hAnsi="Arial" w:cs="Arial"/>
          <w:noProof/>
          <w:sz w:val="20"/>
        </w:rPr>
        <w:t>лв./ха за над 30 ха. Размерът на подпомагането по схемата за картофи, лук и чесън е 1 351,36 лв./ха за първите 30 ха и 900,91 лв./ха за над 30-ия хектар. При обвързаното подпомагане за оранжерийни зеленчуци, земеделските стопани с допустими площи и доказали необходимите добиви, ще получат по 13 205,49 л</w:t>
      </w:r>
      <w:r w:rsidR="00FE2D77" w:rsidRPr="0072505D">
        <w:rPr>
          <w:rFonts w:ascii="Arial" w:hAnsi="Arial" w:cs="Arial"/>
          <w:noProof/>
          <w:sz w:val="20"/>
        </w:rPr>
        <w:t>в./</w:t>
      </w:r>
      <w:r w:rsidR="00F90089" w:rsidRPr="0072505D">
        <w:rPr>
          <w:rFonts w:ascii="Arial" w:hAnsi="Arial" w:cs="Arial"/>
          <w:noProof/>
          <w:sz w:val="20"/>
        </w:rPr>
        <w:t xml:space="preserve">ха. </w:t>
      </w:r>
      <w:r w:rsidR="00600B9E" w:rsidRPr="0072505D">
        <w:rPr>
          <w:rFonts w:ascii="Arial" w:hAnsi="Arial" w:cs="Arial"/>
          <w:noProof/>
          <w:sz w:val="20"/>
        </w:rPr>
        <w:t>П</w:t>
      </w:r>
      <w:r w:rsidR="00F90089" w:rsidRPr="0072505D">
        <w:rPr>
          <w:rFonts w:ascii="Arial" w:hAnsi="Arial" w:cs="Arial"/>
          <w:noProof/>
          <w:sz w:val="20"/>
        </w:rPr>
        <w:t xml:space="preserve">одпомагането </w:t>
      </w:r>
      <w:r w:rsidR="00600B9E" w:rsidRPr="0072505D">
        <w:rPr>
          <w:rFonts w:ascii="Arial" w:hAnsi="Arial" w:cs="Arial"/>
          <w:noProof/>
          <w:sz w:val="20"/>
        </w:rPr>
        <w:t>по схемата за плодове-</w:t>
      </w:r>
      <w:r w:rsidR="00F90089" w:rsidRPr="0072505D">
        <w:rPr>
          <w:rFonts w:ascii="Arial" w:hAnsi="Arial" w:cs="Arial"/>
          <w:noProof/>
          <w:sz w:val="20"/>
        </w:rPr>
        <w:t xml:space="preserve"> основна група е </w:t>
      </w:r>
      <w:r w:rsidR="00CE164A" w:rsidRPr="0072505D">
        <w:rPr>
          <w:rFonts w:ascii="Arial" w:hAnsi="Arial" w:cs="Arial"/>
          <w:noProof/>
          <w:sz w:val="20"/>
        </w:rPr>
        <w:t xml:space="preserve">определено на </w:t>
      </w:r>
      <w:r w:rsidR="00F90089" w:rsidRPr="0072505D">
        <w:rPr>
          <w:rFonts w:ascii="Arial" w:hAnsi="Arial" w:cs="Arial"/>
          <w:noProof/>
          <w:sz w:val="20"/>
        </w:rPr>
        <w:t>1 820,85 лева за първите 30 ха</w:t>
      </w:r>
      <w:r w:rsidR="00600B9E" w:rsidRPr="0072505D">
        <w:rPr>
          <w:rFonts w:ascii="Arial" w:hAnsi="Arial" w:cs="Arial"/>
          <w:noProof/>
          <w:sz w:val="20"/>
        </w:rPr>
        <w:t xml:space="preserve"> и </w:t>
      </w:r>
      <w:r w:rsidR="00F90089" w:rsidRPr="0072505D">
        <w:rPr>
          <w:rFonts w:ascii="Arial" w:hAnsi="Arial" w:cs="Arial"/>
          <w:noProof/>
          <w:sz w:val="20"/>
        </w:rPr>
        <w:t xml:space="preserve">1 213,90 </w:t>
      </w:r>
      <w:r w:rsidR="00600B9E" w:rsidRPr="0072505D">
        <w:rPr>
          <w:rFonts w:ascii="Arial" w:hAnsi="Arial" w:cs="Arial"/>
          <w:noProof/>
          <w:sz w:val="20"/>
        </w:rPr>
        <w:t>лв./х</w:t>
      </w:r>
      <w:r w:rsidR="00F90089" w:rsidRPr="0072505D">
        <w:rPr>
          <w:rFonts w:ascii="Arial" w:hAnsi="Arial" w:cs="Arial"/>
          <w:noProof/>
          <w:sz w:val="20"/>
        </w:rPr>
        <w:t>а</w:t>
      </w:r>
      <w:r w:rsidR="00600B9E" w:rsidRPr="0072505D">
        <w:rPr>
          <w:rFonts w:ascii="Arial" w:hAnsi="Arial" w:cs="Arial"/>
          <w:noProof/>
          <w:sz w:val="20"/>
        </w:rPr>
        <w:t xml:space="preserve"> за над 30-я хектар</w:t>
      </w:r>
      <w:r w:rsidR="00F90089" w:rsidRPr="0072505D">
        <w:rPr>
          <w:rFonts w:ascii="Arial" w:hAnsi="Arial" w:cs="Arial"/>
          <w:noProof/>
          <w:sz w:val="20"/>
        </w:rPr>
        <w:t xml:space="preserve">. По схемата за обвързано подпомагане </w:t>
      </w:r>
      <w:r w:rsidR="00CE164A" w:rsidRPr="0072505D">
        <w:rPr>
          <w:rFonts w:ascii="Arial" w:hAnsi="Arial" w:cs="Arial"/>
          <w:noProof/>
          <w:sz w:val="20"/>
        </w:rPr>
        <w:t>з</w:t>
      </w:r>
      <w:r w:rsidR="00F90089" w:rsidRPr="0072505D">
        <w:rPr>
          <w:rFonts w:ascii="Arial" w:hAnsi="Arial" w:cs="Arial"/>
          <w:noProof/>
          <w:sz w:val="20"/>
        </w:rPr>
        <w:t xml:space="preserve">а сливи и десертно грозде  ще се изплаща по 1 040,70 лв./ха за първите 30 ха и 693,80 лв./ха за всеки следващ. Заповедите с определените ставки по схемите за обвързано подпомагане за плодове и зеленчуци за Кампания 2019 са публикувани на интернет страницата на МЗХГ на адрес: </w:t>
      </w:r>
      <w:hyperlink r:id="rId9" w:history="1">
        <w:r w:rsidR="00F90089" w:rsidRPr="0072505D">
          <w:rPr>
            <w:rStyle w:val="Hyperlink"/>
            <w:rFonts w:ascii="Arial" w:hAnsi="Arial" w:cs="Arial"/>
            <w:noProof/>
            <w:sz w:val="20"/>
          </w:rPr>
          <w:t>https://www.mzh.government.bg/bg/politiki-i-programi/programi-za-finansirane/direktni-plashaniya/nacionalno-zakonodatelstvo-prilagane-shemi-direktni-plashtania/</w:t>
        </w:r>
      </w:hyperlink>
      <w:r w:rsidR="00F90089" w:rsidRPr="0072505D">
        <w:rPr>
          <w:rFonts w:ascii="Arial" w:hAnsi="Arial" w:cs="Arial"/>
          <w:noProof/>
          <w:sz w:val="20"/>
        </w:rPr>
        <w:t xml:space="preserve"> </w:t>
      </w:r>
    </w:p>
    <w:p w:rsidR="001B1430" w:rsidRPr="0072505D" w:rsidRDefault="001B1430" w:rsidP="006A760C">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72505D" w:rsidTr="00F73636">
        <w:tc>
          <w:tcPr>
            <w:tcW w:w="9900" w:type="dxa"/>
            <w:shd w:val="clear" w:color="auto" w:fill="C0C0C0"/>
            <w:hideMark/>
          </w:tcPr>
          <w:p w:rsidR="001B1430" w:rsidRPr="0072505D" w:rsidRDefault="001B1430" w:rsidP="006A760C">
            <w:pPr>
              <w:tabs>
                <w:tab w:val="left" w:pos="1020"/>
              </w:tabs>
              <w:autoSpaceDE w:val="0"/>
              <w:autoSpaceDN w:val="0"/>
              <w:adjustRightInd w:val="0"/>
              <w:jc w:val="both"/>
              <w:rPr>
                <w:rFonts w:ascii="Arial" w:hAnsi="Arial" w:cs="Arial"/>
                <w:b/>
                <w:i/>
                <w:iCs/>
                <w:noProof/>
                <w:sz w:val="20"/>
              </w:rPr>
            </w:pPr>
            <w:r w:rsidRPr="0072505D">
              <w:rPr>
                <w:rFonts w:ascii="Arial" w:hAnsi="Arial" w:cs="Arial"/>
                <w:b/>
                <w:i/>
                <w:noProof/>
                <w:sz w:val="20"/>
              </w:rPr>
              <w:t>Визия за ОСП след 2020 г.</w:t>
            </w:r>
          </w:p>
        </w:tc>
        <w:tc>
          <w:tcPr>
            <w:tcW w:w="256" w:type="dxa"/>
          </w:tcPr>
          <w:p w:rsidR="001B1430" w:rsidRPr="0072505D" w:rsidRDefault="001B1430" w:rsidP="006A760C">
            <w:pPr>
              <w:jc w:val="both"/>
              <w:rPr>
                <w:rFonts w:ascii="Arial" w:hAnsi="Arial" w:cs="Arial"/>
                <w:b/>
                <w:noProof/>
                <w:sz w:val="20"/>
              </w:rPr>
            </w:pPr>
          </w:p>
        </w:tc>
      </w:tr>
    </w:tbl>
    <w:p w:rsidR="001B1430" w:rsidRPr="0072505D" w:rsidRDefault="002A2BBE" w:rsidP="006A760C">
      <w:pPr>
        <w:jc w:val="both"/>
        <w:rPr>
          <w:rFonts w:ascii="Arial" w:hAnsi="Arial" w:cs="Arial"/>
          <w:b/>
          <w:noProof/>
          <w:sz w:val="20"/>
        </w:rPr>
      </w:pPr>
      <w:r w:rsidRPr="0072505D">
        <w:rPr>
          <w:rFonts w:ascii="Arial" w:hAnsi="Arial" w:cs="Arial"/>
          <w:b/>
          <w:noProof/>
          <w:sz w:val="20"/>
        </w:rPr>
        <w:t xml:space="preserve"> </w:t>
      </w:r>
    </w:p>
    <w:p w:rsidR="001B1430" w:rsidRPr="0072505D" w:rsidRDefault="009927D1" w:rsidP="006A76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sidRPr="0072505D">
        <w:rPr>
          <w:rFonts w:ascii="Arial" w:hAnsi="Arial" w:cs="Arial"/>
          <w:b/>
          <w:noProof/>
          <w:sz w:val="20"/>
        </w:rPr>
        <w:t>2</w:t>
      </w:r>
      <w:r w:rsidR="002A2BBE" w:rsidRPr="0072505D">
        <w:rPr>
          <w:rFonts w:ascii="Arial" w:hAnsi="Arial" w:cs="Arial"/>
          <w:b/>
          <w:noProof/>
          <w:sz w:val="20"/>
        </w:rPr>
        <w:t>.</w:t>
      </w:r>
      <w:r w:rsidR="00FF11AD" w:rsidRPr="0072505D">
        <w:rPr>
          <w:rFonts w:ascii="Arial" w:hAnsi="Arial" w:cs="Arial"/>
          <w:b/>
          <w:noProof/>
          <w:sz w:val="20"/>
        </w:rPr>
        <w:t xml:space="preserve"> На 9 март 2020 г. се проведе заседание на Специалния комитет по селско стопанство (СКСС), на което беше обсъдено ревизирано предложение на Председателството за Регламент относно преходните правила на ОСП</w:t>
      </w:r>
      <w:r w:rsidR="00946EFB" w:rsidRPr="0072505D">
        <w:rPr>
          <w:rFonts w:ascii="Arial" w:hAnsi="Arial" w:cs="Arial"/>
          <w:b/>
          <w:noProof/>
          <w:sz w:val="20"/>
        </w:rPr>
        <w:t>,</w:t>
      </w:r>
      <w:r w:rsidR="00FF11AD" w:rsidRPr="0072505D">
        <w:rPr>
          <w:rFonts w:ascii="Arial" w:hAnsi="Arial" w:cs="Arial"/>
          <w:b/>
          <w:noProof/>
          <w:sz w:val="20"/>
        </w:rPr>
        <w:t xml:space="preserve"> с цел приемане на частичен общ подход (без въпроси, касаещи многогодишната финансова рамка) на заседанието на министрите на 23 март 2020 г</w:t>
      </w:r>
      <w:r w:rsidR="00FF11AD" w:rsidRPr="0072505D">
        <w:rPr>
          <w:rFonts w:ascii="Arial" w:hAnsi="Arial" w:cs="Arial"/>
          <w:noProof/>
          <w:sz w:val="20"/>
        </w:rPr>
        <w:t>. Във връзка с продължителността на преходния период Председателството за момента запазва текста, предложен от Комисията за една година, но предлага министрите да приемат</w:t>
      </w:r>
      <w:r w:rsidR="00C73FFB" w:rsidRPr="0072505D">
        <w:rPr>
          <w:rFonts w:ascii="Arial" w:hAnsi="Arial" w:cs="Arial"/>
          <w:noProof/>
          <w:sz w:val="20"/>
        </w:rPr>
        <w:t>,</w:t>
      </w:r>
      <w:r w:rsidR="00FF11AD" w:rsidRPr="0072505D">
        <w:rPr>
          <w:rFonts w:ascii="Arial" w:hAnsi="Arial" w:cs="Arial"/>
          <w:noProof/>
          <w:sz w:val="20"/>
        </w:rPr>
        <w:t xml:space="preserve"> заедно с приемането на позиция по регламента</w:t>
      </w:r>
      <w:r w:rsidR="00946EFB" w:rsidRPr="0072505D">
        <w:rPr>
          <w:rFonts w:ascii="Arial" w:hAnsi="Arial" w:cs="Arial"/>
          <w:noProof/>
          <w:sz w:val="20"/>
        </w:rPr>
        <w:t xml:space="preserve"> и</w:t>
      </w:r>
      <w:r w:rsidR="00FF11AD" w:rsidRPr="0072505D">
        <w:rPr>
          <w:rFonts w:ascii="Arial" w:hAnsi="Arial" w:cs="Arial"/>
          <w:noProof/>
          <w:sz w:val="20"/>
        </w:rPr>
        <w:t xml:space="preserve"> обща декларация с ангажимент срокът да бъде преразгледан преди приемането на общия мандат. </w:t>
      </w:r>
      <w:r w:rsidR="007C365C" w:rsidRPr="0072505D">
        <w:rPr>
          <w:rFonts w:ascii="Arial" w:hAnsi="Arial" w:cs="Arial"/>
          <w:noProof/>
          <w:sz w:val="20"/>
        </w:rPr>
        <w:t xml:space="preserve">Относно </w:t>
      </w:r>
      <w:r w:rsidR="00FF11AD" w:rsidRPr="0072505D">
        <w:rPr>
          <w:rFonts w:ascii="Arial" w:hAnsi="Arial" w:cs="Arial"/>
          <w:noProof/>
          <w:sz w:val="20"/>
        </w:rPr>
        <w:t xml:space="preserve">преходната националната помощ </w:t>
      </w:r>
      <w:r w:rsidR="007C365C" w:rsidRPr="0072505D">
        <w:rPr>
          <w:rFonts w:ascii="Arial" w:hAnsi="Arial" w:cs="Arial"/>
          <w:noProof/>
          <w:sz w:val="20"/>
        </w:rPr>
        <w:t xml:space="preserve">България и други ДЧ, които подкрепят </w:t>
      </w:r>
      <w:r w:rsidR="00C73FFB" w:rsidRPr="0072505D">
        <w:rPr>
          <w:rFonts w:ascii="Arial" w:hAnsi="Arial" w:cs="Arial"/>
          <w:noProof/>
          <w:sz w:val="20"/>
        </w:rPr>
        <w:t xml:space="preserve">нейното </w:t>
      </w:r>
      <w:r w:rsidR="007C365C" w:rsidRPr="0072505D">
        <w:rPr>
          <w:rFonts w:ascii="Arial" w:hAnsi="Arial" w:cs="Arial"/>
          <w:noProof/>
          <w:sz w:val="20"/>
        </w:rPr>
        <w:t>продълж</w:t>
      </w:r>
      <w:r w:rsidR="00C73FFB" w:rsidRPr="0072505D">
        <w:rPr>
          <w:rFonts w:ascii="Arial" w:hAnsi="Arial" w:cs="Arial"/>
          <w:noProof/>
          <w:sz w:val="20"/>
        </w:rPr>
        <w:t>аване,</w:t>
      </w:r>
      <w:r w:rsidR="007C365C" w:rsidRPr="0072505D">
        <w:rPr>
          <w:rFonts w:ascii="Arial" w:hAnsi="Arial" w:cs="Arial"/>
          <w:noProof/>
          <w:sz w:val="20"/>
        </w:rPr>
        <w:t xml:space="preserve"> приветстваха </w:t>
      </w:r>
      <w:r w:rsidR="00C73FFB" w:rsidRPr="0072505D">
        <w:rPr>
          <w:rFonts w:ascii="Arial" w:hAnsi="Arial" w:cs="Arial"/>
          <w:noProof/>
          <w:sz w:val="20"/>
        </w:rPr>
        <w:t>възможността</w:t>
      </w:r>
      <w:r w:rsidR="007C365C" w:rsidRPr="0072505D">
        <w:rPr>
          <w:rFonts w:ascii="Arial" w:hAnsi="Arial" w:cs="Arial"/>
          <w:noProof/>
          <w:sz w:val="20"/>
        </w:rPr>
        <w:t xml:space="preserve"> </w:t>
      </w:r>
      <w:r w:rsidR="00C73FFB" w:rsidRPr="0072505D">
        <w:rPr>
          <w:rFonts w:ascii="Arial" w:hAnsi="Arial" w:cs="Arial"/>
          <w:noProof/>
          <w:sz w:val="20"/>
        </w:rPr>
        <w:t>да се прилага</w:t>
      </w:r>
      <w:r w:rsidR="007C365C" w:rsidRPr="0072505D">
        <w:rPr>
          <w:rFonts w:ascii="Arial" w:hAnsi="Arial" w:cs="Arial"/>
          <w:noProof/>
          <w:sz w:val="20"/>
        </w:rPr>
        <w:t xml:space="preserve"> и през 2021 г. на същото ниво ка</w:t>
      </w:r>
      <w:r w:rsidR="00C73FFB" w:rsidRPr="0072505D">
        <w:rPr>
          <w:rFonts w:ascii="Arial" w:hAnsi="Arial" w:cs="Arial"/>
          <w:noProof/>
          <w:sz w:val="20"/>
        </w:rPr>
        <w:t>к</w:t>
      </w:r>
      <w:r w:rsidR="007C365C" w:rsidRPr="0072505D">
        <w:rPr>
          <w:rFonts w:ascii="Arial" w:hAnsi="Arial" w:cs="Arial"/>
          <w:noProof/>
          <w:sz w:val="20"/>
        </w:rPr>
        <w:t xml:space="preserve">то през 2020 г. Някои ДЧ изказаха критична позиция по отношение на предложеното ниво на подкрепа и поискаха повече яснота и гаранции, че помощта ще бъде преустановена в ясен период от време. </w:t>
      </w:r>
      <w:r w:rsidR="009A7172" w:rsidRPr="0072505D">
        <w:rPr>
          <w:rFonts w:ascii="Arial" w:hAnsi="Arial" w:cs="Arial"/>
          <w:noProof/>
          <w:sz w:val="20"/>
        </w:rPr>
        <w:t xml:space="preserve">СКСС получи информация за хода на преговорите с Обединеното кралство </w:t>
      </w:r>
      <w:r w:rsidR="006B24D3" w:rsidRPr="0072505D">
        <w:rPr>
          <w:rFonts w:ascii="Arial" w:hAnsi="Arial" w:cs="Arial"/>
          <w:noProof/>
          <w:sz w:val="20"/>
        </w:rPr>
        <w:t xml:space="preserve">по санитарните и фитосанитарните изискания, които да </w:t>
      </w:r>
      <w:r w:rsidR="00D16A33" w:rsidRPr="0072505D">
        <w:rPr>
          <w:rFonts w:ascii="Arial" w:hAnsi="Arial" w:cs="Arial"/>
          <w:noProof/>
          <w:sz w:val="20"/>
        </w:rPr>
        <w:t xml:space="preserve">не </w:t>
      </w:r>
      <w:r w:rsidR="006B24D3" w:rsidRPr="0072505D">
        <w:rPr>
          <w:rFonts w:ascii="Arial" w:hAnsi="Arial" w:cs="Arial"/>
          <w:noProof/>
          <w:sz w:val="20"/>
        </w:rPr>
        <w:t xml:space="preserve">бъдат занижени в бъдеще до края на преходния период, </w:t>
      </w:r>
      <w:r w:rsidR="00D16A33" w:rsidRPr="0072505D">
        <w:rPr>
          <w:rFonts w:ascii="Arial" w:hAnsi="Arial" w:cs="Arial"/>
          <w:noProof/>
          <w:sz w:val="20"/>
        </w:rPr>
        <w:t xml:space="preserve">за </w:t>
      </w:r>
      <w:r w:rsidR="006B24D3" w:rsidRPr="0072505D">
        <w:rPr>
          <w:rFonts w:ascii="Arial" w:hAnsi="Arial" w:cs="Arial"/>
          <w:noProof/>
          <w:sz w:val="20"/>
        </w:rPr>
        <w:t xml:space="preserve">запазване на нивото на защита на географските указания и установяване на механизъм за защита на бъдещи географски указания, както и </w:t>
      </w:r>
      <w:r w:rsidR="00907219" w:rsidRPr="0072505D">
        <w:rPr>
          <w:rFonts w:ascii="Arial" w:hAnsi="Arial" w:cs="Arial"/>
          <w:noProof/>
          <w:sz w:val="20"/>
        </w:rPr>
        <w:t xml:space="preserve">друга </w:t>
      </w:r>
      <w:r w:rsidR="006B24D3" w:rsidRPr="0072505D">
        <w:rPr>
          <w:rFonts w:ascii="Arial" w:hAnsi="Arial" w:cs="Arial"/>
          <w:noProof/>
          <w:sz w:val="20"/>
        </w:rPr>
        <w:t>информация по текущи преговори, свързани с търговията със селскостопански стоки.</w:t>
      </w:r>
    </w:p>
    <w:p w:rsidR="006B24D3" w:rsidRPr="0072505D" w:rsidRDefault="006B24D3" w:rsidP="006A76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72505D" w:rsidTr="00F73636">
        <w:tc>
          <w:tcPr>
            <w:tcW w:w="9923" w:type="dxa"/>
            <w:shd w:val="clear" w:color="auto" w:fill="C0C0C0"/>
            <w:hideMark/>
          </w:tcPr>
          <w:p w:rsidR="001B1430" w:rsidRPr="0072505D" w:rsidRDefault="001B1430" w:rsidP="006A760C">
            <w:pPr>
              <w:jc w:val="both"/>
              <w:rPr>
                <w:rStyle w:val="longtext"/>
                <w:rFonts w:ascii="Arial" w:hAnsi="Arial" w:cs="Arial"/>
                <w:b/>
                <w:i/>
                <w:noProof/>
                <w:sz w:val="20"/>
              </w:rPr>
            </w:pPr>
            <w:r w:rsidRPr="0072505D">
              <w:rPr>
                <w:rStyle w:val="longtext"/>
                <w:rFonts w:ascii="Arial" w:hAnsi="Arial" w:cs="Arial"/>
                <w:b/>
                <w:i/>
                <w:noProof/>
                <w:sz w:val="20"/>
              </w:rPr>
              <w:t>Още от ЕС и света</w:t>
            </w:r>
          </w:p>
        </w:tc>
        <w:tc>
          <w:tcPr>
            <w:tcW w:w="236" w:type="dxa"/>
          </w:tcPr>
          <w:p w:rsidR="001B1430" w:rsidRPr="0072505D" w:rsidRDefault="001B1430" w:rsidP="006A760C">
            <w:pPr>
              <w:jc w:val="both"/>
              <w:rPr>
                <w:rStyle w:val="longtext"/>
                <w:rFonts w:ascii="Arial" w:hAnsi="Arial" w:cs="Arial"/>
                <w:b/>
                <w:noProof/>
                <w:sz w:val="20"/>
              </w:rPr>
            </w:pPr>
          </w:p>
        </w:tc>
      </w:tr>
    </w:tbl>
    <w:p w:rsidR="006A760C" w:rsidRDefault="006A760C" w:rsidP="006A760C">
      <w:pPr>
        <w:tabs>
          <w:tab w:val="left" w:pos="3000"/>
        </w:tabs>
        <w:jc w:val="both"/>
        <w:rPr>
          <w:rStyle w:val="longtext"/>
          <w:rFonts w:ascii="Arial" w:hAnsi="Arial" w:cs="Arial"/>
          <w:b/>
          <w:noProof/>
          <w:sz w:val="20"/>
          <w:lang w:val="en-US"/>
        </w:rPr>
      </w:pPr>
    </w:p>
    <w:p w:rsidR="0096382C" w:rsidRPr="0072505D" w:rsidRDefault="009927D1" w:rsidP="006A760C">
      <w:pPr>
        <w:tabs>
          <w:tab w:val="left" w:pos="3000"/>
        </w:tabs>
        <w:jc w:val="both"/>
        <w:rPr>
          <w:rFonts w:ascii="Arial" w:hAnsi="Arial" w:cs="Arial"/>
          <w:noProof/>
          <w:sz w:val="20"/>
        </w:rPr>
      </w:pPr>
      <w:r w:rsidRPr="0072505D">
        <w:rPr>
          <w:rStyle w:val="longtext"/>
          <w:rFonts w:ascii="Arial" w:hAnsi="Arial" w:cs="Arial"/>
          <w:b/>
          <w:noProof/>
          <w:sz w:val="20"/>
        </w:rPr>
        <w:t>3</w:t>
      </w:r>
      <w:r w:rsidR="002A2BBE" w:rsidRPr="0072505D">
        <w:rPr>
          <w:rStyle w:val="longtext"/>
          <w:rFonts w:ascii="Arial" w:hAnsi="Arial" w:cs="Arial"/>
          <w:b/>
          <w:noProof/>
          <w:sz w:val="20"/>
        </w:rPr>
        <w:t>.</w:t>
      </w:r>
      <w:r w:rsidR="0096382C" w:rsidRPr="0072505D">
        <w:rPr>
          <w:rStyle w:val="longtext"/>
          <w:rFonts w:ascii="Arial" w:hAnsi="Arial" w:cs="Arial"/>
          <w:b/>
          <w:noProof/>
          <w:sz w:val="20"/>
        </w:rPr>
        <w:t xml:space="preserve"> ЕС ще настоява да се запази ангажимента на Г-20 за устойчиво бъдеще на световната система за храни, когато земеделските министри от международната група се срещнат в Риад на 18-19 март 2020 г. </w:t>
      </w:r>
      <w:r w:rsidR="0096382C" w:rsidRPr="0072505D">
        <w:rPr>
          <w:rFonts w:ascii="Arial" w:hAnsi="Arial" w:cs="Arial"/>
          <w:noProof/>
          <w:sz w:val="20"/>
        </w:rPr>
        <w:t>Членовете на Групата на 20-те включват ЕС, както и Франция, Германия, Италия и Великобритания. В проекта на Насоки, одобрени от Специалния комитет по селско стопанство на 9 март, делегациите подчертават необходимостта да се избегне отстъпване от предишни ангажименти</w:t>
      </w:r>
      <w:r w:rsidR="00584AC7" w:rsidRPr="0072505D">
        <w:rPr>
          <w:rFonts w:ascii="Arial" w:hAnsi="Arial" w:cs="Arial"/>
          <w:noProof/>
          <w:sz w:val="20"/>
        </w:rPr>
        <w:t>,</w:t>
      </w:r>
      <w:r w:rsidR="0096382C" w:rsidRPr="0072505D">
        <w:rPr>
          <w:rFonts w:ascii="Arial" w:hAnsi="Arial" w:cs="Arial"/>
          <w:noProof/>
          <w:sz w:val="20"/>
        </w:rPr>
        <w:t xml:space="preserve"> като целите за устойчиво развитие и климатичните промени и усилията </w:t>
      </w:r>
      <w:r w:rsidR="00584AC7" w:rsidRPr="0072505D">
        <w:rPr>
          <w:rFonts w:ascii="Arial" w:hAnsi="Arial" w:cs="Arial"/>
          <w:noProof/>
          <w:sz w:val="20"/>
        </w:rPr>
        <w:t>за справяне</w:t>
      </w:r>
      <w:r w:rsidR="0096382C" w:rsidRPr="0072505D">
        <w:rPr>
          <w:rFonts w:ascii="Arial" w:hAnsi="Arial" w:cs="Arial"/>
          <w:noProof/>
          <w:sz w:val="20"/>
        </w:rPr>
        <w:t xml:space="preserve"> с антимикробната резистентност. Министрите имат готовност да обсъдят и подкрепят Комюнике на Г-20 (2020) за земеделието и водите по време на срещата в Саудитска Арабия. ЕС и присъстващите държави</w:t>
      </w:r>
      <w:r w:rsidR="00584AC7" w:rsidRPr="0072505D">
        <w:rPr>
          <w:rFonts w:ascii="Arial" w:hAnsi="Arial" w:cs="Arial"/>
          <w:noProof/>
          <w:sz w:val="20"/>
        </w:rPr>
        <w:t>-</w:t>
      </w:r>
      <w:r w:rsidR="0096382C" w:rsidRPr="0072505D">
        <w:rPr>
          <w:rFonts w:ascii="Arial" w:hAnsi="Arial" w:cs="Arial"/>
          <w:noProof/>
          <w:sz w:val="20"/>
        </w:rPr>
        <w:t xml:space="preserve"> членки трябва да настояват за предотвратяване отстъпление</w:t>
      </w:r>
      <w:r w:rsidR="00584AC7" w:rsidRPr="0072505D">
        <w:rPr>
          <w:rFonts w:ascii="Arial" w:hAnsi="Arial" w:cs="Arial"/>
          <w:noProof/>
          <w:sz w:val="20"/>
        </w:rPr>
        <w:t>то</w:t>
      </w:r>
      <w:r w:rsidR="0096382C" w:rsidRPr="0072505D">
        <w:rPr>
          <w:rFonts w:ascii="Arial" w:hAnsi="Arial" w:cs="Arial"/>
          <w:noProof/>
          <w:sz w:val="20"/>
        </w:rPr>
        <w:t xml:space="preserve"> от екологичните и социални ангажименти и поставяне на преден план на говорене в съответствие със Стратегията „От фермата </w:t>
      </w:r>
      <w:r w:rsidR="00584AC7" w:rsidRPr="0072505D">
        <w:rPr>
          <w:rFonts w:ascii="Arial" w:hAnsi="Arial" w:cs="Arial"/>
          <w:noProof/>
          <w:sz w:val="20"/>
        </w:rPr>
        <w:t>до</w:t>
      </w:r>
      <w:r w:rsidR="0096382C" w:rsidRPr="0072505D">
        <w:rPr>
          <w:rFonts w:ascii="Arial" w:hAnsi="Arial" w:cs="Arial"/>
          <w:noProof/>
          <w:sz w:val="20"/>
        </w:rPr>
        <w:t xml:space="preserve"> трапезата“ и в духа на Европейската зелена сделка. В частност</w:t>
      </w:r>
      <w:r w:rsidR="00584AC7" w:rsidRPr="0072505D">
        <w:rPr>
          <w:rFonts w:ascii="Arial" w:hAnsi="Arial" w:cs="Arial"/>
          <w:noProof/>
          <w:sz w:val="20"/>
        </w:rPr>
        <w:t>,</w:t>
      </w:r>
      <w:r w:rsidR="0096382C" w:rsidRPr="0072505D">
        <w:rPr>
          <w:rFonts w:ascii="Arial" w:hAnsi="Arial" w:cs="Arial"/>
          <w:noProof/>
          <w:sz w:val="20"/>
        </w:rPr>
        <w:t xml:space="preserve"> запазване на ангажимента на Г-20 към устойчивостта и поддържане </w:t>
      </w:r>
      <w:r w:rsidR="00584AC7" w:rsidRPr="0072505D">
        <w:rPr>
          <w:rFonts w:ascii="Arial" w:hAnsi="Arial" w:cs="Arial"/>
          <w:noProof/>
          <w:sz w:val="20"/>
        </w:rPr>
        <w:t xml:space="preserve">на </w:t>
      </w:r>
      <w:r w:rsidR="0096382C" w:rsidRPr="0072505D">
        <w:rPr>
          <w:rFonts w:ascii="Arial" w:hAnsi="Arial" w:cs="Arial"/>
          <w:noProof/>
          <w:sz w:val="20"/>
        </w:rPr>
        <w:t>подходящ фокус върху загубата и разхищението на храни, поддържане на почвите, природните ресурси и управлението на водите. Мандатът включва и поддържане на позиция за засилване на усилията за насърчаване на отговорното инвестиране в земеделието, които усилия се прилагат по начин съответстващ на международно приети насоки. Позицията на ЕС е за осигуряване на съгласуваност с Работната група за развитие, работата по екологични теми и други формати на Г-20, чийто отговорности се припокриват със земеделието.</w:t>
      </w:r>
    </w:p>
    <w:p w:rsidR="00C618A3" w:rsidRPr="0072505D" w:rsidRDefault="00C618A3" w:rsidP="006A760C">
      <w:pPr>
        <w:tabs>
          <w:tab w:val="left" w:pos="3000"/>
        </w:tabs>
        <w:jc w:val="both"/>
        <w:rPr>
          <w:noProof/>
        </w:rPr>
      </w:pPr>
    </w:p>
    <w:p w:rsidR="00C618A3" w:rsidRPr="0072505D" w:rsidRDefault="009927D1" w:rsidP="006A760C">
      <w:pPr>
        <w:jc w:val="both"/>
        <w:rPr>
          <w:rFonts w:ascii="Arial" w:hAnsi="Arial" w:cs="Arial"/>
          <w:noProof/>
          <w:sz w:val="20"/>
        </w:rPr>
      </w:pPr>
      <w:r w:rsidRPr="0072505D">
        <w:rPr>
          <w:rFonts w:ascii="Arial" w:hAnsi="Arial" w:cs="Arial"/>
          <w:b/>
          <w:noProof/>
          <w:sz w:val="20"/>
        </w:rPr>
        <w:t>4</w:t>
      </w:r>
      <w:r w:rsidR="00C618A3" w:rsidRPr="0072505D">
        <w:rPr>
          <w:rFonts w:ascii="Arial" w:hAnsi="Arial" w:cs="Arial"/>
          <w:b/>
          <w:noProof/>
          <w:sz w:val="20"/>
        </w:rPr>
        <w:t xml:space="preserve">. На 11 март </w:t>
      </w:r>
      <w:r w:rsidR="00584AC7" w:rsidRPr="0072505D">
        <w:rPr>
          <w:rFonts w:ascii="Arial" w:hAnsi="Arial" w:cs="Arial"/>
          <w:b/>
          <w:noProof/>
          <w:sz w:val="20"/>
        </w:rPr>
        <w:t>Европейската комисия</w:t>
      </w:r>
      <w:r w:rsidR="00C618A3" w:rsidRPr="0072505D">
        <w:rPr>
          <w:rFonts w:ascii="Arial" w:hAnsi="Arial" w:cs="Arial"/>
          <w:b/>
          <w:noProof/>
          <w:sz w:val="20"/>
        </w:rPr>
        <w:t xml:space="preserve"> прие нов план за де</w:t>
      </w:r>
      <w:r w:rsidR="00584AC7" w:rsidRPr="0072505D">
        <w:rPr>
          <w:rFonts w:ascii="Arial" w:hAnsi="Arial" w:cs="Arial"/>
          <w:b/>
          <w:noProof/>
          <w:sz w:val="20"/>
        </w:rPr>
        <w:t xml:space="preserve">йствие за кръговата икономика, </w:t>
      </w:r>
      <w:r w:rsidR="00C618A3" w:rsidRPr="0072505D">
        <w:rPr>
          <w:rFonts w:ascii="Arial" w:hAnsi="Arial" w:cs="Arial"/>
          <w:b/>
          <w:noProof/>
          <w:sz w:val="20"/>
        </w:rPr>
        <w:t>един от основните градивни елементи на во</w:t>
      </w:r>
      <w:r w:rsidR="00584AC7" w:rsidRPr="0072505D">
        <w:rPr>
          <w:rFonts w:ascii="Arial" w:hAnsi="Arial" w:cs="Arial"/>
          <w:b/>
          <w:noProof/>
          <w:sz w:val="20"/>
        </w:rPr>
        <w:t>дещата европейска зелена сделка,</w:t>
      </w:r>
      <w:r w:rsidR="00C618A3" w:rsidRPr="0072505D">
        <w:rPr>
          <w:rFonts w:ascii="Arial" w:hAnsi="Arial" w:cs="Arial"/>
          <w:b/>
          <w:noProof/>
          <w:sz w:val="20"/>
        </w:rPr>
        <w:t xml:space="preserve"> насочен към намаляване на отпечатъка на потреблението в ЕС, намаляване на хранителни</w:t>
      </w:r>
      <w:r w:rsidR="00584AC7" w:rsidRPr="0072505D">
        <w:rPr>
          <w:rFonts w:ascii="Arial" w:hAnsi="Arial" w:cs="Arial"/>
          <w:b/>
          <w:noProof/>
          <w:sz w:val="20"/>
        </w:rPr>
        <w:t>те</w:t>
      </w:r>
      <w:r w:rsidR="00C618A3" w:rsidRPr="0072505D">
        <w:rPr>
          <w:rFonts w:ascii="Arial" w:hAnsi="Arial" w:cs="Arial"/>
          <w:b/>
          <w:noProof/>
          <w:sz w:val="20"/>
        </w:rPr>
        <w:t xml:space="preserve"> отпадъци, удвояване на процента на използване на материалите през следващото десетилетие и засилване на икономическия растеж</w:t>
      </w:r>
      <w:r w:rsidR="00C618A3" w:rsidRPr="0072505D">
        <w:rPr>
          <w:rFonts w:ascii="Arial" w:hAnsi="Arial" w:cs="Arial"/>
          <w:noProof/>
          <w:sz w:val="20"/>
        </w:rPr>
        <w:t>. Текстът има за цел да представи как да се даде възможност за кръгообразност във веригите на стойност</w:t>
      </w:r>
      <w:r w:rsidR="00584AC7" w:rsidRPr="0072505D">
        <w:rPr>
          <w:rFonts w:ascii="Arial" w:hAnsi="Arial" w:cs="Arial"/>
          <w:noProof/>
          <w:sz w:val="20"/>
        </w:rPr>
        <w:t>та</w:t>
      </w:r>
      <w:r w:rsidR="00C618A3" w:rsidRPr="0072505D">
        <w:rPr>
          <w:rFonts w:ascii="Arial" w:hAnsi="Arial" w:cs="Arial"/>
          <w:noProof/>
          <w:sz w:val="20"/>
        </w:rPr>
        <w:t xml:space="preserve"> и сектори</w:t>
      </w:r>
      <w:r w:rsidR="00584AC7" w:rsidRPr="0072505D">
        <w:rPr>
          <w:rFonts w:ascii="Arial" w:hAnsi="Arial" w:cs="Arial"/>
          <w:noProof/>
          <w:sz w:val="20"/>
        </w:rPr>
        <w:t>те</w:t>
      </w:r>
      <w:r w:rsidR="00C618A3" w:rsidRPr="0072505D">
        <w:rPr>
          <w:rFonts w:ascii="Arial" w:hAnsi="Arial" w:cs="Arial"/>
          <w:noProof/>
          <w:sz w:val="20"/>
        </w:rPr>
        <w:t xml:space="preserve"> като </w:t>
      </w:r>
      <w:r w:rsidR="00584AC7" w:rsidRPr="0072505D">
        <w:rPr>
          <w:rFonts w:ascii="Arial" w:hAnsi="Arial" w:cs="Arial"/>
          <w:noProof/>
          <w:sz w:val="20"/>
        </w:rPr>
        <w:t xml:space="preserve">производството на </w:t>
      </w:r>
      <w:r w:rsidR="00C618A3" w:rsidRPr="0072505D">
        <w:rPr>
          <w:rFonts w:ascii="Arial" w:hAnsi="Arial" w:cs="Arial"/>
          <w:noProof/>
          <w:sz w:val="20"/>
        </w:rPr>
        <w:t>пластмаса, опаковки, текстил, строителство и сгради, мобилност, потребителска електроника и храни, вода и хранителни вещества, като се позовава на „це</w:t>
      </w:r>
      <w:r w:rsidR="00584AC7" w:rsidRPr="0072505D">
        <w:rPr>
          <w:rFonts w:ascii="Arial" w:hAnsi="Arial" w:cs="Arial"/>
          <w:noProof/>
          <w:sz w:val="20"/>
        </w:rPr>
        <w:t>та</w:t>
      </w:r>
      <w:r w:rsidR="00C618A3" w:rsidRPr="0072505D">
        <w:rPr>
          <w:rFonts w:ascii="Arial" w:hAnsi="Arial" w:cs="Arial"/>
          <w:noProof/>
          <w:sz w:val="20"/>
        </w:rPr>
        <w:t>л на намаляване на хранителните отпадъци като ключово действие в предстоящата стратегия „От фермата до трапезата“.</w:t>
      </w:r>
      <w:r w:rsidR="00087A3F" w:rsidRPr="0072505D">
        <w:rPr>
          <w:rFonts w:ascii="Arial" w:hAnsi="Arial" w:cs="Arial"/>
          <w:noProof/>
          <w:sz w:val="20"/>
        </w:rPr>
        <w:t xml:space="preserve"> Повече информация по темата можете да видите в Приложение 1.</w:t>
      </w:r>
    </w:p>
    <w:p w:rsidR="00DB68DE" w:rsidRPr="0072505D" w:rsidRDefault="00DB68DE" w:rsidP="006A760C">
      <w:pPr>
        <w:jc w:val="both"/>
        <w:rPr>
          <w:rStyle w:val="longtext"/>
          <w:rFonts w:ascii="Arial" w:hAnsi="Arial" w:cs="Arial"/>
          <w:b/>
          <w:noProof/>
          <w:sz w:val="20"/>
        </w:rPr>
      </w:pPr>
    </w:p>
    <w:p w:rsidR="00DB68DE" w:rsidRPr="0072505D" w:rsidRDefault="009228F9" w:rsidP="006A760C">
      <w:pPr>
        <w:jc w:val="both"/>
        <w:rPr>
          <w:rFonts w:ascii="Arial" w:hAnsi="Arial" w:cs="Arial"/>
          <w:b/>
          <w:bCs/>
          <w:noProof/>
          <w:sz w:val="20"/>
          <w:highlight w:val="green"/>
        </w:rPr>
      </w:pPr>
      <w:r w:rsidRPr="0072505D">
        <w:rPr>
          <w:rStyle w:val="longtext"/>
          <w:rFonts w:ascii="Arial" w:hAnsi="Arial" w:cs="Arial"/>
          <w:b/>
          <w:noProof/>
          <w:sz w:val="20"/>
        </w:rPr>
        <w:t>5</w:t>
      </w:r>
      <w:r w:rsidR="00DB68DE" w:rsidRPr="0072505D">
        <w:rPr>
          <w:rStyle w:val="longtext"/>
          <w:rFonts w:ascii="Arial" w:hAnsi="Arial" w:cs="Arial"/>
          <w:b/>
          <w:noProof/>
          <w:sz w:val="20"/>
        </w:rPr>
        <w:t xml:space="preserve">. </w:t>
      </w:r>
      <w:r w:rsidR="00DB68DE" w:rsidRPr="0072505D">
        <w:rPr>
          <w:rFonts w:ascii="Arial" w:hAnsi="Arial" w:cs="Arial"/>
          <w:b/>
          <w:bCs/>
          <w:noProof/>
          <w:sz w:val="20"/>
        </w:rPr>
        <w:t xml:space="preserve">COVID-19 не се предава чрез храната: </w:t>
      </w:r>
      <w:r w:rsidR="00DB68DE" w:rsidRPr="0072505D">
        <w:rPr>
          <w:rFonts w:ascii="Arial" w:hAnsi="Arial" w:cs="Arial"/>
          <w:bCs/>
          <w:noProof/>
          <w:sz w:val="20"/>
        </w:rPr>
        <w:t>Европейският орган за безопасност на храните (EFSA) казва, че няма доказателства, че храната е източник или път за предаване на коронавируса COVID-19. В изявление от 9 март, учените от базираната в Парма агенция посочват, че тя следи отблизо изригването на болестта. Главният учен на агенцията Марта Хугасм обясни, че опитът от предишни избухвания на подобни коронавируси, като силно</w:t>
      </w:r>
      <w:r w:rsidR="005740A8" w:rsidRPr="0072505D">
        <w:rPr>
          <w:rFonts w:ascii="Arial" w:hAnsi="Arial" w:cs="Arial"/>
          <w:bCs/>
          <w:noProof/>
          <w:sz w:val="20"/>
        </w:rPr>
        <w:t xml:space="preserve"> </w:t>
      </w:r>
      <w:r w:rsidR="00DB68DE" w:rsidRPr="0072505D">
        <w:rPr>
          <w:rFonts w:ascii="Arial" w:hAnsi="Arial" w:cs="Arial"/>
          <w:bCs/>
          <w:noProof/>
          <w:sz w:val="20"/>
        </w:rPr>
        <w:t>острия респираторен синдром коронавирус (SARS-CoV) и коронавируса на респираторния синдром на Близкия изток (MERS-CoV), показват, че предаване</w:t>
      </w:r>
      <w:r w:rsidR="005740A8" w:rsidRPr="0072505D">
        <w:rPr>
          <w:rFonts w:ascii="Arial" w:hAnsi="Arial" w:cs="Arial"/>
          <w:bCs/>
          <w:noProof/>
          <w:sz w:val="20"/>
        </w:rPr>
        <w:t>то му</w:t>
      </w:r>
      <w:r w:rsidR="00DB68DE" w:rsidRPr="0072505D">
        <w:rPr>
          <w:rFonts w:ascii="Arial" w:hAnsi="Arial" w:cs="Arial"/>
          <w:bCs/>
          <w:noProof/>
          <w:sz w:val="20"/>
        </w:rPr>
        <w:t xml:space="preserve"> чрез консумация на храна не се е случвало. „Няма доказателства, които да подсказват, че коронавирусът е различен в това отношение“, подчерт</w:t>
      </w:r>
      <w:r w:rsidR="005740A8" w:rsidRPr="0072505D">
        <w:rPr>
          <w:rFonts w:ascii="Arial" w:hAnsi="Arial" w:cs="Arial"/>
          <w:bCs/>
          <w:noProof/>
          <w:sz w:val="20"/>
        </w:rPr>
        <w:t>ав</w:t>
      </w:r>
      <w:r w:rsidR="00DB68DE" w:rsidRPr="0072505D">
        <w:rPr>
          <w:rFonts w:ascii="Arial" w:hAnsi="Arial" w:cs="Arial"/>
          <w:bCs/>
          <w:noProof/>
          <w:sz w:val="20"/>
        </w:rPr>
        <w:t xml:space="preserve">а тя. Като се има предвид, че заболяването се наблюдава от властите по целия свят и не е имало съобщения за предаване чрез храна, </w:t>
      </w:r>
      <w:r w:rsidR="005740A8" w:rsidRPr="0072505D">
        <w:rPr>
          <w:rFonts w:ascii="Arial" w:hAnsi="Arial" w:cs="Arial"/>
          <w:bCs/>
          <w:noProof/>
          <w:sz w:val="20"/>
        </w:rPr>
        <w:t>Европейският орган за безопасност на храните</w:t>
      </w:r>
      <w:r w:rsidR="00DB68DE" w:rsidRPr="0072505D">
        <w:rPr>
          <w:rFonts w:ascii="Arial" w:hAnsi="Arial" w:cs="Arial"/>
          <w:bCs/>
          <w:noProof/>
          <w:sz w:val="20"/>
        </w:rPr>
        <w:t xml:space="preserve"> не взима пряко участие в противодействие</w:t>
      </w:r>
      <w:r w:rsidR="005740A8" w:rsidRPr="0072505D">
        <w:rPr>
          <w:rFonts w:ascii="Arial" w:hAnsi="Arial" w:cs="Arial"/>
          <w:bCs/>
          <w:noProof/>
          <w:sz w:val="20"/>
        </w:rPr>
        <w:t>то</w:t>
      </w:r>
      <w:r w:rsidR="00DB68DE" w:rsidRPr="0072505D">
        <w:rPr>
          <w:rFonts w:ascii="Arial" w:hAnsi="Arial" w:cs="Arial"/>
          <w:bCs/>
          <w:noProof/>
          <w:sz w:val="20"/>
        </w:rPr>
        <w:t xml:space="preserve"> на избухванията на COVID-19. Въпреки това продължава да следи научната литература за нова съответна информация. В мониторинговата централа на Агенцията за безопасност на храните в Парма в Северна Италия, властите са приели  мерки в съответствие със указанията на правителството на страната, като повечето служители работят от дома  си и срещите се провеждат дис</w:t>
      </w:r>
      <w:r w:rsidR="005740A8" w:rsidRPr="0072505D">
        <w:rPr>
          <w:rFonts w:ascii="Arial" w:hAnsi="Arial" w:cs="Arial"/>
          <w:bCs/>
          <w:noProof/>
          <w:sz w:val="20"/>
        </w:rPr>
        <w:t>т</w:t>
      </w:r>
      <w:r w:rsidR="00DB68DE" w:rsidRPr="0072505D">
        <w:rPr>
          <w:rFonts w:ascii="Arial" w:hAnsi="Arial" w:cs="Arial"/>
          <w:bCs/>
          <w:noProof/>
          <w:sz w:val="20"/>
        </w:rPr>
        <w:t>анционно. Събития, пътувания на персонала и посещения</w:t>
      </w:r>
      <w:r w:rsidR="005740A8" w:rsidRPr="0072505D">
        <w:rPr>
          <w:rFonts w:ascii="Arial" w:hAnsi="Arial" w:cs="Arial"/>
          <w:bCs/>
          <w:noProof/>
          <w:sz w:val="20"/>
        </w:rPr>
        <w:t>та</w:t>
      </w:r>
      <w:r w:rsidR="00DB68DE" w:rsidRPr="0072505D">
        <w:rPr>
          <w:rFonts w:ascii="Arial" w:hAnsi="Arial" w:cs="Arial"/>
          <w:bCs/>
          <w:noProof/>
          <w:sz w:val="20"/>
        </w:rPr>
        <w:t xml:space="preserve"> в помещенията на </w:t>
      </w:r>
      <w:r w:rsidR="005740A8" w:rsidRPr="0072505D">
        <w:rPr>
          <w:rFonts w:ascii="Arial" w:hAnsi="Arial" w:cs="Arial"/>
          <w:bCs/>
          <w:noProof/>
          <w:sz w:val="20"/>
        </w:rPr>
        <w:t>институцията</w:t>
      </w:r>
      <w:r w:rsidR="00DB68DE" w:rsidRPr="0072505D">
        <w:rPr>
          <w:rFonts w:ascii="Arial" w:hAnsi="Arial" w:cs="Arial"/>
          <w:bCs/>
          <w:noProof/>
          <w:sz w:val="20"/>
        </w:rPr>
        <w:t xml:space="preserve"> са прекратени, поне до 8 април.</w:t>
      </w:r>
    </w:p>
    <w:p w:rsidR="00DB68DE" w:rsidRPr="0072505D" w:rsidRDefault="00DB68DE" w:rsidP="006A760C">
      <w:pPr>
        <w:pStyle w:val="Default"/>
        <w:jc w:val="both"/>
        <w:rPr>
          <w:b/>
          <w:noProof/>
          <w:sz w:val="20"/>
          <w:szCs w:val="20"/>
          <w:lang w:val="bg-BG"/>
        </w:rPr>
      </w:pPr>
    </w:p>
    <w:p w:rsidR="00DB68DE" w:rsidRPr="0072505D" w:rsidRDefault="008B32B2" w:rsidP="006A760C">
      <w:pPr>
        <w:pStyle w:val="Default"/>
        <w:jc w:val="both"/>
        <w:rPr>
          <w:noProof/>
          <w:sz w:val="20"/>
          <w:lang w:val="bg-BG"/>
        </w:rPr>
      </w:pPr>
      <w:r w:rsidRPr="0072505D">
        <w:rPr>
          <w:b/>
          <w:noProof/>
          <w:sz w:val="20"/>
          <w:szCs w:val="20"/>
          <w:lang w:val="bg-BG"/>
        </w:rPr>
        <w:t>6</w:t>
      </w:r>
      <w:r w:rsidR="00DB68DE" w:rsidRPr="0072505D">
        <w:rPr>
          <w:b/>
          <w:noProof/>
          <w:sz w:val="20"/>
          <w:szCs w:val="20"/>
          <w:lang w:val="bg-BG"/>
        </w:rPr>
        <w:t>. Срещите в ЕП се отменят в условията на разпространение COVID-19:</w:t>
      </w:r>
      <w:r w:rsidR="00DB68DE" w:rsidRPr="0072505D">
        <w:rPr>
          <w:noProof/>
          <w:sz w:val="20"/>
          <w:szCs w:val="20"/>
          <w:lang w:val="bg-BG"/>
        </w:rPr>
        <w:t xml:space="preserve"> Извънредното заседание на Комисията по земеделие на Европейския парламент (ЕП), включително дискусията с комисар</w:t>
      </w:r>
      <w:r w:rsidR="000A3D56" w:rsidRPr="0072505D">
        <w:rPr>
          <w:noProof/>
          <w:sz w:val="20"/>
          <w:szCs w:val="20"/>
          <w:lang w:val="bg-BG"/>
        </w:rPr>
        <w:t>я по здравеопазване</w:t>
      </w:r>
      <w:r w:rsidR="00DB68DE" w:rsidRPr="0072505D">
        <w:rPr>
          <w:noProof/>
          <w:sz w:val="20"/>
          <w:szCs w:val="20"/>
          <w:lang w:val="bg-BG"/>
        </w:rPr>
        <w:t xml:space="preserve"> Стела Кириакид</w:t>
      </w:r>
      <w:r w:rsidR="00A460D7" w:rsidRPr="0072505D">
        <w:rPr>
          <w:noProof/>
          <w:sz w:val="20"/>
          <w:szCs w:val="20"/>
          <w:lang w:val="bg-BG"/>
        </w:rPr>
        <w:t>и</w:t>
      </w:r>
      <w:r w:rsidR="00DB68DE" w:rsidRPr="0072505D">
        <w:rPr>
          <w:noProof/>
          <w:sz w:val="20"/>
          <w:szCs w:val="20"/>
          <w:lang w:val="bg-BG"/>
        </w:rPr>
        <w:t>с относно стратегията „От фермата до трапезата“,  която трябваше да се проведе на 12 март, бе</w:t>
      </w:r>
      <w:r w:rsidR="002A6BC7" w:rsidRPr="0072505D">
        <w:rPr>
          <w:noProof/>
          <w:sz w:val="20"/>
          <w:szCs w:val="20"/>
          <w:lang w:val="bg-BG"/>
        </w:rPr>
        <w:t>ше</w:t>
      </w:r>
      <w:r w:rsidR="00DB68DE" w:rsidRPr="0072505D">
        <w:rPr>
          <w:noProof/>
          <w:sz w:val="20"/>
          <w:szCs w:val="20"/>
          <w:lang w:val="bg-BG"/>
        </w:rPr>
        <w:t xml:space="preserve"> отменено в резултат на </w:t>
      </w:r>
      <w:r w:rsidR="002155C8" w:rsidRPr="0072505D">
        <w:rPr>
          <w:noProof/>
          <w:sz w:val="20"/>
          <w:szCs w:val="20"/>
          <w:lang w:val="bg-BG"/>
        </w:rPr>
        <w:t>възможното разширение на</w:t>
      </w:r>
      <w:r w:rsidR="00DB68DE" w:rsidRPr="0072505D">
        <w:rPr>
          <w:noProof/>
          <w:sz w:val="20"/>
          <w:szCs w:val="20"/>
          <w:lang w:val="bg-BG"/>
        </w:rPr>
        <w:t xml:space="preserve"> епидемията COVID-19. Заседанието на 18-19 март също беше отменено в опит да се ограничи разпространението на вируса, обявено за пандемия от Световната здравна организация (СЗО).</w:t>
      </w:r>
      <w:r w:rsidR="002A6BC7" w:rsidRPr="0072505D">
        <w:rPr>
          <w:noProof/>
          <w:sz w:val="20"/>
          <w:szCs w:val="20"/>
          <w:lang w:val="bg-BG"/>
        </w:rPr>
        <w:t xml:space="preserve"> </w:t>
      </w:r>
      <w:r w:rsidR="00DB68DE" w:rsidRPr="0072505D">
        <w:rPr>
          <w:iCs/>
          <w:noProof/>
          <w:sz w:val="20"/>
          <w:szCs w:val="20"/>
          <w:lang w:val="bg-BG"/>
        </w:rPr>
        <w:t xml:space="preserve">Очакваше се </w:t>
      </w:r>
      <w:r w:rsidR="002A6BC7" w:rsidRPr="0072505D">
        <w:rPr>
          <w:iCs/>
          <w:noProof/>
          <w:sz w:val="20"/>
          <w:szCs w:val="20"/>
          <w:lang w:val="bg-BG"/>
        </w:rPr>
        <w:t xml:space="preserve">комисар </w:t>
      </w:r>
      <w:r w:rsidR="00DB68DE" w:rsidRPr="0072505D">
        <w:rPr>
          <w:iCs/>
          <w:noProof/>
          <w:sz w:val="20"/>
          <w:szCs w:val="20"/>
          <w:lang w:val="bg-BG"/>
        </w:rPr>
        <w:t>Кириакид</w:t>
      </w:r>
      <w:r w:rsidR="00A460D7" w:rsidRPr="0072505D">
        <w:rPr>
          <w:iCs/>
          <w:noProof/>
          <w:sz w:val="20"/>
          <w:szCs w:val="20"/>
          <w:lang w:val="bg-BG"/>
        </w:rPr>
        <w:t>и</w:t>
      </w:r>
      <w:r w:rsidR="00DB68DE" w:rsidRPr="0072505D">
        <w:rPr>
          <w:iCs/>
          <w:noProof/>
          <w:sz w:val="20"/>
          <w:szCs w:val="20"/>
          <w:lang w:val="bg-BG"/>
        </w:rPr>
        <w:t xml:space="preserve">с да информира парламентаристите от </w:t>
      </w:r>
      <w:r w:rsidR="002A6BC7" w:rsidRPr="0072505D">
        <w:rPr>
          <w:noProof/>
          <w:sz w:val="20"/>
          <w:szCs w:val="20"/>
          <w:lang w:val="bg-BG"/>
        </w:rPr>
        <w:t>Комисията по земеделие</w:t>
      </w:r>
      <w:r w:rsidR="00DB68DE" w:rsidRPr="0072505D">
        <w:rPr>
          <w:noProof/>
          <w:sz w:val="20"/>
          <w:szCs w:val="20"/>
          <w:lang w:val="bg-BG"/>
        </w:rPr>
        <w:t xml:space="preserve"> </w:t>
      </w:r>
      <w:r w:rsidR="00DB68DE" w:rsidRPr="0072505D">
        <w:rPr>
          <w:iCs/>
          <w:noProof/>
          <w:sz w:val="20"/>
          <w:szCs w:val="20"/>
          <w:lang w:val="bg-BG"/>
        </w:rPr>
        <w:t>относно предстоящия проект, предвиден да излезе на 25 март, като официални лица признават, че тази дата може да отпадне заради вируса. От гледна точка на следващите стъпки, цялостният технически доклад на Научни</w:t>
      </w:r>
      <w:r w:rsidR="002C20F1" w:rsidRPr="0072505D">
        <w:rPr>
          <w:iCs/>
          <w:noProof/>
          <w:sz w:val="20"/>
          <w:szCs w:val="20"/>
          <w:lang w:val="bg-BG"/>
        </w:rPr>
        <w:t>те</w:t>
      </w:r>
      <w:r w:rsidR="00DB68DE" w:rsidRPr="0072505D">
        <w:rPr>
          <w:iCs/>
          <w:noProof/>
          <w:sz w:val="20"/>
          <w:szCs w:val="20"/>
          <w:lang w:val="bg-BG"/>
        </w:rPr>
        <w:t xml:space="preserve"> </w:t>
      </w:r>
      <w:r w:rsidR="002C20F1" w:rsidRPr="0072505D">
        <w:rPr>
          <w:iCs/>
          <w:noProof/>
          <w:sz w:val="20"/>
          <w:szCs w:val="20"/>
          <w:lang w:val="bg-BG"/>
        </w:rPr>
        <w:t xml:space="preserve">академични </w:t>
      </w:r>
      <w:r w:rsidR="00DB68DE" w:rsidRPr="0072505D">
        <w:rPr>
          <w:iCs/>
          <w:noProof/>
          <w:sz w:val="20"/>
          <w:szCs w:val="20"/>
          <w:lang w:val="bg-BG"/>
        </w:rPr>
        <w:t xml:space="preserve">съвети </w:t>
      </w:r>
      <w:r w:rsidR="002C20F1" w:rsidRPr="0072505D">
        <w:rPr>
          <w:iCs/>
          <w:noProof/>
          <w:sz w:val="20"/>
          <w:szCs w:val="20"/>
          <w:lang w:val="bg-BG"/>
        </w:rPr>
        <w:t>за политиката (SAPEA</w:t>
      </w:r>
      <w:r w:rsidR="00DB68DE" w:rsidRPr="0072505D">
        <w:rPr>
          <w:iCs/>
          <w:noProof/>
          <w:sz w:val="20"/>
          <w:szCs w:val="20"/>
          <w:lang w:val="bg-BG"/>
        </w:rPr>
        <w:t>) ще съвпадне с пускането на отделно становище „Към устойчива хранителна система на ЕС“ от Механизма за научни съвети (SAM) в средата на март, който ще включва обществените аспекти на устойчивите хранителни системи. Очаква се двата документа да бъдат публикувани преди края на общественото допитване (16 март), след което е предвидено провеждането на семинар.</w:t>
      </w:r>
      <w:r w:rsidR="002C20F1" w:rsidRPr="0072505D">
        <w:rPr>
          <w:iCs/>
          <w:noProof/>
          <w:sz w:val="20"/>
          <w:szCs w:val="20"/>
          <w:lang w:val="bg-BG"/>
        </w:rPr>
        <w:t xml:space="preserve"> </w:t>
      </w:r>
      <w:r w:rsidR="00DB68DE" w:rsidRPr="0072505D">
        <w:rPr>
          <w:noProof/>
          <w:sz w:val="20"/>
          <w:lang w:val="bg-BG"/>
        </w:rPr>
        <w:t xml:space="preserve">Председателят на </w:t>
      </w:r>
      <w:r w:rsidR="002C20F1" w:rsidRPr="0072505D">
        <w:rPr>
          <w:noProof/>
          <w:sz w:val="20"/>
          <w:lang w:val="bg-BG"/>
        </w:rPr>
        <w:t>Комисията по земеделие</w:t>
      </w:r>
      <w:r w:rsidR="00FB0C83" w:rsidRPr="0072505D">
        <w:rPr>
          <w:noProof/>
          <w:sz w:val="20"/>
          <w:lang w:val="bg-BG"/>
        </w:rPr>
        <w:t xml:space="preserve"> в ЕП</w:t>
      </w:r>
      <w:r w:rsidR="00DB68DE" w:rsidRPr="0072505D">
        <w:rPr>
          <w:noProof/>
          <w:sz w:val="20"/>
          <w:lang w:val="bg-BG"/>
        </w:rPr>
        <w:t xml:space="preserve"> Норберт Линс подготвя писмо до изпълнителния заместник-председател </w:t>
      </w:r>
      <w:r w:rsidR="00A460D7" w:rsidRPr="0072505D">
        <w:rPr>
          <w:noProof/>
          <w:sz w:val="20"/>
          <w:lang w:val="bg-BG"/>
        </w:rPr>
        <w:t xml:space="preserve">на ЕК </w:t>
      </w:r>
      <w:r w:rsidR="00DB68DE" w:rsidRPr="0072505D">
        <w:rPr>
          <w:noProof/>
          <w:sz w:val="20"/>
          <w:lang w:val="bg-BG"/>
        </w:rPr>
        <w:t>Франс Тимерман</w:t>
      </w:r>
      <w:r w:rsidR="00FB0C83" w:rsidRPr="0072505D">
        <w:rPr>
          <w:noProof/>
          <w:sz w:val="20"/>
          <w:lang w:val="bg-BG"/>
        </w:rPr>
        <w:t>с</w:t>
      </w:r>
      <w:r w:rsidR="00DB68DE" w:rsidRPr="0072505D">
        <w:rPr>
          <w:noProof/>
          <w:sz w:val="20"/>
          <w:lang w:val="bg-BG"/>
        </w:rPr>
        <w:t xml:space="preserve"> и комисарите Кириакидис и Войчеховски с искане да бъде забавено публикуването на стратегията „От фермата до трапезата“. Той настоява за дебат между </w:t>
      </w:r>
      <w:r w:rsidR="00D0195C" w:rsidRPr="0072505D">
        <w:rPr>
          <w:noProof/>
          <w:sz w:val="20"/>
          <w:lang w:val="bg-BG"/>
        </w:rPr>
        <w:t>комисаря</w:t>
      </w:r>
      <w:r w:rsidR="00DB68DE" w:rsidRPr="0072505D">
        <w:rPr>
          <w:noProof/>
          <w:sz w:val="20"/>
          <w:lang w:val="bg-BG"/>
        </w:rPr>
        <w:t xml:space="preserve"> по здравеопазването и депутатите от </w:t>
      </w:r>
      <w:r w:rsidR="00D0195C" w:rsidRPr="0072505D">
        <w:rPr>
          <w:noProof/>
          <w:sz w:val="20"/>
          <w:lang w:val="bg-BG"/>
        </w:rPr>
        <w:t>Комисията по земеделие</w:t>
      </w:r>
      <w:r w:rsidR="00DB68DE" w:rsidRPr="0072505D">
        <w:rPr>
          <w:noProof/>
          <w:sz w:val="20"/>
          <w:lang w:val="bg-BG"/>
        </w:rPr>
        <w:t xml:space="preserve"> относно подробности</w:t>
      </w:r>
      <w:r w:rsidR="00FB0C83" w:rsidRPr="0072505D">
        <w:rPr>
          <w:noProof/>
          <w:sz w:val="20"/>
          <w:lang w:val="bg-BG"/>
        </w:rPr>
        <w:t>те по</w:t>
      </w:r>
      <w:r w:rsidR="00DB68DE" w:rsidRPr="0072505D">
        <w:rPr>
          <w:noProof/>
          <w:sz w:val="20"/>
          <w:lang w:val="bg-BG"/>
        </w:rPr>
        <w:t xml:space="preserve"> проекта, преди официалното му представяне. С отмяната на срещата на 12 март, както и следващите, насрочени в предварителен порядък за 26 март (вкл.</w:t>
      </w:r>
      <w:r w:rsidR="00D0195C" w:rsidRPr="0072505D">
        <w:rPr>
          <w:noProof/>
          <w:sz w:val="20"/>
          <w:lang w:val="bg-BG"/>
        </w:rPr>
        <w:t xml:space="preserve"> с</w:t>
      </w:r>
      <w:r w:rsidR="00DB68DE" w:rsidRPr="0072505D">
        <w:rPr>
          <w:noProof/>
          <w:sz w:val="20"/>
          <w:lang w:val="bg-BG"/>
        </w:rPr>
        <w:t xml:space="preserve"> </w:t>
      </w:r>
      <w:r w:rsidR="00FB0C83" w:rsidRPr="0072505D">
        <w:rPr>
          <w:noProof/>
          <w:sz w:val="20"/>
          <w:lang w:val="bg-BG"/>
        </w:rPr>
        <w:t xml:space="preserve">г-жа </w:t>
      </w:r>
      <w:r w:rsidR="00DB68DE" w:rsidRPr="0072505D">
        <w:rPr>
          <w:noProof/>
          <w:sz w:val="20"/>
          <w:lang w:val="bg-BG"/>
        </w:rPr>
        <w:t>Кириакид</w:t>
      </w:r>
      <w:r w:rsidR="00FB0C83" w:rsidRPr="0072505D">
        <w:rPr>
          <w:noProof/>
          <w:sz w:val="20"/>
          <w:lang w:val="bg-BG"/>
        </w:rPr>
        <w:t>и</w:t>
      </w:r>
      <w:r w:rsidR="00DB68DE" w:rsidRPr="0072505D">
        <w:rPr>
          <w:noProof/>
          <w:sz w:val="20"/>
          <w:lang w:val="bg-BG"/>
        </w:rPr>
        <w:t xml:space="preserve">с относно „От фермата до трапезата” и </w:t>
      </w:r>
      <w:r w:rsidR="00D0195C" w:rsidRPr="0072505D">
        <w:rPr>
          <w:noProof/>
          <w:sz w:val="20"/>
          <w:lang w:val="bg-BG"/>
        </w:rPr>
        <w:t xml:space="preserve">на </w:t>
      </w:r>
      <w:r w:rsidR="00DB68DE" w:rsidRPr="0072505D">
        <w:rPr>
          <w:noProof/>
          <w:sz w:val="20"/>
          <w:lang w:val="bg-BG"/>
        </w:rPr>
        <w:t>31 март (</w:t>
      </w:r>
      <w:r w:rsidR="00FB0C83" w:rsidRPr="0072505D">
        <w:rPr>
          <w:noProof/>
          <w:sz w:val="20"/>
          <w:lang w:val="bg-BG"/>
        </w:rPr>
        <w:t xml:space="preserve">с г-н </w:t>
      </w:r>
      <w:r w:rsidR="00DB68DE" w:rsidRPr="0072505D">
        <w:rPr>
          <w:noProof/>
          <w:sz w:val="20"/>
          <w:lang w:val="bg-BG"/>
        </w:rPr>
        <w:t>Тимерманс по Зелената сделка)</w:t>
      </w:r>
      <w:r w:rsidR="00FB0C83" w:rsidRPr="0072505D">
        <w:rPr>
          <w:noProof/>
          <w:sz w:val="20"/>
          <w:lang w:val="bg-BG"/>
        </w:rPr>
        <w:t>,</w:t>
      </w:r>
      <w:r w:rsidR="00DB68DE" w:rsidRPr="0072505D">
        <w:rPr>
          <w:noProof/>
          <w:sz w:val="20"/>
          <w:lang w:val="bg-BG"/>
        </w:rPr>
        <w:t xml:space="preserve"> в зависимост от  ситуацията с развитието на</w:t>
      </w:r>
      <w:r w:rsidR="00D0195C" w:rsidRPr="0072505D">
        <w:rPr>
          <w:noProof/>
          <w:sz w:val="20"/>
          <w:lang w:val="bg-BG"/>
        </w:rPr>
        <w:t xml:space="preserve"> COVID-19</w:t>
      </w:r>
      <w:r w:rsidR="00FB0C83" w:rsidRPr="0072505D">
        <w:rPr>
          <w:noProof/>
          <w:sz w:val="20"/>
          <w:lang w:val="bg-BG"/>
        </w:rPr>
        <w:t>,</w:t>
      </w:r>
      <w:r w:rsidR="00D0195C" w:rsidRPr="0072505D">
        <w:rPr>
          <w:noProof/>
          <w:sz w:val="20"/>
          <w:lang w:val="bg-BG"/>
        </w:rPr>
        <w:t xml:space="preserve"> </w:t>
      </w:r>
      <w:r w:rsidR="000A3D56" w:rsidRPr="0072505D">
        <w:rPr>
          <w:noProof/>
          <w:sz w:val="20"/>
          <w:lang w:val="bg-BG"/>
        </w:rPr>
        <w:t xml:space="preserve">председателят </w:t>
      </w:r>
      <w:r w:rsidR="00DB68DE" w:rsidRPr="0072505D">
        <w:rPr>
          <w:noProof/>
          <w:sz w:val="20"/>
          <w:lang w:val="bg-BG"/>
        </w:rPr>
        <w:t>Линс призовава Комисията да отложи приемането на Стратегията за по-късна дата. Седмица № 12 (18-24 март)</w:t>
      </w:r>
      <w:r w:rsidR="000A3D56" w:rsidRPr="0072505D">
        <w:rPr>
          <w:noProof/>
          <w:sz w:val="20"/>
          <w:lang w:val="bg-BG"/>
        </w:rPr>
        <w:t>,</w:t>
      </w:r>
      <w:r w:rsidR="00DB68DE" w:rsidRPr="0072505D">
        <w:rPr>
          <w:noProof/>
          <w:sz w:val="20"/>
          <w:lang w:val="bg-BG"/>
        </w:rPr>
        <w:t xml:space="preserve"> след заседанието на Председателския съвет на 10 март</w:t>
      </w:r>
      <w:r w:rsidR="000A3D56" w:rsidRPr="0072505D">
        <w:rPr>
          <w:noProof/>
          <w:sz w:val="20"/>
          <w:lang w:val="bg-BG"/>
        </w:rPr>
        <w:t>,</w:t>
      </w:r>
      <w:r w:rsidR="00DB68DE" w:rsidRPr="0072505D">
        <w:rPr>
          <w:noProof/>
          <w:sz w:val="20"/>
          <w:lang w:val="bg-BG"/>
        </w:rPr>
        <w:t xml:space="preserve"> ще бъде „Бяла седмица“ без дейности (вместо „седмица на комисиите”), като заседанията на комисиите ще бъдат възобновени през седмиците №13 и №14 заедно с политическите групи включително и пленарна сесия. Първата пленарната сесия за април  се очаква да се проведе в Брюксел</w:t>
      </w:r>
      <w:r w:rsidR="00FB0C83" w:rsidRPr="0072505D">
        <w:rPr>
          <w:noProof/>
          <w:sz w:val="20"/>
          <w:lang w:val="bg-BG"/>
        </w:rPr>
        <w:t>,</w:t>
      </w:r>
      <w:r w:rsidR="00DB68DE" w:rsidRPr="0072505D">
        <w:rPr>
          <w:noProof/>
          <w:sz w:val="20"/>
          <w:lang w:val="bg-BG"/>
        </w:rPr>
        <w:t xml:space="preserve"> на 1-2 април, вместо в Страсбург (30 март-2 април), докато седмица №15 също е „Бяла седмица“ без дейности, като нормалната парламентарна работа не се очаква да се възобнови до Великден.</w:t>
      </w:r>
      <w:r w:rsidR="000A3D56" w:rsidRPr="0072505D">
        <w:rPr>
          <w:noProof/>
          <w:sz w:val="20"/>
          <w:lang w:val="bg-BG"/>
        </w:rPr>
        <w:t xml:space="preserve"> </w:t>
      </w:r>
      <w:r w:rsidR="00DB68DE" w:rsidRPr="0072505D">
        <w:rPr>
          <w:noProof/>
          <w:sz w:val="20"/>
          <w:lang w:val="bg-BG"/>
        </w:rPr>
        <w:t>До момента има информация за отмяна/отлагане  на множество срещи, вкл</w:t>
      </w:r>
      <w:r w:rsidR="000A3D56" w:rsidRPr="0072505D">
        <w:rPr>
          <w:noProof/>
          <w:sz w:val="20"/>
          <w:lang w:val="bg-BG"/>
        </w:rPr>
        <w:t>. на Специалния комитет по селско стопанство (</w:t>
      </w:r>
      <w:r w:rsidR="00DB68DE" w:rsidRPr="0072505D">
        <w:rPr>
          <w:noProof/>
          <w:sz w:val="20"/>
          <w:lang w:val="bg-BG"/>
        </w:rPr>
        <w:t>СКСС</w:t>
      </w:r>
      <w:r w:rsidR="000A3D56" w:rsidRPr="0072505D">
        <w:rPr>
          <w:noProof/>
          <w:sz w:val="20"/>
          <w:lang w:val="bg-BG"/>
        </w:rPr>
        <w:t>)</w:t>
      </w:r>
      <w:r w:rsidR="00DB68DE" w:rsidRPr="0072505D">
        <w:rPr>
          <w:noProof/>
          <w:sz w:val="20"/>
          <w:lang w:val="bg-BG"/>
        </w:rPr>
        <w:t xml:space="preserve"> на 16 и 30 март, Съветът на ЕС по земеделие на 24 март (с предварителна уговорка за провеждане на евентуална видеоконферентна връзка на министрите по земеделие), заседанията на Комитета по директни плащания и на Експертната група, предвидени за 27 март 2020 г. Отлага се и срещата на министрите на земеделието от Вишеградската четворка и България, Румъния, Словения, Франция и Хърватия на 30 март -1 април 2020 г. в гр. Бърно, Република Чешия.</w:t>
      </w:r>
      <w:r w:rsidR="00FB0C83" w:rsidRPr="0072505D">
        <w:rPr>
          <w:noProof/>
          <w:sz w:val="20"/>
          <w:lang w:val="bg-BG"/>
        </w:rPr>
        <w:t xml:space="preserve"> </w:t>
      </w:r>
      <w:r w:rsidR="00DB68DE" w:rsidRPr="0072505D">
        <w:rPr>
          <w:noProof/>
          <w:sz w:val="20"/>
          <w:lang w:val="bg-BG"/>
        </w:rPr>
        <w:t xml:space="preserve">В контекста на поредицата </w:t>
      </w:r>
      <w:r w:rsidR="00FB0C83" w:rsidRPr="0072505D">
        <w:rPr>
          <w:noProof/>
          <w:sz w:val="20"/>
          <w:lang w:val="bg-BG"/>
        </w:rPr>
        <w:t>отложени срещи</w:t>
      </w:r>
      <w:r w:rsidR="00DB68DE" w:rsidRPr="0072505D">
        <w:rPr>
          <w:noProof/>
          <w:sz w:val="20"/>
          <w:lang w:val="bg-BG"/>
        </w:rPr>
        <w:t xml:space="preserve">, МЗХГ </w:t>
      </w:r>
      <w:r w:rsidR="00FB0C83" w:rsidRPr="0072505D">
        <w:rPr>
          <w:noProof/>
          <w:sz w:val="20"/>
          <w:lang w:val="bg-BG"/>
        </w:rPr>
        <w:t>замени</w:t>
      </w:r>
      <w:r w:rsidR="00DB68DE" w:rsidRPr="0072505D">
        <w:rPr>
          <w:noProof/>
          <w:sz w:val="20"/>
          <w:lang w:val="bg-BG"/>
        </w:rPr>
        <w:t xml:space="preserve"> конференцията с бранш</w:t>
      </w:r>
      <w:r w:rsidR="00FB0C83" w:rsidRPr="0072505D">
        <w:rPr>
          <w:noProof/>
          <w:sz w:val="20"/>
          <w:lang w:val="bg-BG"/>
        </w:rPr>
        <w:t>а за обсъждане на предстоящата с</w:t>
      </w:r>
      <w:r w:rsidR="00DB68DE" w:rsidRPr="0072505D">
        <w:rPr>
          <w:noProof/>
          <w:sz w:val="20"/>
          <w:lang w:val="bg-BG"/>
        </w:rPr>
        <w:t>тратегия „От фермата до трапезата – устойчиво производство на храни“, с видеоконферент</w:t>
      </w:r>
      <w:r w:rsidR="00FB0C83" w:rsidRPr="0072505D">
        <w:rPr>
          <w:noProof/>
          <w:sz w:val="20"/>
          <w:lang w:val="bg-BG"/>
        </w:rPr>
        <w:t>ен разговор, проведен на 11 март.</w:t>
      </w:r>
      <w:r w:rsidR="00DB68DE" w:rsidRPr="0072505D">
        <w:rPr>
          <w:noProof/>
          <w:color w:val="5E5E5E"/>
          <w:sz w:val="20"/>
          <w:shd w:val="clear" w:color="auto" w:fill="FFFFFF"/>
          <w:lang w:val="bg-BG"/>
        </w:rPr>
        <w:t>(</w:t>
      </w:r>
      <w:hyperlink r:id="rId10" w:history="1">
        <w:r w:rsidR="00DB68DE" w:rsidRPr="0072505D">
          <w:rPr>
            <w:rStyle w:val="Hyperlink"/>
            <w:noProof/>
            <w:sz w:val="20"/>
            <w:lang w:val="bg-BG"/>
          </w:rPr>
          <w:t>https://www.mzh.government.bg/bg/press-center/novini/mzhg-provede-videokonferenten-razgovor-s-bransha-z/</w:t>
        </w:r>
      </w:hyperlink>
      <w:r w:rsidR="00DB68DE" w:rsidRPr="0072505D">
        <w:rPr>
          <w:noProof/>
          <w:sz w:val="20"/>
          <w:lang w:val="bg-BG"/>
        </w:rPr>
        <w:t>).</w:t>
      </w:r>
    </w:p>
    <w:p w:rsidR="00DB68DE" w:rsidRPr="0072505D" w:rsidRDefault="00DB68DE" w:rsidP="006A760C">
      <w:pPr>
        <w:jc w:val="both"/>
        <w:rPr>
          <w:rFonts w:ascii="Arial" w:hAnsi="Arial" w:cs="Arial"/>
          <w:noProof/>
          <w:sz w:val="20"/>
        </w:rPr>
      </w:pPr>
    </w:p>
    <w:p w:rsidR="009276DC" w:rsidRDefault="009276DC">
      <w:pPr>
        <w:spacing w:after="160" w:line="259" w:lineRule="auto"/>
        <w:rPr>
          <w:rFonts w:ascii="Arial" w:hAnsi="Arial" w:cs="Arial"/>
          <w:noProof/>
          <w:sz w:val="20"/>
        </w:rPr>
      </w:pPr>
      <w:r>
        <w:rPr>
          <w:rFonts w:ascii="Arial" w:hAnsi="Arial" w:cs="Arial"/>
          <w:noProof/>
          <w:sz w:val="20"/>
        </w:rPr>
        <w:br w:type="page"/>
      </w:r>
    </w:p>
    <w:p w:rsidR="008624A8" w:rsidRPr="0072505D" w:rsidRDefault="008624A8" w:rsidP="006A760C">
      <w:pPr>
        <w:jc w:val="both"/>
        <w:rPr>
          <w:rFonts w:ascii="Arial" w:hAnsi="Arial" w:cs="Arial"/>
          <w:noProof/>
          <w:sz w:val="20"/>
        </w:rPr>
      </w:pP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p>
    <w:p w:rsidR="008624A8" w:rsidRPr="0072505D" w:rsidRDefault="008624A8" w:rsidP="006A760C">
      <w:pPr>
        <w:jc w:val="both"/>
        <w:rPr>
          <w:rFonts w:ascii="Arial" w:hAnsi="Arial" w:cs="Arial"/>
          <w:b/>
          <w:noProof/>
          <w:sz w:val="20"/>
        </w:rPr>
      </w:pP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noProof/>
          <w:sz w:val="20"/>
        </w:rPr>
        <w:tab/>
      </w:r>
      <w:r w:rsidRPr="0072505D">
        <w:rPr>
          <w:rFonts w:ascii="Arial" w:hAnsi="Arial" w:cs="Arial"/>
          <w:b/>
          <w:noProof/>
          <w:sz w:val="20"/>
        </w:rPr>
        <w:t>Приложение 1</w:t>
      </w:r>
    </w:p>
    <w:p w:rsidR="009276DC" w:rsidRDefault="009276DC" w:rsidP="006A760C">
      <w:pPr>
        <w:jc w:val="center"/>
        <w:rPr>
          <w:rFonts w:ascii="Arial" w:hAnsi="Arial" w:cs="Arial"/>
          <w:b/>
          <w:noProof/>
          <w:sz w:val="20"/>
          <w:lang w:val="en-US"/>
        </w:rPr>
      </w:pPr>
    </w:p>
    <w:p w:rsidR="00FB0C83" w:rsidRDefault="00874AF2" w:rsidP="006A760C">
      <w:pPr>
        <w:jc w:val="center"/>
        <w:rPr>
          <w:rFonts w:ascii="Arial" w:hAnsi="Arial" w:cs="Arial"/>
          <w:b/>
          <w:noProof/>
          <w:sz w:val="20"/>
          <w:lang w:val="en-US"/>
        </w:rPr>
      </w:pPr>
      <w:r w:rsidRPr="0072505D">
        <w:rPr>
          <w:rFonts w:ascii="Arial" w:hAnsi="Arial" w:cs="Arial"/>
          <w:b/>
          <w:noProof/>
          <w:sz w:val="20"/>
        </w:rPr>
        <w:t xml:space="preserve">Нов </w:t>
      </w:r>
      <w:r w:rsidR="008624A8" w:rsidRPr="0072505D">
        <w:rPr>
          <w:rFonts w:ascii="Arial" w:hAnsi="Arial" w:cs="Arial"/>
          <w:b/>
          <w:noProof/>
          <w:sz w:val="20"/>
        </w:rPr>
        <w:t>„П</w:t>
      </w:r>
      <w:r w:rsidR="00FB0C83" w:rsidRPr="0072505D">
        <w:rPr>
          <w:rFonts w:ascii="Arial" w:hAnsi="Arial" w:cs="Arial"/>
          <w:b/>
          <w:noProof/>
          <w:sz w:val="20"/>
        </w:rPr>
        <w:t>лан за действие з</w:t>
      </w:r>
      <w:r w:rsidR="008624A8" w:rsidRPr="0072505D">
        <w:rPr>
          <w:rFonts w:ascii="Arial" w:hAnsi="Arial" w:cs="Arial"/>
          <w:b/>
          <w:noProof/>
          <w:sz w:val="20"/>
        </w:rPr>
        <w:t xml:space="preserve">а кръговата икономика“ на </w:t>
      </w:r>
      <w:r w:rsidR="00FB0C83" w:rsidRPr="0072505D">
        <w:rPr>
          <w:rFonts w:ascii="Arial" w:hAnsi="Arial" w:cs="Arial"/>
          <w:b/>
          <w:noProof/>
          <w:sz w:val="20"/>
        </w:rPr>
        <w:t>ЕК</w:t>
      </w:r>
    </w:p>
    <w:p w:rsidR="009276DC" w:rsidRPr="009276DC" w:rsidRDefault="009276DC" w:rsidP="006A760C">
      <w:pPr>
        <w:jc w:val="center"/>
        <w:rPr>
          <w:rFonts w:ascii="Arial" w:hAnsi="Arial" w:cs="Arial"/>
          <w:b/>
          <w:noProof/>
          <w:sz w:val="20"/>
          <w:lang w:val="en-US"/>
        </w:rPr>
      </w:pPr>
    </w:p>
    <w:p w:rsidR="00C618A3" w:rsidRPr="0072505D" w:rsidRDefault="00D47D07" w:rsidP="006A760C">
      <w:pPr>
        <w:jc w:val="both"/>
        <w:rPr>
          <w:rFonts w:ascii="Arial" w:hAnsi="Arial" w:cs="Arial"/>
          <w:noProof/>
          <w:sz w:val="20"/>
        </w:rPr>
      </w:pPr>
      <w:r w:rsidRPr="0072505D">
        <w:rPr>
          <w:rFonts w:ascii="Arial" w:hAnsi="Arial" w:cs="Arial"/>
          <w:noProof/>
          <w:sz w:val="20"/>
        </w:rPr>
        <w:t>З</w:t>
      </w:r>
      <w:r w:rsidR="00C618A3" w:rsidRPr="0072505D">
        <w:rPr>
          <w:rFonts w:ascii="Arial" w:hAnsi="Arial" w:cs="Arial"/>
          <w:noProof/>
          <w:sz w:val="20"/>
        </w:rPr>
        <w:t>аконодателно</w:t>
      </w:r>
      <w:r w:rsidRPr="0072505D">
        <w:rPr>
          <w:rFonts w:ascii="Arial" w:hAnsi="Arial" w:cs="Arial"/>
          <w:noProof/>
          <w:sz w:val="20"/>
        </w:rPr>
        <w:t>то</w:t>
      </w:r>
      <w:r w:rsidR="00C618A3" w:rsidRPr="0072505D">
        <w:rPr>
          <w:rFonts w:ascii="Arial" w:hAnsi="Arial" w:cs="Arial"/>
          <w:noProof/>
          <w:sz w:val="20"/>
        </w:rPr>
        <w:t xml:space="preserve"> предложение за „инициатива за устойчива продуктова политика“ (ко</w:t>
      </w:r>
      <w:r w:rsidRPr="0072505D">
        <w:rPr>
          <w:rFonts w:ascii="Arial" w:hAnsi="Arial" w:cs="Arial"/>
          <w:noProof/>
          <w:sz w:val="20"/>
        </w:rPr>
        <w:t>е</w:t>
      </w:r>
      <w:r w:rsidR="00C618A3" w:rsidRPr="0072505D">
        <w:rPr>
          <w:rFonts w:ascii="Arial" w:hAnsi="Arial" w:cs="Arial"/>
          <w:noProof/>
          <w:sz w:val="20"/>
        </w:rPr>
        <w:t xml:space="preserve">то трябва да излезе през 2021 г.), ще гарантира, че стоките са проектирани за устойчивост, циркулярност и за намаляване на въздействието върху околната среда и социалния живот през целия им жизнен цикъл. От 2020 г. Комисията има за цел да подобри инструментите за измерване, моделиране и политики за „улавяне на взаимодействията между кръговата икономика и смекчаването и адаптирането на изменението на климата на равнището на ЕС и на национално ниво“ с регулаторна рамка за сертифициране на премахването на въглеродни емисии (базирана на природата чрез възстановяване на екосистеми, защита на горите, залесяване, устойчиво управление на горите и изземване на въглеродни емисии) за 2023 г. Последното ще бъде „основано на стабилно и прозрачно отчитане на въглерод, за да се следи и проверява истинността на отстраняването на въглерода“, очертават авторите. Има също така тласък за по-добро отразяване на по-широки цели на кръговата икономика при преразглеждането на насоките за държавните помощи в областта на околната среда и енергетиката, както и на международните споразумения за свободна търговия. Глобалното потребление на материали като биомаса, изкопаеми горива, метали и минерали се очаква да се удвои през следващите 40 години, докато годишното производство на отпадъци се очаква да се увеличи с 70% до 2050 г., подчертават авторите. „Преходът към кръгова икономика ще бъде системен, дълбок и трансформативен в ЕС и извън него и ще бъде разрушителен на моменти, така че трябва да бъде справедлив“, като служителите настояват, че няма да бъде възможно да се постигне целта за неутралност на климата до 2050 г., без да се преминава към изцяло кръгова икономика. </w:t>
      </w:r>
    </w:p>
    <w:p w:rsidR="00C618A3" w:rsidRPr="0072505D" w:rsidRDefault="00C618A3" w:rsidP="006A760C">
      <w:pPr>
        <w:jc w:val="both"/>
        <w:rPr>
          <w:rFonts w:ascii="Arial" w:hAnsi="Arial" w:cs="Arial"/>
          <w:noProof/>
          <w:sz w:val="20"/>
        </w:rPr>
      </w:pPr>
      <w:r w:rsidRPr="0072505D">
        <w:rPr>
          <w:rFonts w:ascii="Arial" w:hAnsi="Arial" w:cs="Arial"/>
          <w:noProof/>
          <w:sz w:val="20"/>
        </w:rPr>
        <w:t xml:space="preserve">Коментирайки темата, изпълнителният вицепрезидент Франс Тимерманс заяви, че „за постигане на неутралитет на климата до 2050 г., за запазване на естествената ни среда и за засилване на икономическата ни конкурентоспособност е необходима пълна кръгова икономика“. </w:t>
      </w:r>
      <w:r w:rsidR="0072505D" w:rsidRPr="0072505D">
        <w:rPr>
          <w:rFonts w:ascii="Arial" w:hAnsi="Arial" w:cs="Arial"/>
          <w:noProof/>
          <w:sz w:val="20"/>
        </w:rPr>
        <w:t>Той</w:t>
      </w:r>
      <w:r w:rsidRPr="0072505D">
        <w:rPr>
          <w:rFonts w:ascii="Arial" w:hAnsi="Arial" w:cs="Arial"/>
          <w:noProof/>
          <w:sz w:val="20"/>
        </w:rPr>
        <w:t xml:space="preserve"> изтъкна, че „днес нашата икономика все още е предимно линейна („вземете-използвайте-изхвърлете“), като само 12% от вторичните материали и ресурси се връщат обратно в икономиката.“ „С днешния план ние стартираме действия за трансформиране на начина, по който се произвеждат продуктите и овластяване на потребителите да правят устойчив избор в своя полза и тази на околната среда“, добави той.</w:t>
      </w:r>
    </w:p>
    <w:p w:rsidR="001B1430" w:rsidRPr="0072505D" w:rsidRDefault="00C618A3" w:rsidP="009276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72505D">
        <w:rPr>
          <w:rFonts w:ascii="Arial" w:hAnsi="Arial" w:cs="Arial"/>
          <w:noProof/>
          <w:sz w:val="20"/>
        </w:rPr>
        <w:t>Текстът, който е част от Индустриалната стратегия на ЕС, включва обещание да направим всички опаковки, пуснати на пазара на ЕС, многократно използваеми или рециклируеми по икономически жизнеспособен начин до 2030 г., а Комисията ще предложи да засили задължителните съществени изисквания за всички поставени опаковки на вътрешния пазар. В рамките на рубриката, посветена на „Храна, вода и хранителни вещества“, служителите изглеждат готови да предложат цел за намаляване на хранителните отпадъци в стратегията „От фермата до трапезата“. Последната „ще се справи с цялата верига на хранителните стойности, за да се гарантира устойчивостта на сектора- засилване на усилията за справяне с изменението на климата, опазване на околната среда и запазване на биологичното разнообразие“. В рамките на инициативата за устойчиви продукти служителите ще започнат аналитична работа за определяне на обхвата на законодателното предложение за повторна употреба за заместване на опаковки, прибори за хранене и прибори за еднократна употреба с продукти за многократна употреба в хранителни услуги. Длъжностните лица ще улеснят повторната употреба на вода и ефективността вкл. в индустриалните процеси, като авторите сочат новия регламент за повторна употреба на водата, който насърчава кръговите подходи за повторна употреба на вода в селското стопанство. Разработването на Интегриран план за управление на хранителните вещества също е „с оглед осигуряване на по-устойчиво прилагане на хранителни вещества и стимулиране на пазарите за възстановени хранителни вещества“, а Комисията изглежда настроена да преразглежда директивите относно пречистването на отпадъчните води и утайките от канализацията и да оценява природните средства на отстраняване на хранителни вещества, като водорасли. По отношение на пластмасите на биологична основа- често представени като алтернатива на използването на изкопаеми ресурси, но които също имат въздействие върху околната среда- Комисията изглежда е подготвена да предложи рамка, която да гарантира, че снабдяването и използването на биопластични пластмаси води до истински ползи за околната среда. През 2021 г. тя планира да представи политическа рамка за пластмаси на биологична основа и биоразградими или компостируеми пластмаси и да гарантира навременното прилагане на новата директива относно пластмасовите изделия за еднократна употреба (одобрена през юни 2019</w:t>
      </w:r>
      <w:r w:rsidR="009276DC" w:rsidRPr="009276DC">
        <w:rPr>
          <w:rFonts w:ascii="Arial" w:hAnsi="Arial" w:cs="Arial"/>
          <w:noProof/>
          <w:sz w:val="20"/>
          <w:lang w:val="ru-RU"/>
        </w:rPr>
        <w:t>)</w:t>
      </w:r>
      <w:r w:rsidR="00850566" w:rsidRPr="00850566">
        <w:rPr>
          <w:rFonts w:ascii="Arial" w:hAnsi="Arial" w:cs="Arial"/>
          <w:noProof/>
          <w:sz w:val="20"/>
          <w:lang w:val="ru-RU"/>
        </w:rPr>
        <w:t>.</w:t>
      </w:r>
      <w:r w:rsidR="001173C3" w:rsidRPr="0072505D">
        <w:rPr>
          <w:noProof/>
        </w:rPr>
        <w:tab/>
      </w:r>
      <w:r w:rsidR="001173C3" w:rsidRPr="0072505D">
        <w:rPr>
          <w:noProof/>
        </w:rPr>
        <w:tab/>
      </w:r>
      <w:r w:rsidR="001173C3" w:rsidRPr="0072505D">
        <w:rPr>
          <w:noProof/>
        </w:rPr>
        <w:tab/>
      </w:r>
      <w:r w:rsidR="001173C3" w:rsidRPr="0072505D">
        <w:rPr>
          <w:noProof/>
        </w:rPr>
        <w:tab/>
      </w:r>
    </w:p>
    <w:p w:rsidR="0001496E" w:rsidRPr="0072505D" w:rsidRDefault="0001496E" w:rsidP="006A760C">
      <w:pPr>
        <w:jc w:val="both"/>
        <w:rPr>
          <w:rStyle w:val="longtext"/>
          <w:noProof/>
        </w:rPr>
      </w:pPr>
    </w:p>
    <w:sectPr w:rsidR="0001496E" w:rsidRPr="0072505D"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8D" w:rsidRDefault="00630B8D">
      <w:r>
        <w:separator/>
      </w:r>
    </w:p>
  </w:endnote>
  <w:endnote w:type="continuationSeparator" w:id="0">
    <w:p w:rsidR="00630B8D" w:rsidRDefault="0063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630B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630B8D"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50566">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630B8D">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8D" w:rsidRDefault="00630B8D">
      <w:r>
        <w:separator/>
      </w:r>
    </w:p>
  </w:footnote>
  <w:footnote w:type="continuationSeparator" w:id="0">
    <w:p w:rsidR="00630B8D" w:rsidRDefault="00630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38865C4D" wp14:editId="158FD4D6">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630B8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630B8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8F1C90">
      <w:rPr>
        <w:rFonts w:ascii="Arial" w:hAnsi="Arial"/>
        <w:b/>
        <w:bCs/>
        <w:color w:val="800080"/>
        <w:sz w:val="20"/>
        <w:lang w:val="en-US"/>
      </w:rPr>
      <w:t>1</w:t>
    </w:r>
    <w:r>
      <w:rPr>
        <w:rFonts w:ascii="Arial" w:hAnsi="Arial"/>
        <w:b/>
        <w:bCs/>
        <w:color w:val="800080"/>
        <w:sz w:val="20"/>
      </w:rPr>
      <w:t>/</w:t>
    </w:r>
    <w:r w:rsidR="008F1C90">
      <w:rPr>
        <w:rFonts w:ascii="Arial" w:hAnsi="Arial"/>
        <w:b/>
        <w:bCs/>
        <w:color w:val="800080"/>
        <w:sz w:val="20"/>
        <w:lang w:val="en-US"/>
      </w:rPr>
      <w:t>16</w:t>
    </w:r>
    <w:r w:rsidR="006E7A46">
      <w:rPr>
        <w:rFonts w:ascii="Arial" w:hAnsi="Arial"/>
        <w:b/>
        <w:bCs/>
        <w:color w:val="800080"/>
        <w:sz w:val="20"/>
        <w:lang w:val="en-US"/>
      </w:rPr>
      <w:t>.</w:t>
    </w:r>
    <w:r w:rsidR="002C512F">
      <w:rPr>
        <w:rFonts w:ascii="Arial" w:hAnsi="Arial"/>
        <w:b/>
        <w:bCs/>
        <w:color w:val="800080"/>
        <w:sz w:val="20"/>
        <w:lang w:val="en-US"/>
      </w:rPr>
      <w:t>0</w:t>
    </w:r>
    <w:r w:rsidR="00180311">
      <w:rPr>
        <w:rFonts w:ascii="Arial" w:hAnsi="Arial"/>
        <w:b/>
        <w:bCs/>
        <w:color w:val="800080"/>
        <w:sz w:val="20"/>
        <w:lang w:val="en-US"/>
      </w:rPr>
      <w:t>3</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144D9"/>
    <w:rsid w:val="0001496E"/>
    <w:rsid w:val="0002497A"/>
    <w:rsid w:val="00024DB1"/>
    <w:rsid w:val="00032EDB"/>
    <w:rsid w:val="00046BB0"/>
    <w:rsid w:val="00046D50"/>
    <w:rsid w:val="00050832"/>
    <w:rsid w:val="000518AE"/>
    <w:rsid w:val="0005714A"/>
    <w:rsid w:val="00061A0E"/>
    <w:rsid w:val="0006687D"/>
    <w:rsid w:val="000678FD"/>
    <w:rsid w:val="0007208A"/>
    <w:rsid w:val="00081DAE"/>
    <w:rsid w:val="00087A3F"/>
    <w:rsid w:val="00091CD4"/>
    <w:rsid w:val="000A31F0"/>
    <w:rsid w:val="000A3D56"/>
    <w:rsid w:val="000B2026"/>
    <w:rsid w:val="000B44C4"/>
    <w:rsid w:val="000B7B54"/>
    <w:rsid w:val="001164FC"/>
    <w:rsid w:val="001173C3"/>
    <w:rsid w:val="00117A81"/>
    <w:rsid w:val="00120AD2"/>
    <w:rsid w:val="00131A6D"/>
    <w:rsid w:val="00134872"/>
    <w:rsid w:val="0013606E"/>
    <w:rsid w:val="0014608C"/>
    <w:rsid w:val="001639CC"/>
    <w:rsid w:val="00173E25"/>
    <w:rsid w:val="00180311"/>
    <w:rsid w:val="00180441"/>
    <w:rsid w:val="00186654"/>
    <w:rsid w:val="00193EEE"/>
    <w:rsid w:val="001A6A7A"/>
    <w:rsid w:val="001B1430"/>
    <w:rsid w:val="001B5399"/>
    <w:rsid w:val="001C3F62"/>
    <w:rsid w:val="001C57DF"/>
    <w:rsid w:val="001E1EAA"/>
    <w:rsid w:val="001E1F98"/>
    <w:rsid w:val="001E4050"/>
    <w:rsid w:val="001E4C01"/>
    <w:rsid w:val="001F2EC7"/>
    <w:rsid w:val="001F396B"/>
    <w:rsid w:val="00210721"/>
    <w:rsid w:val="002118F6"/>
    <w:rsid w:val="002155C8"/>
    <w:rsid w:val="00215B7E"/>
    <w:rsid w:val="002163C0"/>
    <w:rsid w:val="00221CDF"/>
    <w:rsid w:val="0024546F"/>
    <w:rsid w:val="002521C1"/>
    <w:rsid w:val="002610A9"/>
    <w:rsid w:val="002653C2"/>
    <w:rsid w:val="00274F4E"/>
    <w:rsid w:val="00275471"/>
    <w:rsid w:val="00285183"/>
    <w:rsid w:val="0029075B"/>
    <w:rsid w:val="002918DE"/>
    <w:rsid w:val="0029220D"/>
    <w:rsid w:val="002A2BBE"/>
    <w:rsid w:val="002A2C5F"/>
    <w:rsid w:val="002A5150"/>
    <w:rsid w:val="002A6A4C"/>
    <w:rsid w:val="002A6BC7"/>
    <w:rsid w:val="002B379D"/>
    <w:rsid w:val="002B44DA"/>
    <w:rsid w:val="002C20F1"/>
    <w:rsid w:val="002C21A3"/>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ACF"/>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78EE"/>
    <w:rsid w:val="00403CB9"/>
    <w:rsid w:val="00411829"/>
    <w:rsid w:val="004133A8"/>
    <w:rsid w:val="00422311"/>
    <w:rsid w:val="0043388D"/>
    <w:rsid w:val="0044148C"/>
    <w:rsid w:val="00446398"/>
    <w:rsid w:val="0046415A"/>
    <w:rsid w:val="004923C1"/>
    <w:rsid w:val="00496775"/>
    <w:rsid w:val="004A0254"/>
    <w:rsid w:val="004A4C92"/>
    <w:rsid w:val="004B46D9"/>
    <w:rsid w:val="004F2AF9"/>
    <w:rsid w:val="004F4705"/>
    <w:rsid w:val="004F5E4F"/>
    <w:rsid w:val="00502A0A"/>
    <w:rsid w:val="0051071D"/>
    <w:rsid w:val="005179AD"/>
    <w:rsid w:val="005247A5"/>
    <w:rsid w:val="0052706F"/>
    <w:rsid w:val="00530C09"/>
    <w:rsid w:val="00537A32"/>
    <w:rsid w:val="00542DE9"/>
    <w:rsid w:val="00562C02"/>
    <w:rsid w:val="00563064"/>
    <w:rsid w:val="005740A8"/>
    <w:rsid w:val="00584AC7"/>
    <w:rsid w:val="00594324"/>
    <w:rsid w:val="00596313"/>
    <w:rsid w:val="005A0184"/>
    <w:rsid w:val="005B1884"/>
    <w:rsid w:val="005B4574"/>
    <w:rsid w:val="005C1BB7"/>
    <w:rsid w:val="005F156C"/>
    <w:rsid w:val="00600B9E"/>
    <w:rsid w:val="00623765"/>
    <w:rsid w:val="00626A3F"/>
    <w:rsid w:val="00627881"/>
    <w:rsid w:val="00630B8D"/>
    <w:rsid w:val="006367A9"/>
    <w:rsid w:val="00642BB6"/>
    <w:rsid w:val="0066444F"/>
    <w:rsid w:val="00682667"/>
    <w:rsid w:val="006961F0"/>
    <w:rsid w:val="006A094F"/>
    <w:rsid w:val="006A7391"/>
    <w:rsid w:val="006A739D"/>
    <w:rsid w:val="006A760C"/>
    <w:rsid w:val="006B24D3"/>
    <w:rsid w:val="006C196D"/>
    <w:rsid w:val="006E7A46"/>
    <w:rsid w:val="006F38F7"/>
    <w:rsid w:val="0070200F"/>
    <w:rsid w:val="00705B40"/>
    <w:rsid w:val="00713942"/>
    <w:rsid w:val="00714838"/>
    <w:rsid w:val="0072505D"/>
    <w:rsid w:val="00726AB6"/>
    <w:rsid w:val="00734448"/>
    <w:rsid w:val="00750FB4"/>
    <w:rsid w:val="007712FE"/>
    <w:rsid w:val="00782D3D"/>
    <w:rsid w:val="007846E5"/>
    <w:rsid w:val="007A388B"/>
    <w:rsid w:val="007A70E6"/>
    <w:rsid w:val="007B03F2"/>
    <w:rsid w:val="007B0CB0"/>
    <w:rsid w:val="007C365C"/>
    <w:rsid w:val="007C75B4"/>
    <w:rsid w:val="007D7438"/>
    <w:rsid w:val="007E475C"/>
    <w:rsid w:val="007F4E89"/>
    <w:rsid w:val="008030C3"/>
    <w:rsid w:val="00811B89"/>
    <w:rsid w:val="00816686"/>
    <w:rsid w:val="0082007C"/>
    <w:rsid w:val="008206C1"/>
    <w:rsid w:val="0083184F"/>
    <w:rsid w:val="0083232B"/>
    <w:rsid w:val="00845489"/>
    <w:rsid w:val="00850566"/>
    <w:rsid w:val="008520D5"/>
    <w:rsid w:val="00852DE4"/>
    <w:rsid w:val="00861450"/>
    <w:rsid w:val="008624A8"/>
    <w:rsid w:val="00865E24"/>
    <w:rsid w:val="00874AF2"/>
    <w:rsid w:val="0087702E"/>
    <w:rsid w:val="0087763E"/>
    <w:rsid w:val="008803A4"/>
    <w:rsid w:val="008836F2"/>
    <w:rsid w:val="008933AB"/>
    <w:rsid w:val="008A1360"/>
    <w:rsid w:val="008B2118"/>
    <w:rsid w:val="008B32B2"/>
    <w:rsid w:val="008D0E78"/>
    <w:rsid w:val="008D2FF4"/>
    <w:rsid w:val="008E0F81"/>
    <w:rsid w:val="008F1C90"/>
    <w:rsid w:val="008F7ECC"/>
    <w:rsid w:val="009063C7"/>
    <w:rsid w:val="0090678A"/>
    <w:rsid w:val="00907219"/>
    <w:rsid w:val="00910462"/>
    <w:rsid w:val="009203FA"/>
    <w:rsid w:val="009228F9"/>
    <w:rsid w:val="009276DC"/>
    <w:rsid w:val="00934FA6"/>
    <w:rsid w:val="009355BA"/>
    <w:rsid w:val="00946EFB"/>
    <w:rsid w:val="00956512"/>
    <w:rsid w:val="0096382C"/>
    <w:rsid w:val="009704A2"/>
    <w:rsid w:val="00977CA7"/>
    <w:rsid w:val="009927D1"/>
    <w:rsid w:val="0099695D"/>
    <w:rsid w:val="009A2752"/>
    <w:rsid w:val="009A5D09"/>
    <w:rsid w:val="009A7172"/>
    <w:rsid w:val="009B1FAD"/>
    <w:rsid w:val="009D0924"/>
    <w:rsid w:val="009D6F1E"/>
    <w:rsid w:val="009E016F"/>
    <w:rsid w:val="009E45D3"/>
    <w:rsid w:val="009E6BDB"/>
    <w:rsid w:val="009F4E95"/>
    <w:rsid w:val="009F7022"/>
    <w:rsid w:val="00A02393"/>
    <w:rsid w:val="00A1170C"/>
    <w:rsid w:val="00A15D87"/>
    <w:rsid w:val="00A227FC"/>
    <w:rsid w:val="00A447C0"/>
    <w:rsid w:val="00A460D7"/>
    <w:rsid w:val="00A50E2C"/>
    <w:rsid w:val="00A56825"/>
    <w:rsid w:val="00A673EB"/>
    <w:rsid w:val="00A74737"/>
    <w:rsid w:val="00A77EC5"/>
    <w:rsid w:val="00AB140A"/>
    <w:rsid w:val="00AB1841"/>
    <w:rsid w:val="00AB2303"/>
    <w:rsid w:val="00AC73DE"/>
    <w:rsid w:val="00AD504F"/>
    <w:rsid w:val="00AE0D25"/>
    <w:rsid w:val="00AE14FF"/>
    <w:rsid w:val="00AE2FF4"/>
    <w:rsid w:val="00B03285"/>
    <w:rsid w:val="00B16835"/>
    <w:rsid w:val="00B200ED"/>
    <w:rsid w:val="00B34793"/>
    <w:rsid w:val="00B36E39"/>
    <w:rsid w:val="00B539A9"/>
    <w:rsid w:val="00B6207E"/>
    <w:rsid w:val="00B64F87"/>
    <w:rsid w:val="00B73DA3"/>
    <w:rsid w:val="00B81125"/>
    <w:rsid w:val="00B8112B"/>
    <w:rsid w:val="00B853D4"/>
    <w:rsid w:val="00B90317"/>
    <w:rsid w:val="00B93F21"/>
    <w:rsid w:val="00BC35B8"/>
    <w:rsid w:val="00BC70E2"/>
    <w:rsid w:val="00BE55CA"/>
    <w:rsid w:val="00BF118B"/>
    <w:rsid w:val="00BF28EC"/>
    <w:rsid w:val="00C00F88"/>
    <w:rsid w:val="00C05E95"/>
    <w:rsid w:val="00C20809"/>
    <w:rsid w:val="00C3643A"/>
    <w:rsid w:val="00C37B23"/>
    <w:rsid w:val="00C44608"/>
    <w:rsid w:val="00C574EE"/>
    <w:rsid w:val="00C60D17"/>
    <w:rsid w:val="00C618A3"/>
    <w:rsid w:val="00C6312D"/>
    <w:rsid w:val="00C718EB"/>
    <w:rsid w:val="00C73FFB"/>
    <w:rsid w:val="00C7577F"/>
    <w:rsid w:val="00C801BF"/>
    <w:rsid w:val="00C9506F"/>
    <w:rsid w:val="00CA35A8"/>
    <w:rsid w:val="00CA7960"/>
    <w:rsid w:val="00CB196D"/>
    <w:rsid w:val="00CB2886"/>
    <w:rsid w:val="00CC7CF0"/>
    <w:rsid w:val="00CE164A"/>
    <w:rsid w:val="00CE5E69"/>
    <w:rsid w:val="00CF0DEA"/>
    <w:rsid w:val="00D000AE"/>
    <w:rsid w:val="00D0195C"/>
    <w:rsid w:val="00D100BD"/>
    <w:rsid w:val="00D1195A"/>
    <w:rsid w:val="00D167B1"/>
    <w:rsid w:val="00D16A33"/>
    <w:rsid w:val="00D25C9A"/>
    <w:rsid w:val="00D3159B"/>
    <w:rsid w:val="00D32B06"/>
    <w:rsid w:val="00D43BBD"/>
    <w:rsid w:val="00D47D07"/>
    <w:rsid w:val="00D61B59"/>
    <w:rsid w:val="00D6359C"/>
    <w:rsid w:val="00D63914"/>
    <w:rsid w:val="00D758EF"/>
    <w:rsid w:val="00D80D84"/>
    <w:rsid w:val="00D8519B"/>
    <w:rsid w:val="00D86732"/>
    <w:rsid w:val="00DA44A9"/>
    <w:rsid w:val="00DA4860"/>
    <w:rsid w:val="00DB68DE"/>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A4B29"/>
    <w:rsid w:val="00EA4B99"/>
    <w:rsid w:val="00EA5878"/>
    <w:rsid w:val="00EB0F17"/>
    <w:rsid w:val="00EB289B"/>
    <w:rsid w:val="00EB783C"/>
    <w:rsid w:val="00EC0DDC"/>
    <w:rsid w:val="00EC4213"/>
    <w:rsid w:val="00EC6BA3"/>
    <w:rsid w:val="00EE1065"/>
    <w:rsid w:val="00EE38E7"/>
    <w:rsid w:val="00EE7B1B"/>
    <w:rsid w:val="00EF7438"/>
    <w:rsid w:val="00F0360F"/>
    <w:rsid w:val="00F12C83"/>
    <w:rsid w:val="00F23EFD"/>
    <w:rsid w:val="00F30D26"/>
    <w:rsid w:val="00F40970"/>
    <w:rsid w:val="00F4416D"/>
    <w:rsid w:val="00F531AD"/>
    <w:rsid w:val="00F6008B"/>
    <w:rsid w:val="00F67B7A"/>
    <w:rsid w:val="00F70B6C"/>
    <w:rsid w:val="00F72B07"/>
    <w:rsid w:val="00F73C4B"/>
    <w:rsid w:val="00F74337"/>
    <w:rsid w:val="00F90089"/>
    <w:rsid w:val="00FB0C83"/>
    <w:rsid w:val="00FD4196"/>
    <w:rsid w:val="00FE14C1"/>
    <w:rsid w:val="00FE2D77"/>
    <w:rsid w:val="00FE657F"/>
    <w:rsid w:val="00FF041A"/>
    <w:rsid w:val="00FF11AD"/>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91547819">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61947676">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47875877">
      <w:bodyDiv w:val="1"/>
      <w:marLeft w:val="0"/>
      <w:marRight w:val="0"/>
      <w:marTop w:val="0"/>
      <w:marBottom w:val="0"/>
      <w:divBdr>
        <w:top w:val="none" w:sz="0" w:space="0" w:color="auto"/>
        <w:left w:val="none" w:sz="0" w:space="0" w:color="auto"/>
        <w:bottom w:val="none" w:sz="0" w:space="0" w:color="auto"/>
        <w:right w:val="none" w:sz="0" w:space="0" w:color="auto"/>
      </w:divBdr>
    </w:div>
    <w:div w:id="1101758204">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85135309">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zh.government.bg/bg/press-center/novini/mzhg-provede-videokonferenten-razgovor-s-bransha-z/" TargetMode="External"/><Relationship Id="rId4" Type="http://schemas.microsoft.com/office/2007/relationships/stylesWithEffects" Target="stylesWithEffects.xml"/><Relationship Id="rId9" Type="http://schemas.openxmlformats.org/officeDocument/2006/relationships/hyperlink" Target="https://www.mzh.government.bg/bg/politiki-i-programi/programi-za-finansirane/direktni-plashaniya/nacionalno-zakonodatelstvo-prilagane-shemi-direktni-plashtan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95C15-6641-4A51-8E19-9B84C466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38</cp:revision>
  <dcterms:created xsi:type="dcterms:W3CDTF">2020-03-06T07:55:00Z</dcterms:created>
  <dcterms:modified xsi:type="dcterms:W3CDTF">2020-03-16T12:12:00Z</dcterms:modified>
</cp:coreProperties>
</file>