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6E7A46" w:rsidTr="00F73636">
        <w:tc>
          <w:tcPr>
            <w:tcW w:w="9923" w:type="dxa"/>
            <w:shd w:val="clear" w:color="auto" w:fill="C0C0C0"/>
          </w:tcPr>
          <w:p w:rsidR="001B1430" w:rsidRPr="006E7A46" w:rsidRDefault="001B1430" w:rsidP="00F73636">
            <w:pPr>
              <w:jc w:val="both"/>
              <w:rPr>
                <w:rFonts w:ascii="Arial" w:hAnsi="Arial" w:cs="Arial"/>
                <w:b/>
                <w:i/>
                <w:sz w:val="20"/>
              </w:rPr>
            </w:pPr>
            <w:r w:rsidRPr="006E7A46">
              <w:rPr>
                <w:rFonts w:ascii="Arial" w:hAnsi="Arial" w:cs="Arial"/>
                <w:b/>
                <w:i/>
                <w:sz w:val="20"/>
              </w:rPr>
              <w:t>Директни плащания</w:t>
            </w:r>
          </w:p>
        </w:tc>
      </w:tr>
    </w:tbl>
    <w:p w:rsidR="001B1430" w:rsidRPr="006E7A46" w:rsidRDefault="001B1430" w:rsidP="001B1430">
      <w:pPr>
        <w:jc w:val="both"/>
        <w:rPr>
          <w:rStyle w:val="longtext"/>
          <w:rFonts w:ascii="Arial" w:hAnsi="Arial" w:cs="Arial"/>
          <w:b/>
          <w:sz w:val="20"/>
        </w:rPr>
      </w:pPr>
    </w:p>
    <w:p w:rsidR="002A2C5F" w:rsidRDefault="001B1430" w:rsidP="00210721">
      <w:pPr>
        <w:tabs>
          <w:tab w:val="left" w:pos="4177"/>
        </w:tabs>
        <w:jc w:val="both"/>
        <w:rPr>
          <w:rFonts w:ascii="Arial" w:hAnsi="Arial" w:cs="Arial"/>
          <w:bCs/>
          <w:sz w:val="20"/>
        </w:rPr>
      </w:pPr>
      <w:r w:rsidRPr="00210721">
        <w:rPr>
          <w:rFonts w:ascii="Arial" w:hAnsi="Arial" w:cs="Arial"/>
          <w:b/>
          <w:color w:val="000000"/>
          <w:sz w:val="20"/>
        </w:rPr>
        <w:t>1.</w:t>
      </w:r>
      <w:r w:rsidRPr="00210721">
        <w:rPr>
          <w:rFonts w:ascii="Arial" w:hAnsi="Arial" w:cs="Arial"/>
          <w:b/>
          <w:color w:val="666666"/>
          <w:sz w:val="20"/>
        </w:rPr>
        <w:t xml:space="preserve"> </w:t>
      </w:r>
      <w:r w:rsidR="002A2C5F" w:rsidRPr="00210721">
        <w:rPr>
          <w:rFonts w:ascii="Arial" w:hAnsi="Arial" w:cs="Arial"/>
          <w:b/>
          <w:sz w:val="20"/>
        </w:rPr>
        <w:t xml:space="preserve">Общественото обсъждане на проекта на </w:t>
      </w:r>
      <w:r w:rsidR="002A2C5F" w:rsidRPr="00210721">
        <w:rPr>
          <w:rFonts w:ascii="Arial" w:hAnsi="Arial" w:cs="Arial"/>
          <w:b/>
          <w:bCs/>
          <w:sz w:val="20"/>
        </w:rPr>
        <w:t xml:space="preserve">Наредбата за изменение и допълнение на Наредба № 3 от 2015 г. за условията и реда за прилагане на схемите за директни плащания изтича на 17 февруари 2020г. </w:t>
      </w:r>
      <w:r w:rsidR="002A2C5F" w:rsidRPr="00210721">
        <w:rPr>
          <w:rFonts w:ascii="Arial" w:hAnsi="Arial" w:cs="Arial"/>
          <w:bCs/>
          <w:sz w:val="20"/>
        </w:rPr>
        <w:t>Измененията в наредбата ще бъдат приложими от Кампания 2020</w:t>
      </w:r>
      <w:r w:rsidR="002A2C5F" w:rsidRPr="00210721">
        <w:rPr>
          <w:rFonts w:ascii="Arial" w:hAnsi="Arial" w:cs="Arial"/>
          <w:b/>
          <w:bCs/>
          <w:sz w:val="20"/>
        </w:rPr>
        <w:t xml:space="preserve"> </w:t>
      </w:r>
      <w:r w:rsidR="002A2C5F" w:rsidRPr="00210721">
        <w:rPr>
          <w:rFonts w:ascii="Arial" w:hAnsi="Arial" w:cs="Arial"/>
          <w:bCs/>
          <w:sz w:val="20"/>
        </w:rPr>
        <w:t xml:space="preserve">и са насочени предимно към условията за допустимост и правилата за прилагане на схемите за обвързано с производството  подпомагане. </w:t>
      </w:r>
      <w:r w:rsidR="00210721" w:rsidRPr="00210721">
        <w:rPr>
          <w:rFonts w:ascii="Arial" w:hAnsi="Arial" w:cs="Arial"/>
          <w:bCs/>
          <w:sz w:val="20"/>
        </w:rPr>
        <w:t xml:space="preserve">Изменения се </w:t>
      </w:r>
      <w:r w:rsidR="002A2C5F" w:rsidRPr="00210721">
        <w:rPr>
          <w:rFonts w:ascii="Arial" w:hAnsi="Arial" w:cs="Arial"/>
          <w:bCs/>
          <w:sz w:val="20"/>
        </w:rPr>
        <w:t xml:space="preserve">предвиждат и </w:t>
      </w:r>
      <w:r w:rsidR="00210721" w:rsidRPr="00210721">
        <w:rPr>
          <w:rFonts w:ascii="Arial" w:hAnsi="Arial" w:cs="Arial"/>
          <w:bCs/>
          <w:sz w:val="20"/>
        </w:rPr>
        <w:t xml:space="preserve">в Наредба № 105 от 2006 г. за условията и реда за създаване, поддържане, достъп и ползване на интегрираната система за администриране и контрол и имат за цел </w:t>
      </w:r>
      <w:r w:rsidR="002A2C5F" w:rsidRPr="00210721">
        <w:rPr>
          <w:rFonts w:ascii="Arial" w:hAnsi="Arial" w:cs="Arial"/>
          <w:bCs/>
          <w:sz w:val="20"/>
        </w:rPr>
        <w:t>уеднаквяване на нормативните разпоредби с действащата практика</w:t>
      </w:r>
      <w:r w:rsidR="00210721" w:rsidRPr="00210721">
        <w:rPr>
          <w:rFonts w:ascii="Arial" w:hAnsi="Arial" w:cs="Arial"/>
          <w:bCs/>
          <w:sz w:val="20"/>
        </w:rPr>
        <w:t>. След отразяване на становищата</w:t>
      </w:r>
      <w:r w:rsidR="00562C02">
        <w:rPr>
          <w:rFonts w:ascii="Arial" w:hAnsi="Arial" w:cs="Arial"/>
          <w:bCs/>
          <w:sz w:val="20"/>
        </w:rPr>
        <w:t>,</w:t>
      </w:r>
      <w:r w:rsidR="00210721" w:rsidRPr="00210721">
        <w:rPr>
          <w:rFonts w:ascii="Arial" w:hAnsi="Arial" w:cs="Arial"/>
          <w:bCs/>
          <w:sz w:val="20"/>
        </w:rPr>
        <w:t xml:space="preserve"> постъпили по време на общественото обсъждане</w:t>
      </w:r>
      <w:r w:rsidR="00562C02">
        <w:rPr>
          <w:rFonts w:ascii="Arial" w:hAnsi="Arial" w:cs="Arial"/>
          <w:bCs/>
          <w:sz w:val="20"/>
        </w:rPr>
        <w:t>,</w:t>
      </w:r>
      <w:r w:rsidR="00210721" w:rsidRPr="00210721">
        <w:rPr>
          <w:rFonts w:ascii="Arial" w:hAnsi="Arial" w:cs="Arial"/>
          <w:bCs/>
          <w:sz w:val="20"/>
        </w:rPr>
        <w:t xml:space="preserve"> </w:t>
      </w:r>
      <w:r w:rsidR="00210721">
        <w:rPr>
          <w:rFonts w:ascii="Arial" w:hAnsi="Arial" w:cs="Arial"/>
          <w:bCs/>
          <w:sz w:val="20"/>
        </w:rPr>
        <w:t>проектът за изменение</w:t>
      </w:r>
      <w:r w:rsidR="00210721" w:rsidRPr="00210721">
        <w:rPr>
          <w:rFonts w:ascii="Arial" w:hAnsi="Arial" w:cs="Arial"/>
          <w:bCs/>
          <w:sz w:val="20"/>
        </w:rPr>
        <w:t xml:space="preserve"> на двете наредби ще бъде публикуван в Държавен вестник. </w:t>
      </w:r>
    </w:p>
    <w:p w:rsidR="00E4290A" w:rsidRDefault="00E4290A" w:rsidP="00210721">
      <w:pPr>
        <w:tabs>
          <w:tab w:val="left" w:pos="4177"/>
        </w:tabs>
        <w:jc w:val="both"/>
        <w:rPr>
          <w:rFonts w:ascii="Arial" w:hAnsi="Arial" w:cs="Arial"/>
          <w:bCs/>
          <w:sz w:val="20"/>
        </w:rPr>
      </w:pPr>
    </w:p>
    <w:p w:rsidR="00E4290A" w:rsidRPr="00FE657F" w:rsidRDefault="00DE752F" w:rsidP="00E4290A">
      <w:pPr>
        <w:tabs>
          <w:tab w:val="left" w:pos="4177"/>
        </w:tabs>
        <w:jc w:val="both"/>
        <w:rPr>
          <w:rFonts w:ascii="Arial" w:hAnsi="Arial" w:cs="Arial"/>
          <w:sz w:val="20"/>
        </w:rPr>
      </w:pPr>
      <w:r>
        <w:rPr>
          <w:rFonts w:ascii="Arial" w:hAnsi="Arial" w:cs="Arial"/>
          <w:b/>
          <w:sz w:val="20"/>
        </w:rPr>
        <w:t>2.</w:t>
      </w:r>
      <w:r>
        <w:rPr>
          <w:rFonts w:ascii="Arial" w:hAnsi="Arial" w:cs="Arial"/>
          <w:bCs/>
          <w:sz w:val="20"/>
        </w:rPr>
        <w:t xml:space="preserve"> </w:t>
      </w:r>
      <w:r w:rsidR="009063C7">
        <w:rPr>
          <w:rFonts w:ascii="Arial" w:hAnsi="Arial" w:cs="Arial"/>
          <w:b/>
          <w:sz w:val="20"/>
        </w:rPr>
        <w:t>Във връзка с информационната кампания на МЗХГ, о</w:t>
      </w:r>
      <w:r w:rsidR="00E4290A">
        <w:rPr>
          <w:rFonts w:ascii="Arial" w:hAnsi="Arial" w:cs="Arial"/>
          <w:b/>
          <w:sz w:val="20"/>
        </w:rPr>
        <w:t>т</w:t>
      </w:r>
      <w:r w:rsidR="00E4290A">
        <w:rPr>
          <w:rFonts w:ascii="Arial" w:hAnsi="Arial" w:cs="Arial"/>
          <w:b/>
          <w:color w:val="666666"/>
          <w:sz w:val="20"/>
        </w:rPr>
        <w:t xml:space="preserve"> </w:t>
      </w:r>
      <w:r w:rsidR="00E4290A">
        <w:rPr>
          <w:rFonts w:ascii="Arial" w:hAnsi="Arial" w:cs="Arial"/>
          <w:b/>
          <w:sz w:val="20"/>
        </w:rPr>
        <w:t>10 до</w:t>
      </w:r>
      <w:r w:rsidR="00E4290A" w:rsidRPr="00FE657F">
        <w:rPr>
          <w:rFonts w:ascii="Arial" w:hAnsi="Arial" w:cs="Arial"/>
          <w:b/>
          <w:sz w:val="20"/>
        </w:rPr>
        <w:t xml:space="preserve"> </w:t>
      </w:r>
      <w:r w:rsidR="00E4290A">
        <w:rPr>
          <w:rFonts w:ascii="Arial" w:hAnsi="Arial" w:cs="Arial"/>
          <w:b/>
          <w:sz w:val="20"/>
        </w:rPr>
        <w:t xml:space="preserve">13 февруари продължиха срещите със земеделските стопани в градовете Добрич, Силистра, Шумен, Търговище, Разград, Русе, Сливен, Ямбол, Бургас, Стара Загора, Хасково, Кърджали и Смолян. </w:t>
      </w:r>
      <w:r w:rsidR="00E4290A" w:rsidRPr="00FD5811">
        <w:rPr>
          <w:rFonts w:ascii="Arial" w:hAnsi="Arial" w:cs="Arial"/>
          <w:sz w:val="20"/>
        </w:rPr>
        <w:t>По време на срещ</w:t>
      </w:r>
      <w:r w:rsidR="00E4290A">
        <w:rPr>
          <w:rFonts w:ascii="Arial" w:hAnsi="Arial" w:cs="Arial"/>
          <w:sz w:val="20"/>
        </w:rPr>
        <w:t>ите</w:t>
      </w:r>
      <w:r w:rsidR="00E4290A" w:rsidRPr="00FD5811">
        <w:rPr>
          <w:rFonts w:ascii="Arial" w:hAnsi="Arial" w:cs="Arial"/>
          <w:sz w:val="20"/>
        </w:rPr>
        <w:t xml:space="preserve"> б</w:t>
      </w:r>
      <w:r w:rsidR="00E4290A">
        <w:rPr>
          <w:rFonts w:ascii="Arial" w:hAnsi="Arial" w:cs="Arial"/>
          <w:sz w:val="20"/>
        </w:rPr>
        <w:t>яха представени</w:t>
      </w:r>
      <w:r w:rsidR="00E4290A" w:rsidRPr="00FD5811">
        <w:rPr>
          <w:rFonts w:ascii="Arial" w:hAnsi="Arial" w:cs="Arial"/>
          <w:sz w:val="20"/>
        </w:rPr>
        <w:t xml:space="preserve"> </w:t>
      </w:r>
      <w:r w:rsidR="00E4290A">
        <w:rPr>
          <w:rFonts w:ascii="Arial" w:hAnsi="Arial" w:cs="Arial"/>
          <w:sz w:val="20"/>
        </w:rPr>
        <w:t>важни акценти в</w:t>
      </w:r>
      <w:r w:rsidR="00E4290A" w:rsidRPr="00FD5811">
        <w:rPr>
          <w:rFonts w:ascii="Arial" w:hAnsi="Arial" w:cs="Arial"/>
          <w:sz w:val="20"/>
        </w:rPr>
        <w:t xml:space="preserve"> новата Обща селскостопанска политика (ОСП) след 2020 г.</w:t>
      </w:r>
      <w:r w:rsidR="00E4290A" w:rsidRPr="00FD5811">
        <w:rPr>
          <w:rFonts w:ascii="Arial" w:hAnsi="Arial" w:cs="Arial"/>
          <w:b/>
          <w:sz w:val="20"/>
        </w:rPr>
        <w:t xml:space="preserve"> </w:t>
      </w:r>
      <w:r w:rsidR="00E4290A">
        <w:rPr>
          <w:rFonts w:ascii="Arial" w:hAnsi="Arial" w:cs="Arial"/>
          <w:sz w:val="20"/>
        </w:rPr>
        <w:t>Разяснени бяха</w:t>
      </w:r>
      <w:r w:rsidR="00E4290A" w:rsidRPr="00FD5811">
        <w:rPr>
          <w:rFonts w:ascii="Arial" w:hAnsi="Arial" w:cs="Arial"/>
          <w:sz w:val="20"/>
        </w:rPr>
        <w:t xml:space="preserve"> новостите </w:t>
      </w:r>
      <w:r w:rsidR="00E4290A">
        <w:rPr>
          <w:rFonts w:ascii="Arial" w:hAnsi="Arial" w:cs="Arial"/>
          <w:sz w:val="20"/>
        </w:rPr>
        <w:t>в</w:t>
      </w:r>
      <w:r w:rsidR="00E4290A" w:rsidRPr="00FD5811">
        <w:rPr>
          <w:rFonts w:ascii="Arial" w:hAnsi="Arial" w:cs="Arial"/>
          <w:sz w:val="20"/>
        </w:rPr>
        <w:t xml:space="preserve"> условията за подпомагане по схемите за директни плащания за 2020 г.</w:t>
      </w:r>
      <w:r w:rsidR="00E4290A">
        <w:rPr>
          <w:rFonts w:ascii="Arial" w:hAnsi="Arial" w:cs="Arial"/>
          <w:sz w:val="20"/>
        </w:rPr>
        <w:t xml:space="preserve">, както и </w:t>
      </w:r>
      <w:r w:rsidR="00E4290A" w:rsidRPr="00FD5811">
        <w:rPr>
          <w:rFonts w:ascii="Arial" w:hAnsi="Arial" w:cs="Arial"/>
          <w:sz w:val="20"/>
        </w:rPr>
        <w:t xml:space="preserve">приемите през 2020 година по Програмата за развитие на селските райони (ПРСР 2014- 2020). Фермерите </w:t>
      </w:r>
      <w:r w:rsidR="00E4290A">
        <w:rPr>
          <w:rFonts w:ascii="Arial" w:hAnsi="Arial" w:cs="Arial"/>
          <w:sz w:val="20"/>
        </w:rPr>
        <w:t xml:space="preserve">в тези области </w:t>
      </w:r>
      <w:r w:rsidR="00E4290A" w:rsidRPr="00FD5811">
        <w:rPr>
          <w:rFonts w:ascii="Arial" w:hAnsi="Arial" w:cs="Arial"/>
          <w:sz w:val="20"/>
        </w:rPr>
        <w:t>бяха запознати и с новите моменти в законодателството в сектор „Животновъдство</w:t>
      </w:r>
      <w:r w:rsidR="00E4290A">
        <w:rPr>
          <w:rFonts w:ascii="Arial" w:hAnsi="Arial" w:cs="Arial"/>
          <w:sz w:val="20"/>
        </w:rPr>
        <w:t>.</w:t>
      </w:r>
      <w:r w:rsidR="00E4290A" w:rsidRPr="00FD5811">
        <w:rPr>
          <w:rFonts w:ascii="Arial" w:hAnsi="Arial" w:cs="Arial"/>
          <w:sz w:val="20"/>
        </w:rPr>
        <w:t xml:space="preserve"> </w:t>
      </w:r>
      <w:r w:rsidR="00E4290A">
        <w:rPr>
          <w:rFonts w:ascii="Arial" w:hAnsi="Arial" w:cs="Arial"/>
          <w:sz w:val="20"/>
        </w:rPr>
        <w:t>Срещите със земеделските стопани продължават през седмицата от 17 до 21 февруари: гр. Видин, гр. Благоевград – на 17 февруари; гр. Монтана, гр. Враца, гр. Кюстендил – на 18 февруари; гр. Велико Търново, гр. Перник – на 19 февруари; гр. Ловеч, гр. Габрово, гр. Пловдив и гр. Пазарджик – на 20 февруари; София Област и София- град- на 21 февруари.</w:t>
      </w:r>
    </w:p>
    <w:p w:rsidR="00DE752F" w:rsidRPr="00210721" w:rsidRDefault="00DE752F" w:rsidP="00210721">
      <w:pPr>
        <w:tabs>
          <w:tab w:val="left" w:pos="4177"/>
        </w:tabs>
        <w:jc w:val="both"/>
        <w:rPr>
          <w:rFonts w:ascii="Arial" w:hAnsi="Arial" w:cs="Arial"/>
          <w:bCs/>
          <w:sz w:val="20"/>
        </w:rPr>
      </w:pPr>
    </w:p>
    <w:p w:rsidR="002A2C5F" w:rsidRPr="00210721" w:rsidRDefault="002A2C5F" w:rsidP="002A2C5F">
      <w:pPr>
        <w:tabs>
          <w:tab w:val="left" w:pos="4177"/>
        </w:tabs>
        <w:jc w:val="both"/>
        <w:rPr>
          <w:rFonts w:ascii="Arial" w:hAnsi="Arial" w:cs="Arial"/>
          <w:bCs/>
          <w:color w:val="666666"/>
          <w:sz w:val="20"/>
        </w:rPr>
      </w:pPr>
    </w:p>
    <w:tbl>
      <w:tblPr>
        <w:tblW w:w="10159" w:type="dxa"/>
        <w:tblInd w:w="108" w:type="dxa"/>
        <w:tblLook w:val="01E0" w:firstRow="1" w:lastRow="1" w:firstColumn="1" w:lastColumn="1" w:noHBand="0" w:noVBand="0"/>
      </w:tblPr>
      <w:tblGrid>
        <w:gridCol w:w="9923"/>
        <w:gridCol w:w="236"/>
      </w:tblGrid>
      <w:tr w:rsidR="001B1430" w:rsidRPr="006E7A46" w:rsidTr="00F73636">
        <w:tc>
          <w:tcPr>
            <w:tcW w:w="9923" w:type="dxa"/>
            <w:shd w:val="clear" w:color="auto" w:fill="C0C0C0"/>
            <w:hideMark/>
          </w:tcPr>
          <w:p w:rsidR="001B1430" w:rsidRPr="006E7A46" w:rsidRDefault="001B1430" w:rsidP="00F73636">
            <w:pPr>
              <w:jc w:val="both"/>
              <w:rPr>
                <w:rFonts w:ascii="Arial" w:hAnsi="Arial" w:cs="Arial"/>
                <w:b/>
                <w:i/>
                <w:sz w:val="20"/>
              </w:rPr>
            </w:pPr>
            <w:r w:rsidRPr="006E7A46">
              <w:rPr>
                <w:rFonts w:ascii="Arial" w:hAnsi="Arial" w:cs="Arial"/>
                <w:b/>
                <w:i/>
                <w:sz w:val="20"/>
              </w:rPr>
              <w:t>Пазарна подкрепа</w:t>
            </w:r>
          </w:p>
        </w:tc>
        <w:tc>
          <w:tcPr>
            <w:tcW w:w="236" w:type="dxa"/>
          </w:tcPr>
          <w:p w:rsidR="001B1430" w:rsidRPr="006E7A46" w:rsidRDefault="001B1430" w:rsidP="00F73636">
            <w:pPr>
              <w:jc w:val="both"/>
              <w:rPr>
                <w:rFonts w:ascii="Arial" w:hAnsi="Arial" w:cs="Arial"/>
                <w:b/>
                <w:i/>
                <w:sz w:val="20"/>
              </w:rPr>
            </w:pPr>
          </w:p>
        </w:tc>
      </w:tr>
    </w:tbl>
    <w:p w:rsidR="001B1430" w:rsidRPr="006E7A46" w:rsidRDefault="001B1430" w:rsidP="001B1430">
      <w:pPr>
        <w:jc w:val="both"/>
        <w:rPr>
          <w:rFonts w:ascii="Arial" w:eastAsia="SimSun" w:hAnsi="Arial" w:cs="Arial"/>
          <w:b/>
          <w:bCs/>
          <w:color w:val="000000"/>
          <w:sz w:val="20"/>
          <w:lang w:val="en-US" w:eastAsia="bg-BG"/>
        </w:rPr>
      </w:pPr>
    </w:p>
    <w:p w:rsidR="00E51A6D" w:rsidRPr="003B3C78" w:rsidRDefault="00562C02" w:rsidP="00E51A6D">
      <w:pPr>
        <w:jc w:val="both"/>
        <w:rPr>
          <w:rFonts w:ascii="Arial" w:hAnsi="Arial" w:cs="Arial"/>
          <w:noProof/>
          <w:sz w:val="20"/>
        </w:rPr>
      </w:pPr>
      <w:r>
        <w:rPr>
          <w:rFonts w:ascii="Arial" w:eastAsia="SimSun" w:hAnsi="Arial" w:cs="Arial"/>
          <w:b/>
          <w:bCs/>
          <w:noProof/>
          <w:color w:val="000000"/>
          <w:sz w:val="20"/>
          <w:lang w:eastAsia="bg-BG"/>
        </w:rPr>
        <w:t>3</w:t>
      </w:r>
      <w:r w:rsidR="001B1430" w:rsidRPr="006E7A46">
        <w:rPr>
          <w:rFonts w:ascii="Arial" w:eastAsia="SimSun" w:hAnsi="Arial" w:cs="Arial"/>
          <w:b/>
          <w:bCs/>
          <w:noProof/>
          <w:color w:val="000000"/>
          <w:sz w:val="20"/>
          <w:lang w:eastAsia="bg-BG"/>
        </w:rPr>
        <w:t>.</w:t>
      </w:r>
      <w:r w:rsidR="00E51A6D">
        <w:rPr>
          <w:rFonts w:ascii="Arial" w:eastAsia="SimSun" w:hAnsi="Arial" w:cs="Arial"/>
          <w:b/>
          <w:bCs/>
          <w:noProof/>
          <w:color w:val="000000"/>
          <w:sz w:val="20"/>
          <w:lang w:eastAsia="bg-BG"/>
        </w:rPr>
        <w:t xml:space="preserve"> </w:t>
      </w:r>
      <w:r w:rsidR="00E51A6D" w:rsidRPr="003B3C78">
        <w:rPr>
          <w:rFonts w:ascii="Arial" w:hAnsi="Arial" w:cs="Arial"/>
          <w:b/>
          <w:noProof/>
          <w:sz w:val="20"/>
        </w:rPr>
        <w:t xml:space="preserve">От 17 февруари до 31 март 2020 г. Държавен фонд „Земеделие“ отваря прием по мярката „Популяризиране в трети държави“ от Националната програма за подпомагане на лозаро-винарския сектор 2019 – 2023 г. за 2020 г. </w:t>
      </w:r>
      <w:r w:rsidR="00E51A6D">
        <w:rPr>
          <w:rFonts w:ascii="Arial" w:hAnsi="Arial" w:cs="Arial"/>
          <w:noProof/>
          <w:sz w:val="20"/>
        </w:rPr>
        <w:t xml:space="preserve">По мярката се промотират </w:t>
      </w:r>
      <w:r w:rsidR="00E51A6D" w:rsidRPr="00CF5529">
        <w:rPr>
          <w:rFonts w:ascii="Arial" w:hAnsi="Arial" w:cs="Arial"/>
          <w:noProof/>
          <w:sz w:val="20"/>
        </w:rPr>
        <w:t>вина със защитено наименование за произход (ЗНП), защитено географско указание (ЗГУ) и сортови вина без ЗНП/ЗГУ</w:t>
      </w:r>
      <w:r w:rsidR="00E51A6D">
        <w:rPr>
          <w:rFonts w:ascii="Arial" w:hAnsi="Arial" w:cs="Arial"/>
          <w:noProof/>
          <w:sz w:val="20"/>
        </w:rPr>
        <w:t>, като държавна помощ се предоставя само за проекти, които включват вина със ЗНП и ЗГУ, които не визуализират търговски марки.</w:t>
      </w:r>
      <w:r w:rsidR="00E51A6D" w:rsidRPr="009E561A">
        <w:rPr>
          <w:noProof/>
        </w:rPr>
        <w:t xml:space="preserve"> </w:t>
      </w:r>
      <w:r w:rsidR="00E51A6D" w:rsidRPr="009E561A">
        <w:rPr>
          <w:rFonts w:ascii="Arial" w:hAnsi="Arial" w:cs="Arial"/>
          <w:noProof/>
          <w:sz w:val="20"/>
        </w:rPr>
        <w:t>Срокът за изпълнение на промоционалните проекти е от 1 до 3 години от датата на сключване на договора с ДФ „Земеделие“. Максималната стойност на едно проектно предложение за търговските дружества е до 1 млн. лв. Проектите на останалите допустими кандидати могат да достигат до 4 млн. лв.</w:t>
      </w:r>
      <w:r w:rsidR="00E51A6D">
        <w:rPr>
          <w:rFonts w:ascii="Arial" w:hAnsi="Arial" w:cs="Arial"/>
          <w:noProof/>
          <w:sz w:val="20"/>
        </w:rPr>
        <w:t xml:space="preserve"> Кандидати по мярката могат да бъдат търговски дружества; </w:t>
      </w:r>
      <w:r w:rsidR="00E51A6D" w:rsidRPr="009E561A">
        <w:rPr>
          <w:rFonts w:ascii="Arial" w:hAnsi="Arial" w:cs="Arial"/>
          <w:noProof/>
          <w:sz w:val="20"/>
        </w:rPr>
        <w:t>организации на производители на лозаро-винарски продукти, асоциации на организации на производители на лозаро-винарски продукти, междупрофесионални организации по Закона за виното и спиртните напитки, държавни органи и институции, чиято дейност е свързана с насърчаване на бизнеса, както и професионални организации, работещи основно в лозаро-винарския сектор.</w:t>
      </w:r>
      <w:r w:rsidR="00E51A6D" w:rsidRPr="00833AC9">
        <w:rPr>
          <w:noProof/>
        </w:rPr>
        <w:t xml:space="preserve"> </w:t>
      </w:r>
      <w:r w:rsidR="00E51A6D" w:rsidRPr="00833AC9">
        <w:rPr>
          <w:rFonts w:ascii="Arial" w:hAnsi="Arial" w:cs="Arial"/>
          <w:noProof/>
          <w:sz w:val="20"/>
        </w:rPr>
        <w:t>По силата на Регламент за Изпълнение (ЕС) 2020/132 на Комисията от 30 януари 2020 година за определяне на спешна мярка под формата на дерогация от член 45, параграф 3 от Регламент (ЕС) № 1308/2013 на Европейския парламент и на Съвета по отношение на участието на Съюза в мярката за популяризиране в лозаро-винарския сектор</w:t>
      </w:r>
      <w:r w:rsidR="00E51A6D">
        <w:rPr>
          <w:rFonts w:ascii="Arial" w:hAnsi="Arial" w:cs="Arial"/>
          <w:noProof/>
          <w:sz w:val="20"/>
        </w:rPr>
        <w:t xml:space="preserve"> (</w:t>
      </w:r>
      <w:r w:rsidR="00E51A6D" w:rsidRPr="00833AC9">
        <w:rPr>
          <w:rFonts w:ascii="Arial" w:hAnsi="Arial" w:cs="Arial"/>
          <w:noProof/>
          <w:sz w:val="20"/>
        </w:rPr>
        <w:t xml:space="preserve">в сила </w:t>
      </w:r>
      <w:r w:rsidR="00E51A6D">
        <w:rPr>
          <w:rFonts w:ascii="Arial" w:hAnsi="Arial" w:cs="Arial"/>
          <w:noProof/>
          <w:sz w:val="20"/>
        </w:rPr>
        <w:t>от</w:t>
      </w:r>
      <w:r w:rsidR="00E51A6D" w:rsidRPr="00833AC9">
        <w:rPr>
          <w:rFonts w:ascii="Arial" w:hAnsi="Arial" w:cs="Arial"/>
          <w:noProof/>
          <w:sz w:val="20"/>
        </w:rPr>
        <w:t xml:space="preserve"> 3</w:t>
      </w:r>
      <w:r w:rsidR="00E51A6D">
        <w:rPr>
          <w:rFonts w:ascii="Arial" w:hAnsi="Arial" w:cs="Arial"/>
          <w:noProof/>
          <w:sz w:val="20"/>
        </w:rPr>
        <w:t>.02.</w:t>
      </w:r>
      <w:r w:rsidR="00E51A6D" w:rsidRPr="00833AC9">
        <w:rPr>
          <w:rFonts w:ascii="Arial" w:hAnsi="Arial" w:cs="Arial"/>
          <w:noProof/>
          <w:sz w:val="20"/>
        </w:rPr>
        <w:t>2020 г.</w:t>
      </w:r>
      <w:r w:rsidR="00E51A6D">
        <w:rPr>
          <w:rFonts w:ascii="Arial" w:hAnsi="Arial" w:cs="Arial"/>
          <w:noProof/>
          <w:sz w:val="20"/>
        </w:rPr>
        <w:t>)</w:t>
      </w:r>
      <w:r w:rsidR="00E51A6D" w:rsidRPr="00833AC9">
        <w:rPr>
          <w:rFonts w:ascii="Arial" w:hAnsi="Arial" w:cs="Arial"/>
          <w:noProof/>
          <w:sz w:val="20"/>
        </w:rPr>
        <w:t>, всички държави членки, които прилагат промоционалната мярка, трябва да увеличат интензитета на помощта от ЕФГЗ от 50% на 60% от допустимите разходи по проект. Спешната мярка се предприема за справяне с неблагоприятните обстоятелства на експортните пазари след наложените от САЩ вносни мита от 25 % върху някои продукти, вкл. вино. Увеличеното финанс</w:t>
      </w:r>
      <w:r w:rsidR="00E51A6D">
        <w:rPr>
          <w:rFonts w:ascii="Arial" w:hAnsi="Arial" w:cs="Arial"/>
          <w:noProof/>
          <w:sz w:val="20"/>
        </w:rPr>
        <w:t>ово</w:t>
      </w:r>
      <w:r w:rsidR="00E51A6D" w:rsidRPr="00833AC9">
        <w:rPr>
          <w:rFonts w:ascii="Arial" w:hAnsi="Arial" w:cs="Arial"/>
          <w:noProof/>
          <w:sz w:val="20"/>
        </w:rPr>
        <w:t xml:space="preserve"> участие на ЕС ще се прилага за период от 12 месеца от влизане в сила на Регламент 2020/132 и ще важи за всички  подадени и одобрени през този период заявления за подпомагане по мярката. Предоставяната от България държавна помощ (до 30% от одобрените разходи) в 12 месечния период на </w:t>
      </w:r>
      <w:r w:rsidR="00E51A6D">
        <w:rPr>
          <w:rFonts w:ascii="Arial" w:hAnsi="Arial" w:cs="Arial"/>
          <w:noProof/>
          <w:sz w:val="20"/>
        </w:rPr>
        <w:t>спешната</w:t>
      </w:r>
      <w:r w:rsidR="00E51A6D" w:rsidRPr="00833AC9">
        <w:rPr>
          <w:rFonts w:ascii="Arial" w:hAnsi="Arial" w:cs="Arial"/>
          <w:noProof/>
          <w:sz w:val="20"/>
        </w:rPr>
        <w:t xml:space="preserve"> мярка ще бъде ограничена до 20%, за да бъде запазен максималният размер на общото подпомагане – до 80% от допустимите разходи по проект.</w:t>
      </w:r>
    </w:p>
    <w:p w:rsidR="00E51A6D" w:rsidRDefault="00E51A6D" w:rsidP="00E51A6D">
      <w:pPr>
        <w:jc w:val="both"/>
        <w:rPr>
          <w:rFonts w:ascii="Verdana" w:hAnsi="Verdana"/>
          <w:sz w:val="20"/>
        </w:rPr>
      </w:pPr>
    </w:p>
    <w:p w:rsidR="00E51A6D" w:rsidRPr="008F289F" w:rsidRDefault="00E51A6D" w:rsidP="00E51A6D">
      <w:pPr>
        <w:jc w:val="both"/>
        <w:rPr>
          <w:rFonts w:ascii="Arial" w:hAnsi="Arial" w:cs="Arial"/>
          <w:sz w:val="20"/>
        </w:rPr>
      </w:pPr>
      <w:r>
        <w:rPr>
          <w:rFonts w:ascii="Arial" w:hAnsi="Arial" w:cs="Arial"/>
          <w:b/>
          <w:sz w:val="20"/>
        </w:rPr>
        <w:t xml:space="preserve">4. </w:t>
      </w:r>
      <w:r w:rsidRPr="008F289F">
        <w:rPr>
          <w:rFonts w:ascii="Arial" w:hAnsi="Arial" w:cs="Arial"/>
          <w:b/>
          <w:sz w:val="20"/>
        </w:rPr>
        <w:t>На 14.02.2020 г. се проведе дискусия на тема „Винено-кулинарен туризъм: състояние и перспективи за развитие“.</w:t>
      </w:r>
      <w:r w:rsidRPr="008F289F">
        <w:rPr>
          <w:rFonts w:ascii="Arial" w:hAnsi="Arial" w:cs="Arial"/>
          <w:sz w:val="20"/>
        </w:rPr>
        <w:t xml:space="preserve"> В </w:t>
      </w:r>
      <w:r>
        <w:rPr>
          <w:rFonts w:ascii="Arial" w:hAnsi="Arial" w:cs="Arial"/>
          <w:sz w:val="20"/>
        </w:rPr>
        <w:t xml:space="preserve">организираната от Министерството на туризма </w:t>
      </w:r>
      <w:r w:rsidRPr="008F289F">
        <w:rPr>
          <w:rFonts w:ascii="Arial" w:hAnsi="Arial" w:cs="Arial"/>
          <w:sz w:val="20"/>
        </w:rPr>
        <w:t xml:space="preserve">дискусия взе участие представител на дирекция „Пазарни мерки и организации на производители“ от МЗХГ -  партньор в проекта „Сподели България“ за популяризиране на винено-кулинарните дестинации. Представителят на МЗХГ отчете, че страната ни заема достойно място на винената карта на света и се е утвърдила като </w:t>
      </w:r>
      <w:r w:rsidRPr="008F289F">
        <w:rPr>
          <w:rFonts w:ascii="Arial" w:hAnsi="Arial" w:cs="Arial"/>
          <w:sz w:val="20"/>
        </w:rPr>
        <w:lastRenderedPageBreak/>
        <w:t>предпочитана дестинация за винен туризъм</w:t>
      </w:r>
      <w:r>
        <w:rPr>
          <w:rFonts w:ascii="Arial" w:hAnsi="Arial" w:cs="Arial"/>
          <w:sz w:val="20"/>
        </w:rPr>
        <w:t xml:space="preserve"> и п</w:t>
      </w:r>
      <w:r w:rsidRPr="008F289F">
        <w:rPr>
          <w:rFonts w:ascii="Arial" w:hAnsi="Arial" w:cs="Arial"/>
          <w:sz w:val="20"/>
        </w:rPr>
        <w:t xml:space="preserve">редстави възможностите за  подпомагане по Националната програма за подпомагане на </w:t>
      </w:r>
      <w:proofErr w:type="spellStart"/>
      <w:r w:rsidRPr="008F289F">
        <w:rPr>
          <w:rFonts w:ascii="Arial" w:hAnsi="Arial" w:cs="Arial"/>
          <w:sz w:val="20"/>
        </w:rPr>
        <w:t>лозаро-винарския</w:t>
      </w:r>
      <w:proofErr w:type="spellEnd"/>
      <w:r w:rsidRPr="008F289F">
        <w:rPr>
          <w:rFonts w:ascii="Arial" w:hAnsi="Arial" w:cs="Arial"/>
          <w:sz w:val="20"/>
        </w:rPr>
        <w:t xml:space="preserve"> сектор за периода 2019 - 2023 г. с общ бюджет от 134 млн. евро. Туроператорите призоваха за обединяване на усилията за създаване на </w:t>
      </w:r>
      <w:proofErr w:type="spellStart"/>
      <w:r w:rsidRPr="008F289F">
        <w:rPr>
          <w:rFonts w:ascii="Arial" w:hAnsi="Arial" w:cs="Arial"/>
          <w:sz w:val="20"/>
        </w:rPr>
        <w:t>бранд</w:t>
      </w:r>
      <w:proofErr w:type="spellEnd"/>
      <w:r w:rsidRPr="008F289F">
        <w:rPr>
          <w:rFonts w:ascii="Arial" w:hAnsi="Arial" w:cs="Arial"/>
          <w:sz w:val="20"/>
        </w:rPr>
        <w:t xml:space="preserve"> „Българско вино“. Тъй като местните сортове са в основата на успешния винен туризъм у нас, към ИАЛВ беше отправен апел за създаване на карта с отглежданите местни сортове и избите, които правят вино от тях. </w:t>
      </w:r>
      <w:r>
        <w:rPr>
          <w:rFonts w:ascii="Arial" w:hAnsi="Arial" w:cs="Arial"/>
          <w:sz w:val="20"/>
        </w:rPr>
        <w:t>Г</w:t>
      </w:r>
      <w:r w:rsidRPr="008F289F">
        <w:rPr>
          <w:rFonts w:ascii="Arial" w:hAnsi="Arial" w:cs="Arial"/>
          <w:sz w:val="20"/>
        </w:rPr>
        <w:t xml:space="preserve">-жа Ирена Георгиева, заместник-министър на туризма пое ангажимент да съдейства за постигане на конструктивен диалог между всички заинтересовани страни от публичния и частния сектор за изграждане имиджа на българското вино. </w:t>
      </w:r>
    </w:p>
    <w:p w:rsidR="001B1430" w:rsidRPr="006E7A46" w:rsidRDefault="001B1430" w:rsidP="001B1430">
      <w:pPr>
        <w:jc w:val="both"/>
        <w:rPr>
          <w:rFonts w:ascii="Arial" w:eastAsia="SimSun" w:hAnsi="Arial" w:cs="Arial"/>
          <w:b/>
          <w:bCs/>
          <w:color w:val="000000"/>
          <w:sz w:val="20"/>
          <w:lang w:eastAsia="bg-BG"/>
        </w:rPr>
      </w:pPr>
    </w:p>
    <w:p w:rsidR="001B1430" w:rsidRPr="006E7A46" w:rsidRDefault="001B1430" w:rsidP="001B1430">
      <w:pPr>
        <w:jc w:val="both"/>
        <w:rPr>
          <w:rFonts w:ascii="Arial" w:eastAsia="SimSun" w:hAnsi="Arial" w:cs="Arial"/>
          <w:b/>
          <w:bCs/>
          <w:color w:val="000000"/>
          <w:sz w:val="20"/>
          <w:lang w:val="en-US" w:eastAsia="bg-BG"/>
        </w:rPr>
      </w:pPr>
      <w:r w:rsidRPr="006E7A46">
        <w:rPr>
          <w:rFonts w:ascii="Arial" w:eastAsia="SimSun" w:hAnsi="Arial" w:cs="Arial"/>
          <w:b/>
          <w:bCs/>
          <w:color w:val="000000"/>
          <w:sz w:val="20"/>
          <w:lang w:val="en-US" w:eastAsia="bg-BG"/>
        </w:rPr>
        <w:t xml:space="preserve"> </w:t>
      </w:r>
    </w:p>
    <w:tbl>
      <w:tblPr>
        <w:tblW w:w="10156" w:type="dxa"/>
        <w:tblInd w:w="108" w:type="dxa"/>
        <w:tblLook w:val="01E0" w:firstRow="1" w:lastRow="1" w:firstColumn="1" w:lastColumn="1" w:noHBand="0" w:noVBand="0"/>
      </w:tblPr>
      <w:tblGrid>
        <w:gridCol w:w="9900"/>
        <w:gridCol w:w="256"/>
      </w:tblGrid>
      <w:tr w:rsidR="001B1430" w:rsidRPr="006E7A46" w:rsidTr="00F73636">
        <w:tc>
          <w:tcPr>
            <w:tcW w:w="9900" w:type="dxa"/>
            <w:shd w:val="clear" w:color="auto" w:fill="C0C0C0"/>
            <w:hideMark/>
          </w:tcPr>
          <w:p w:rsidR="001B1430" w:rsidRPr="006E7A46" w:rsidRDefault="001B1430" w:rsidP="00F73636">
            <w:pPr>
              <w:tabs>
                <w:tab w:val="left" w:pos="1020"/>
              </w:tabs>
              <w:autoSpaceDE w:val="0"/>
              <w:autoSpaceDN w:val="0"/>
              <w:adjustRightInd w:val="0"/>
              <w:jc w:val="both"/>
              <w:rPr>
                <w:rFonts w:ascii="Arial" w:hAnsi="Arial" w:cs="Arial"/>
                <w:b/>
                <w:i/>
                <w:iCs/>
                <w:sz w:val="20"/>
              </w:rPr>
            </w:pPr>
            <w:r w:rsidRPr="006E7A46">
              <w:rPr>
                <w:rFonts w:ascii="Arial" w:hAnsi="Arial" w:cs="Arial"/>
                <w:b/>
                <w:i/>
                <w:sz w:val="20"/>
              </w:rPr>
              <w:t>Визия за ОСП след 2020 г.</w:t>
            </w:r>
          </w:p>
        </w:tc>
        <w:tc>
          <w:tcPr>
            <w:tcW w:w="256" w:type="dxa"/>
          </w:tcPr>
          <w:p w:rsidR="001B1430" w:rsidRPr="006E7A46" w:rsidRDefault="001B1430" w:rsidP="00F73636">
            <w:pPr>
              <w:jc w:val="both"/>
              <w:rPr>
                <w:rFonts w:ascii="Arial" w:hAnsi="Arial" w:cs="Arial"/>
                <w:b/>
                <w:sz w:val="20"/>
              </w:rPr>
            </w:pPr>
          </w:p>
        </w:tc>
      </w:tr>
    </w:tbl>
    <w:p w:rsidR="001B1430" w:rsidRPr="006E7A46" w:rsidRDefault="001B1430" w:rsidP="001B1430">
      <w:pPr>
        <w:jc w:val="both"/>
        <w:rPr>
          <w:rFonts w:ascii="Arial" w:hAnsi="Arial" w:cs="Arial"/>
          <w:b/>
          <w:sz w:val="20"/>
          <w:lang w:val="en-US"/>
        </w:rPr>
      </w:pPr>
    </w:p>
    <w:p w:rsidR="001B1430" w:rsidRDefault="00E51A6D" w:rsidP="001B1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20"/>
        </w:rPr>
      </w:pPr>
      <w:r>
        <w:rPr>
          <w:rFonts w:ascii="Arial" w:hAnsi="Arial" w:cs="Arial"/>
          <w:b/>
          <w:color w:val="222222"/>
          <w:sz w:val="20"/>
          <w:lang w:eastAsia="bg-BG"/>
        </w:rPr>
        <w:t>5</w:t>
      </w:r>
      <w:r w:rsidR="001B1430" w:rsidRPr="006E7A46">
        <w:rPr>
          <w:rFonts w:ascii="Arial" w:hAnsi="Arial" w:cs="Arial"/>
          <w:b/>
          <w:color w:val="222222"/>
          <w:sz w:val="20"/>
          <w:lang w:val="en-US" w:eastAsia="bg-BG"/>
        </w:rPr>
        <w:t>.</w:t>
      </w:r>
      <w:r w:rsidR="008803A4" w:rsidRPr="008803A4">
        <w:rPr>
          <w:rFonts w:hint="eastAsia"/>
        </w:rPr>
        <w:t xml:space="preserve"> </w:t>
      </w:r>
      <w:r w:rsidR="008803A4" w:rsidRPr="0005714A">
        <w:rPr>
          <w:rFonts w:ascii="Arial" w:hAnsi="Arial" w:cs="Arial"/>
          <w:b/>
          <w:sz w:val="20"/>
        </w:rPr>
        <w:t>По инициатива на ЕК на 12 февруари 2020 г. в Брюксел се проведе семинар за обмяна на опит и дискусия на процеса на разработването на SWOT анализите и идентифицирането на потребностите от ДЧ за целите на подготовката на Стратегическите планове 2021-2027</w:t>
      </w:r>
      <w:r w:rsidR="008803A4" w:rsidRPr="009063C7">
        <w:rPr>
          <w:rFonts w:ascii="Arial" w:hAnsi="Arial" w:cs="Arial"/>
          <w:b/>
          <w:noProof/>
          <w:color w:val="222222"/>
          <w:sz w:val="20"/>
          <w:lang w:eastAsia="bg-BG"/>
        </w:rPr>
        <w:t xml:space="preserve">. </w:t>
      </w:r>
      <w:r w:rsidR="008803A4" w:rsidRPr="00B81125">
        <w:rPr>
          <w:rFonts w:ascii="Arial" w:hAnsi="Arial" w:cs="Arial"/>
          <w:bCs/>
          <w:sz w:val="20"/>
        </w:rPr>
        <w:t xml:space="preserve">В началото на семинара ЕК информира, че службите на Комисията работят по помагала (разяснения), които да подпомогнат ДЧ при разработването на отделните елементи на Стратегическите планове (СП). ДЧ активно използват </w:t>
      </w:r>
      <w:bookmarkStart w:id="0" w:name="_GoBack"/>
      <w:r w:rsidR="008803A4" w:rsidRPr="00B81125">
        <w:rPr>
          <w:rFonts w:ascii="Arial" w:hAnsi="Arial" w:cs="Arial"/>
          <w:bCs/>
          <w:noProof/>
          <w:sz w:val="20"/>
        </w:rPr>
        <w:t>националните хъбове за контакти с ЕК във връзка с работата по СП, което Комисията счита за много полезно и за двете страни. Преглеждането на плановете ще се извършва от специално формирани екипи от експерти в различните направления. SWOT анализът е основата на плана. ЕК счита, че пълният вариант на анализа трябва да бъде поместен в анекса към СП, а обобщението във формата на таблица, съдържаща силните, слабите страни, възможностите и заплахите трябва да бъде в основната част на плана. Всички потребности, произтичащи от анализа, трябва да се идентифицират по цели. Следва процес на приоритизиране и ранкиране на потребностите, което трябва да бъде направено по ясна методология и критерии, в резултат на което да се формира единен, агрегиран списък от потребности, които ще бъдат адресирани с интервенциите в рамките на СП.  Агрерираният списък е преходът от работата по цели съм създаването на единен общ план. На въпрос на ДЧ, ЕК</w:t>
      </w:r>
      <w:r w:rsidR="008803A4" w:rsidRPr="00B81125">
        <w:rPr>
          <w:rFonts w:ascii="Arial" w:hAnsi="Arial" w:cs="Arial"/>
          <w:bCs/>
          <w:sz w:val="20"/>
        </w:rPr>
        <w:t xml:space="preserve"> </w:t>
      </w:r>
      <w:bookmarkEnd w:id="0"/>
      <w:r w:rsidR="008803A4" w:rsidRPr="00B81125">
        <w:rPr>
          <w:rFonts w:ascii="Arial" w:hAnsi="Arial" w:cs="Arial"/>
          <w:bCs/>
          <w:sz w:val="20"/>
        </w:rPr>
        <w:t>поясни, че с новата стратегия „От фермата до трапезата“ не се очаква да се добавят нови индикатори в СП. По време на срещата ДЧ направиха презентации относно SWOT анализите, изготвени по цел 1 относно доходите, цели 4, 5 и 6 относно климат и околна среда, цел 7 за насърчаване на младите фермери и цел 9 за по-безопасни и качествени храни.</w:t>
      </w:r>
    </w:p>
    <w:p w:rsidR="002D0216" w:rsidRDefault="002D0216" w:rsidP="001B1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20"/>
          <w:lang w:val="en-US"/>
        </w:rPr>
      </w:pPr>
    </w:p>
    <w:p w:rsidR="009E6BDB" w:rsidRPr="009E6BDB" w:rsidRDefault="009E6BDB" w:rsidP="009E6BDB">
      <w:pPr>
        <w:spacing w:before="120"/>
        <w:jc w:val="both"/>
        <w:rPr>
          <w:rFonts w:ascii="Arial" w:hAnsi="Arial" w:cs="Arial"/>
          <w:color w:val="222222"/>
          <w:sz w:val="20"/>
          <w:lang w:eastAsia="bg-BG"/>
        </w:rPr>
      </w:pPr>
      <w:r>
        <w:rPr>
          <w:rFonts w:ascii="Arial" w:hAnsi="Arial" w:cs="Arial"/>
          <w:b/>
          <w:color w:val="222222"/>
          <w:sz w:val="20"/>
          <w:lang w:val="en-US" w:eastAsia="bg-BG"/>
        </w:rPr>
        <w:t>6</w:t>
      </w:r>
      <w:r w:rsidRPr="009E6BDB">
        <w:rPr>
          <w:rFonts w:ascii="Arial" w:hAnsi="Arial" w:cs="Arial"/>
          <w:b/>
          <w:color w:val="222222"/>
          <w:sz w:val="20"/>
          <w:lang w:eastAsia="bg-BG"/>
        </w:rPr>
        <w:t>. На 10 февруари 2020 г. се проведе заседание на Специалния комитет по селско стопанство (СКСС), на което имаше дискусия за съдържанието на текста на стандарта за Добро земеделско и екологично състояние (ДЗЕС)</w:t>
      </w:r>
      <w:r w:rsidR="00303C35">
        <w:rPr>
          <w:rFonts w:ascii="Arial" w:hAnsi="Arial" w:cs="Arial"/>
          <w:b/>
          <w:color w:val="222222"/>
          <w:sz w:val="20"/>
          <w:lang w:eastAsia="bg-BG"/>
        </w:rPr>
        <w:t xml:space="preserve"> </w:t>
      </w:r>
      <w:r w:rsidRPr="009E6BDB">
        <w:rPr>
          <w:rFonts w:ascii="Arial" w:hAnsi="Arial" w:cs="Arial"/>
          <w:b/>
          <w:color w:val="222222"/>
          <w:sz w:val="20"/>
          <w:lang w:eastAsia="bg-BG"/>
        </w:rPr>
        <w:t xml:space="preserve">9. </w:t>
      </w:r>
      <w:r w:rsidRPr="009E6BDB">
        <w:rPr>
          <w:rFonts w:ascii="Arial" w:hAnsi="Arial" w:cs="Arial"/>
          <w:color w:val="222222"/>
          <w:sz w:val="20"/>
          <w:lang w:eastAsia="bg-BG"/>
        </w:rPr>
        <w:t xml:space="preserve">Основната цел на ДЗЕС 9 е да подобри състоянието на биоразнообразието във фермите. ЕК предлага посредством този стандарт да се определи минимален размер от земеделските площи, който да бъде използван за не-производствени характеристики. Финландското председателство предложи минималният дял на непроизводствените площи да се изчислява спрямо обработваемата земя и трайните насаждения и да може да включва и междинни култури и площи, заети с </w:t>
      </w:r>
      <w:r w:rsidRPr="009E6BDB">
        <w:rPr>
          <w:rFonts w:ascii="Arial" w:hAnsi="Arial" w:cs="Arial"/>
          <w:noProof/>
          <w:color w:val="222222"/>
          <w:sz w:val="20"/>
          <w:lang w:eastAsia="bg-BG"/>
        </w:rPr>
        <w:t>азотфиксиращи култури. Държавите членки (ДЧ) имат различни позиции по съдържанието на този стандарт. Основният дискусионен елемент е за вида на земята, която да се отделя за не-производствени характеристики, междинни култури и азотфиксиращи култури. Някои ДЧ считат, че цялата земеделска площ трябва да бъде покрита от това задължение</w:t>
      </w:r>
      <w:r w:rsidRPr="009E6BDB">
        <w:rPr>
          <w:rFonts w:ascii="Arial" w:hAnsi="Arial" w:cs="Arial"/>
          <w:color w:val="222222"/>
          <w:sz w:val="20"/>
          <w:lang w:eastAsia="bg-BG"/>
        </w:rPr>
        <w:t xml:space="preserve"> за опазва</w:t>
      </w:r>
      <w:r w:rsidR="0006687D">
        <w:rPr>
          <w:rFonts w:ascii="Arial" w:hAnsi="Arial" w:cs="Arial"/>
          <w:color w:val="222222"/>
          <w:sz w:val="20"/>
          <w:lang w:eastAsia="bg-BG"/>
        </w:rPr>
        <w:t>не на</w:t>
      </w:r>
      <w:r w:rsidRPr="009E6BDB">
        <w:rPr>
          <w:rFonts w:ascii="Arial" w:hAnsi="Arial" w:cs="Arial"/>
          <w:color w:val="222222"/>
          <w:sz w:val="20"/>
          <w:lang w:eastAsia="bg-BG"/>
        </w:rPr>
        <w:t xml:space="preserve"> биоразнообразието във всички ферми. Други ДЧ предпочитат да прилагат задължението само за обработваемите земи в съответствие с настоящите правила. Някои ДЧ предлагат минималният</w:t>
      </w:r>
      <w:r w:rsidR="00A74737">
        <w:rPr>
          <w:rFonts w:ascii="Arial" w:hAnsi="Arial" w:cs="Arial"/>
          <w:color w:val="222222"/>
          <w:sz w:val="20"/>
          <w:lang w:eastAsia="bg-BG"/>
        </w:rPr>
        <w:t xml:space="preserve"> процент на земята, използвана з</w:t>
      </w:r>
      <w:r w:rsidRPr="009E6BDB">
        <w:rPr>
          <w:rFonts w:ascii="Arial" w:hAnsi="Arial" w:cs="Arial"/>
          <w:color w:val="222222"/>
          <w:sz w:val="20"/>
          <w:lang w:eastAsia="bg-BG"/>
        </w:rPr>
        <w:t>а не-производствени характеристики да бъде включен в Регламента за Стратегическия план, а не да се разреши всяка страна да определя различен дял. Според тях, по този начин ще се осигурява равна о</w:t>
      </w:r>
      <w:r w:rsidR="00A74737">
        <w:rPr>
          <w:rFonts w:ascii="Arial" w:hAnsi="Arial" w:cs="Arial"/>
          <w:color w:val="222222"/>
          <w:sz w:val="20"/>
          <w:lang w:eastAsia="bg-BG"/>
        </w:rPr>
        <w:t xml:space="preserve">снова за прилагане в целия ЕС, </w:t>
      </w:r>
      <w:r w:rsidRPr="009E6BDB">
        <w:rPr>
          <w:rFonts w:ascii="Arial" w:hAnsi="Arial" w:cs="Arial"/>
          <w:color w:val="222222"/>
          <w:sz w:val="20"/>
          <w:lang w:eastAsia="bg-BG"/>
        </w:rPr>
        <w:t xml:space="preserve">ще се избегне вариация в процента между различните ДЧ и ще </w:t>
      </w:r>
      <w:r w:rsidR="00B6207E">
        <w:rPr>
          <w:rFonts w:ascii="Arial" w:hAnsi="Arial" w:cs="Arial"/>
          <w:color w:val="222222"/>
          <w:sz w:val="20"/>
          <w:lang w:eastAsia="bg-BG"/>
        </w:rPr>
        <w:t xml:space="preserve">се </w:t>
      </w:r>
      <w:r w:rsidRPr="009E6BDB">
        <w:rPr>
          <w:rFonts w:ascii="Arial" w:hAnsi="Arial" w:cs="Arial"/>
          <w:color w:val="222222"/>
          <w:sz w:val="20"/>
          <w:lang w:eastAsia="bg-BG"/>
        </w:rPr>
        <w:t xml:space="preserve">предотврати риска фермерите да бъдат третирани различно според страната, в която се намират. В настоящия период, не-производствените характеристики са част от зелените задължения. Практиката не е задължителна за всички фермери, а само тези с обработваема земя над 15 ха трябва да осигурят, че 5% от тяхната земя е покрита от екологично насочени площи. Хърватското председателство уточнява в своя дискусионен доклад, че не-производствените характеристики ще станат част от условността и ще бъдат задължителни за фермерите, независимо от размера на площите. В рамките на заседанието стана ясно, че болшинството от ДЧ са на мнение, че стандартът ДЗЕС 9, </w:t>
      </w:r>
      <w:r w:rsidRPr="009E6BDB">
        <w:rPr>
          <w:rFonts w:ascii="Arial" w:hAnsi="Arial" w:cs="Arial"/>
          <w:noProof/>
          <w:color w:val="222222"/>
          <w:sz w:val="20"/>
          <w:lang w:eastAsia="bg-BG"/>
        </w:rPr>
        <w:t xml:space="preserve">касаещ </w:t>
      </w:r>
      <w:r w:rsidRPr="009E6BDB">
        <w:rPr>
          <w:rFonts w:ascii="Arial" w:hAnsi="Arial" w:cs="Arial"/>
          <w:color w:val="222222"/>
          <w:sz w:val="20"/>
          <w:lang w:eastAsia="bg-BG"/>
        </w:rPr>
        <w:t xml:space="preserve">вида на земята, предназначена за не-производствени площи и обекти, трябва да се отнася до обработваемата земя, като бяха изказани различни мнения относно </w:t>
      </w:r>
      <w:r w:rsidRPr="009E6BDB">
        <w:rPr>
          <w:rFonts w:ascii="Arial" w:hAnsi="Arial" w:cs="Arial"/>
          <w:color w:val="222222"/>
          <w:sz w:val="20"/>
          <w:lang w:eastAsia="bg-BG"/>
        </w:rPr>
        <w:lastRenderedPageBreak/>
        <w:t>определянето на този процент. Голяма част от ДЧ, считат, че делът трябва да бъде в рамките на 5%. България и редица ДЧ, изразиха искане да се даде възможност на ДЧ да продължат да прилагат съществуващите в момента облекчения за малките стопани до определен праг на площта. Председателството ще обмисли и предложи вариант.</w:t>
      </w:r>
    </w:p>
    <w:p w:rsidR="009E6BDB" w:rsidRPr="009E6BDB" w:rsidRDefault="009E6BDB" w:rsidP="009E6B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222222"/>
          <w:sz w:val="20"/>
          <w:lang w:eastAsia="bg-BG"/>
        </w:rPr>
      </w:pPr>
    </w:p>
    <w:p w:rsidR="0029075B" w:rsidRPr="00A528ED" w:rsidRDefault="009E6BDB" w:rsidP="002907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222"/>
          <w:sz w:val="20"/>
          <w:lang w:eastAsia="bg-BG"/>
        </w:rPr>
      </w:pPr>
      <w:r>
        <w:rPr>
          <w:rFonts w:ascii="Arial" w:hAnsi="Arial" w:cs="Arial"/>
          <w:b/>
          <w:color w:val="222222"/>
          <w:sz w:val="20"/>
          <w:lang w:val="en-US" w:eastAsia="bg-BG"/>
        </w:rPr>
        <w:t>7</w:t>
      </w:r>
      <w:r w:rsidRPr="009E6BDB">
        <w:rPr>
          <w:rFonts w:ascii="Arial" w:hAnsi="Arial" w:cs="Arial"/>
          <w:b/>
          <w:color w:val="222222"/>
          <w:sz w:val="20"/>
          <w:lang w:eastAsia="bg-BG"/>
        </w:rPr>
        <w:t xml:space="preserve">. Датското правителство представи първоначални коментари по целите и политиките за амбициозен Зелен пакт на ЕС. </w:t>
      </w:r>
      <w:r w:rsidRPr="009E6BDB">
        <w:rPr>
          <w:rFonts w:ascii="Arial" w:hAnsi="Arial" w:cs="Arial"/>
          <w:color w:val="222222"/>
          <w:sz w:val="20"/>
          <w:lang w:eastAsia="bg-BG"/>
        </w:rPr>
        <w:t xml:space="preserve">Според Дания, европейският земеделски сектор трябва да функционира и произвежда в съответствие с амбициозните цели за водите, околната среда, биоразнообразието и климата. ОСП следва да бъде активен инструмент за подкрепа на тези цели посредством определен размер зелено финансиране по двата стълба, създаването на </w:t>
      </w:r>
      <w:r w:rsidRPr="009E6BDB">
        <w:rPr>
          <w:rFonts w:ascii="Arial" w:hAnsi="Arial" w:cs="Arial"/>
          <w:noProof/>
          <w:color w:val="222222"/>
          <w:sz w:val="20"/>
          <w:lang w:eastAsia="bg-BG"/>
        </w:rPr>
        <w:t>еколгосъобразна</w:t>
      </w:r>
      <w:r w:rsidRPr="009E6BDB">
        <w:rPr>
          <w:rFonts w:ascii="Arial" w:hAnsi="Arial" w:cs="Arial"/>
          <w:color w:val="222222"/>
          <w:sz w:val="20"/>
          <w:lang w:eastAsia="bg-BG"/>
        </w:rPr>
        <w:t xml:space="preserve"> дефиниция за допустим хектар и възможност за осигуряване на компенсация на фермерите за амбициозните задължителни национални или европейски изисквания, допринасящи за целите, свързани с климата, природата и/или околната среда. Според Дания е важно да се създаде европейска регулация, която подкрепя развитието на земеделие, което е благоприятно за климата във всички държави</w:t>
      </w:r>
      <w:r w:rsidR="00C44608">
        <w:rPr>
          <w:rFonts w:ascii="Arial" w:hAnsi="Arial" w:cs="Arial"/>
          <w:color w:val="222222"/>
          <w:sz w:val="20"/>
          <w:lang w:eastAsia="bg-BG"/>
        </w:rPr>
        <w:t>-</w:t>
      </w:r>
      <w:r w:rsidRPr="009E6BDB">
        <w:rPr>
          <w:rFonts w:ascii="Arial" w:hAnsi="Arial" w:cs="Arial"/>
          <w:color w:val="222222"/>
          <w:sz w:val="20"/>
          <w:lang w:eastAsia="bg-BG"/>
        </w:rPr>
        <w:t xml:space="preserve"> членки като в същото време се създаде </w:t>
      </w:r>
      <w:r w:rsidRPr="009E6BDB">
        <w:rPr>
          <w:rFonts w:ascii="Arial" w:hAnsi="Arial" w:cs="Arial"/>
          <w:noProof/>
          <w:color w:val="222222"/>
          <w:sz w:val="20"/>
          <w:lang w:eastAsia="bg-BG"/>
        </w:rPr>
        <w:t xml:space="preserve">равнопоставеност </w:t>
      </w:r>
      <w:r w:rsidR="0029075B">
        <w:rPr>
          <w:rFonts w:ascii="Arial" w:hAnsi="Arial" w:cs="Arial"/>
          <w:color w:val="222222"/>
          <w:sz w:val="20"/>
          <w:lang w:eastAsia="bg-BG"/>
        </w:rPr>
        <w:t>между страните. Дания приветства предложението на ЕК за създаване на европейски Закон за климата.</w:t>
      </w:r>
    </w:p>
    <w:p w:rsidR="001B1430" w:rsidRPr="006E7A46" w:rsidRDefault="001B1430" w:rsidP="002907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0000"/>
          <w:sz w:val="20"/>
        </w:rPr>
      </w:pPr>
    </w:p>
    <w:tbl>
      <w:tblPr>
        <w:tblW w:w="10159" w:type="dxa"/>
        <w:tblInd w:w="108" w:type="dxa"/>
        <w:tblLook w:val="01E0" w:firstRow="1" w:lastRow="1" w:firstColumn="1" w:lastColumn="1" w:noHBand="0" w:noVBand="0"/>
      </w:tblPr>
      <w:tblGrid>
        <w:gridCol w:w="9923"/>
        <w:gridCol w:w="236"/>
      </w:tblGrid>
      <w:tr w:rsidR="001B1430" w:rsidRPr="006E7A46" w:rsidTr="00F73636">
        <w:tc>
          <w:tcPr>
            <w:tcW w:w="9923" w:type="dxa"/>
            <w:shd w:val="clear" w:color="auto" w:fill="C0C0C0"/>
            <w:hideMark/>
          </w:tcPr>
          <w:p w:rsidR="00275471" w:rsidRDefault="00275471" w:rsidP="00F73636">
            <w:pPr>
              <w:jc w:val="both"/>
              <w:rPr>
                <w:rStyle w:val="longtext"/>
                <w:rFonts w:ascii="Arial" w:hAnsi="Arial" w:cs="Arial"/>
                <w:b/>
                <w:i/>
                <w:sz w:val="20"/>
                <w:lang w:val="en-US"/>
              </w:rPr>
            </w:pPr>
          </w:p>
          <w:p w:rsidR="001B1430" w:rsidRPr="006E7A46" w:rsidRDefault="001B1430" w:rsidP="00F73636">
            <w:pPr>
              <w:jc w:val="both"/>
              <w:rPr>
                <w:rStyle w:val="longtext"/>
                <w:rFonts w:ascii="Arial" w:hAnsi="Arial" w:cs="Arial"/>
                <w:b/>
                <w:i/>
                <w:sz w:val="20"/>
              </w:rPr>
            </w:pPr>
            <w:r w:rsidRPr="006E7A46">
              <w:rPr>
                <w:rStyle w:val="longtext"/>
                <w:rFonts w:ascii="Arial" w:hAnsi="Arial" w:cs="Arial"/>
                <w:b/>
                <w:i/>
                <w:sz w:val="20"/>
              </w:rPr>
              <w:t>Още от ЕС и света</w:t>
            </w:r>
          </w:p>
        </w:tc>
        <w:tc>
          <w:tcPr>
            <w:tcW w:w="236" w:type="dxa"/>
          </w:tcPr>
          <w:p w:rsidR="001B1430" w:rsidRPr="006E7A46" w:rsidRDefault="001B1430" w:rsidP="00F73636">
            <w:pPr>
              <w:jc w:val="both"/>
              <w:rPr>
                <w:rStyle w:val="longtext"/>
                <w:rFonts w:ascii="Arial" w:hAnsi="Arial" w:cs="Arial"/>
                <w:b/>
                <w:sz w:val="20"/>
              </w:rPr>
            </w:pPr>
          </w:p>
        </w:tc>
      </w:tr>
    </w:tbl>
    <w:p w:rsidR="001B1430" w:rsidRPr="006E7A46" w:rsidRDefault="001B1430" w:rsidP="001B14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sz w:val="20"/>
          <w:lang w:val="en-US"/>
        </w:rPr>
      </w:pPr>
    </w:p>
    <w:p w:rsidR="00275471" w:rsidRDefault="009E6BDB" w:rsidP="00120AD2">
      <w:pPr>
        <w:jc w:val="both"/>
        <w:rPr>
          <w:rStyle w:val="longtext"/>
          <w:rFonts w:ascii="Arial" w:hAnsi="Arial" w:cs="Arial"/>
          <w:noProof/>
          <w:sz w:val="20"/>
          <w:lang w:val="en-US"/>
        </w:rPr>
      </w:pPr>
      <w:r>
        <w:rPr>
          <w:rStyle w:val="longtext"/>
          <w:rFonts w:ascii="Arial" w:hAnsi="Arial" w:cs="Arial"/>
          <w:b/>
          <w:sz w:val="20"/>
          <w:lang w:val="en-US"/>
        </w:rPr>
        <w:t>8</w:t>
      </w:r>
      <w:r w:rsidR="001B1430" w:rsidRPr="006E7A46">
        <w:rPr>
          <w:rStyle w:val="longtext"/>
          <w:rFonts w:ascii="Arial" w:hAnsi="Arial" w:cs="Arial"/>
          <w:b/>
          <w:sz w:val="20"/>
          <w:lang w:val="en-US"/>
        </w:rPr>
        <w:t>.</w:t>
      </w:r>
      <w:r w:rsidR="00120AD2" w:rsidRPr="00120AD2">
        <w:rPr>
          <w:rFonts w:hint="eastAsia"/>
        </w:rPr>
        <w:t xml:space="preserve"> </w:t>
      </w:r>
      <w:r w:rsidR="00120AD2" w:rsidRPr="009203FA">
        <w:rPr>
          <w:rStyle w:val="longtext"/>
          <w:rFonts w:ascii="Arial" w:hAnsi="Arial" w:cs="Arial"/>
          <w:b/>
          <w:noProof/>
          <w:sz w:val="20"/>
        </w:rPr>
        <w:t>Много от депутатите на Европейския парламент (ЕП) предупредиха, че бъдещата стратегия „От фермата до трапезата“ не трябва да противоречи на интересите и желанията на земеделските стопани в ЕС.</w:t>
      </w:r>
      <w:r w:rsidR="00120AD2" w:rsidRPr="009203FA">
        <w:rPr>
          <w:rStyle w:val="longtext"/>
          <w:rFonts w:ascii="Arial" w:hAnsi="Arial" w:cs="Arial"/>
          <w:noProof/>
          <w:sz w:val="20"/>
        </w:rPr>
        <w:t xml:space="preserve"> Това те заявиха по време на дебат, който се проведе в Страсбург в четвъртък, 13 февруари, по искане на членовете на комисията по земеделие на ЕП.  Тази стратегия, планирана за края на март, се очаква да определи цели за намаляване на използването на продукти за растителна защита, торове и антибиотици, както и да отвори отново дискусиите за използването на преработени животински протеини, използването на нови техники за развъждане на растения и хуманно отношение към животните. Очакват се също така планове за развитие на биологично земеделие и борба с хранителните отпадъци, както и мерки срещу измамите във веригата за доставки на хранителни продукти. </w:t>
      </w:r>
      <w:r w:rsidR="00275471">
        <w:rPr>
          <w:rStyle w:val="longtext"/>
          <w:rFonts w:ascii="Arial" w:hAnsi="Arial" w:cs="Arial"/>
          <w:noProof/>
          <w:sz w:val="20"/>
        </w:rPr>
        <w:t xml:space="preserve">Повече информация за дебата в ЕП можете да видите в </w:t>
      </w:r>
      <w:r w:rsidR="00275471" w:rsidRPr="003D6634">
        <w:rPr>
          <w:rStyle w:val="longtext"/>
          <w:rFonts w:ascii="Arial" w:hAnsi="Arial" w:cs="Arial"/>
          <w:i/>
          <w:noProof/>
          <w:sz w:val="20"/>
        </w:rPr>
        <w:t>Приложение 1</w:t>
      </w:r>
      <w:r w:rsidR="00275471">
        <w:rPr>
          <w:rStyle w:val="longtext"/>
          <w:rFonts w:ascii="Arial" w:hAnsi="Arial" w:cs="Arial"/>
          <w:noProof/>
          <w:sz w:val="20"/>
        </w:rPr>
        <w:t>.</w:t>
      </w:r>
    </w:p>
    <w:p w:rsidR="001173C3" w:rsidRDefault="001173C3" w:rsidP="00120AD2">
      <w:pPr>
        <w:jc w:val="both"/>
        <w:rPr>
          <w:rStyle w:val="longtext"/>
          <w:rFonts w:ascii="Arial" w:hAnsi="Arial" w:cs="Arial"/>
          <w:noProof/>
          <w:sz w:val="20"/>
          <w:lang w:val="en-US"/>
        </w:rPr>
      </w:pPr>
    </w:p>
    <w:p w:rsidR="001E1F98" w:rsidRDefault="001173C3" w:rsidP="001173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yperlink"/>
          <w:rFonts w:ascii="Arial" w:hAnsi="Arial" w:cs="Arial"/>
          <w:color w:val="auto"/>
          <w:sz w:val="20"/>
          <w:u w:val="none"/>
        </w:rPr>
      </w:pPr>
      <w:r>
        <w:rPr>
          <w:rStyle w:val="longtext"/>
          <w:rFonts w:ascii="Arial" w:hAnsi="Arial" w:cs="Arial"/>
          <w:b/>
          <w:sz w:val="20"/>
          <w:lang w:val="en-US"/>
        </w:rPr>
        <w:t>9</w:t>
      </w:r>
      <w:r w:rsidRPr="006E7A46">
        <w:rPr>
          <w:rStyle w:val="longtext"/>
          <w:rFonts w:ascii="Arial" w:hAnsi="Arial" w:cs="Arial"/>
          <w:b/>
          <w:sz w:val="20"/>
          <w:lang w:val="en-US"/>
        </w:rPr>
        <w:t>.</w:t>
      </w:r>
      <w:r>
        <w:rPr>
          <w:rStyle w:val="longtext"/>
          <w:rFonts w:ascii="Arial" w:hAnsi="Arial" w:cs="Arial"/>
          <w:b/>
          <w:sz w:val="20"/>
          <w:lang w:val="en-US"/>
        </w:rPr>
        <w:t xml:space="preserve"> </w:t>
      </w:r>
      <w:r>
        <w:rPr>
          <w:rStyle w:val="longtext"/>
          <w:rFonts w:ascii="Arial" w:hAnsi="Arial" w:cs="Arial"/>
          <w:b/>
          <w:sz w:val="20"/>
        </w:rPr>
        <w:t xml:space="preserve">На 13 февруари 2020 г. в УНСС се проведе кръгла маса, на която бяха представени и обсъдени основните резултати от </w:t>
      </w:r>
      <w:r w:rsidRPr="001D1416">
        <w:rPr>
          <w:rStyle w:val="longtext"/>
          <w:rFonts w:ascii="Arial" w:hAnsi="Arial" w:cs="Arial"/>
          <w:b/>
          <w:sz w:val="20"/>
        </w:rPr>
        <w:t xml:space="preserve">проект  „БИОГЕА - Ползи за биоразнообразието от европейското селско стопанство и от </w:t>
      </w:r>
      <w:r w:rsidRPr="001D1416">
        <w:rPr>
          <w:rStyle w:val="longtext"/>
          <w:rFonts w:ascii="Arial" w:hAnsi="Arial" w:cs="Arial"/>
          <w:b/>
          <w:noProof/>
          <w:sz w:val="20"/>
        </w:rPr>
        <w:t xml:space="preserve">екологизацията </w:t>
      </w:r>
      <w:r w:rsidRPr="001D1416">
        <w:rPr>
          <w:rStyle w:val="longtext"/>
          <w:rFonts w:ascii="Arial" w:hAnsi="Arial" w:cs="Arial"/>
          <w:b/>
          <w:sz w:val="20"/>
        </w:rPr>
        <w:t>на ОСП” (</w:t>
      </w:r>
      <w:hyperlink r:id="rId9" w:history="1">
        <w:r w:rsidRPr="001D1416">
          <w:rPr>
            <w:rStyle w:val="Hyperlink"/>
            <w:rFonts w:ascii="Arial" w:hAnsi="Arial" w:cs="Arial"/>
            <w:sz w:val="20"/>
          </w:rPr>
          <w:t>https://www.biogea-project.eu/</w:t>
        </w:r>
      </w:hyperlink>
      <w:r w:rsidRPr="001D1416">
        <w:rPr>
          <w:rStyle w:val="Hyperlink"/>
          <w:rFonts w:ascii="Arial" w:hAnsi="Arial" w:cs="Arial"/>
          <w:b/>
          <w:color w:val="auto"/>
          <w:sz w:val="20"/>
          <w:u w:val="none"/>
        </w:rPr>
        <w:t>)</w:t>
      </w:r>
      <w:r>
        <w:rPr>
          <w:rStyle w:val="Hyperlink"/>
          <w:rFonts w:ascii="Arial" w:hAnsi="Arial" w:cs="Arial"/>
          <w:b/>
          <w:color w:val="auto"/>
          <w:sz w:val="20"/>
          <w:u w:val="none"/>
        </w:rPr>
        <w:t xml:space="preserve">. </w:t>
      </w:r>
      <w:r>
        <w:rPr>
          <w:rStyle w:val="Hyperlink"/>
          <w:rFonts w:ascii="Arial" w:hAnsi="Arial" w:cs="Arial"/>
          <w:color w:val="auto"/>
          <w:sz w:val="20"/>
          <w:u w:val="none"/>
        </w:rPr>
        <w:t xml:space="preserve">Според проекта, зелената и синята инфраструктура като живи плетове, дървета, тревни ивици, земя под угар или екстензивни обработваеми земи и екстензивни постоянно затревени площи, поддържат биоразнообразието на земеделските земи. Като резултат от проекта се извежда необходимостта минимален размер на зелена и синя инфраструктура да бъде поддържан във всички земеделски земи за целите на биоразнообразието. Препоръката на авторите е минимален дял от поне 10% от земеделските земи в стопанствата да бъдат отдели за поддържането на зелена и синя инфраструктура. Регионално насочените екологични цели следва да бъдат на ниво ландшафт. Според проекта това може да бъде допълнително насърчено чрез въвеждането на </w:t>
      </w:r>
      <w:r>
        <w:rPr>
          <w:rStyle w:val="Hyperlink"/>
          <w:rFonts w:ascii="Arial" w:hAnsi="Arial" w:cs="Arial"/>
          <w:noProof/>
          <w:color w:val="auto"/>
          <w:sz w:val="20"/>
          <w:u w:val="none"/>
        </w:rPr>
        <w:t>еко-схема за по-екстензивно управление на земеделските земи за подобряване на хабитатната свързаност. Авторите препоръчват да се въведе цел за поне 10-20% екстензивно управление на земеделските</w:t>
      </w:r>
      <w:r>
        <w:rPr>
          <w:rStyle w:val="Hyperlink"/>
          <w:rFonts w:ascii="Arial" w:hAnsi="Arial" w:cs="Arial"/>
          <w:color w:val="auto"/>
          <w:sz w:val="20"/>
          <w:u w:val="none"/>
        </w:rPr>
        <w:t xml:space="preserve"> </w:t>
      </w:r>
    </w:p>
    <w:p w:rsidR="001173C3" w:rsidRDefault="001173C3" w:rsidP="001173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yperlink"/>
          <w:rFonts w:ascii="Arial" w:hAnsi="Arial" w:cs="Arial"/>
          <w:color w:val="auto"/>
          <w:sz w:val="20"/>
          <w:u w:val="none"/>
          <w:lang w:val="en-US"/>
        </w:rPr>
      </w:pPr>
      <w:r>
        <w:rPr>
          <w:rStyle w:val="Hyperlink"/>
          <w:rFonts w:ascii="Arial" w:hAnsi="Arial" w:cs="Arial"/>
          <w:color w:val="auto"/>
          <w:sz w:val="20"/>
          <w:u w:val="none"/>
        </w:rPr>
        <w:t xml:space="preserve">земи на регионално ниво. </w:t>
      </w:r>
    </w:p>
    <w:p w:rsidR="003D5B7F" w:rsidRDefault="003D5B7F" w:rsidP="001173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Hyperlink"/>
          <w:rFonts w:ascii="Arial" w:hAnsi="Arial" w:cs="Arial"/>
          <w:color w:val="auto"/>
          <w:sz w:val="20"/>
          <w:u w:val="none"/>
          <w:lang w:val="en-US"/>
        </w:rPr>
      </w:pPr>
    </w:p>
    <w:p w:rsidR="003D5B7F" w:rsidRPr="003D5B7F" w:rsidRDefault="003D5B7F" w:rsidP="003D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rPr>
      </w:pPr>
      <w:r>
        <w:rPr>
          <w:rFonts w:ascii="Arial" w:hAnsi="Arial" w:cs="Arial"/>
          <w:b/>
          <w:bCs/>
          <w:sz w:val="20"/>
          <w:lang w:val="en-US"/>
        </w:rPr>
        <w:t xml:space="preserve">10. </w:t>
      </w:r>
      <w:r w:rsidR="00D758EF">
        <w:rPr>
          <w:rFonts w:ascii="Arial" w:hAnsi="Arial" w:cs="Arial"/>
          <w:b/>
          <w:bCs/>
          <w:sz w:val="20"/>
        </w:rPr>
        <w:t>Европейската сметна палата</w:t>
      </w:r>
      <w:r w:rsidR="004F4705">
        <w:rPr>
          <w:rFonts w:ascii="Arial" w:hAnsi="Arial" w:cs="Arial"/>
          <w:b/>
          <w:bCs/>
          <w:sz w:val="20"/>
        </w:rPr>
        <w:t xml:space="preserve"> (ЕСП)</w:t>
      </w:r>
      <w:r w:rsidR="00D758EF">
        <w:rPr>
          <w:rFonts w:ascii="Arial" w:hAnsi="Arial" w:cs="Arial"/>
          <w:b/>
          <w:bCs/>
          <w:sz w:val="20"/>
        </w:rPr>
        <w:t xml:space="preserve"> изрази съжаление за бавния напредък при намаляване на пестицидите. </w:t>
      </w:r>
      <w:r w:rsidRPr="003D5B7F">
        <w:rPr>
          <w:rFonts w:ascii="Arial" w:hAnsi="Arial" w:cs="Arial"/>
          <w:sz w:val="20"/>
        </w:rPr>
        <w:t>В доклада на Европейската сметна палата със заглавие „Устойчива употреба на продукти за растителна защита – ограничен напредък при измерване и намаляване на рисковете“ (публикуван на 5 февруари), се признава заслугата на държавите</w:t>
      </w:r>
      <w:r w:rsidR="00D758EF">
        <w:rPr>
          <w:rFonts w:ascii="Arial" w:hAnsi="Arial" w:cs="Arial"/>
          <w:sz w:val="20"/>
        </w:rPr>
        <w:t xml:space="preserve"> </w:t>
      </w:r>
      <w:r w:rsidRPr="003D5B7F">
        <w:rPr>
          <w:rFonts w:ascii="Arial" w:hAnsi="Arial" w:cs="Arial"/>
          <w:sz w:val="20"/>
        </w:rPr>
        <w:t xml:space="preserve">членки и </w:t>
      </w:r>
      <w:r w:rsidR="001F396B">
        <w:rPr>
          <w:rFonts w:ascii="Arial" w:hAnsi="Arial" w:cs="Arial"/>
          <w:sz w:val="20"/>
        </w:rPr>
        <w:t xml:space="preserve">на </w:t>
      </w:r>
      <w:r w:rsidR="00D758EF">
        <w:rPr>
          <w:rFonts w:ascii="Arial" w:hAnsi="Arial" w:cs="Arial"/>
          <w:sz w:val="20"/>
        </w:rPr>
        <w:t>Европейската комисия</w:t>
      </w:r>
      <w:r w:rsidRPr="003D5B7F">
        <w:rPr>
          <w:rFonts w:ascii="Arial" w:hAnsi="Arial" w:cs="Arial"/>
          <w:sz w:val="20"/>
        </w:rPr>
        <w:t xml:space="preserve"> </w:t>
      </w:r>
      <w:r w:rsidR="00D758EF">
        <w:rPr>
          <w:rFonts w:ascii="Arial" w:hAnsi="Arial" w:cs="Arial"/>
          <w:sz w:val="20"/>
        </w:rPr>
        <w:t>за</w:t>
      </w:r>
      <w:r w:rsidRPr="003D5B7F">
        <w:rPr>
          <w:rFonts w:ascii="Arial" w:hAnsi="Arial" w:cs="Arial"/>
          <w:sz w:val="20"/>
        </w:rPr>
        <w:t xml:space="preserve"> популяризиране на устойчивата употреба на продуктите за растителна защита, като в същото време се отбелязва, че е „постигнат ограничен напредък при измерване и намаляване на рисковете от употребата на продукти за растителна защита.“ Според </w:t>
      </w:r>
      <w:r w:rsidRPr="003D5B7F">
        <w:rPr>
          <w:rFonts w:ascii="Arial" w:hAnsi="Arial" w:cs="Arial"/>
          <w:noProof/>
          <w:sz w:val="20"/>
        </w:rPr>
        <w:t>одиторите, прилагането</w:t>
      </w:r>
      <w:r w:rsidRPr="003D5B7F">
        <w:rPr>
          <w:rFonts w:ascii="Arial" w:hAnsi="Arial" w:cs="Arial"/>
          <w:sz w:val="20"/>
        </w:rPr>
        <w:t xml:space="preserve"> на Директива</w:t>
      </w:r>
      <w:r w:rsidR="004F4705">
        <w:rPr>
          <w:rFonts w:ascii="Arial" w:hAnsi="Arial" w:cs="Arial"/>
          <w:sz w:val="20"/>
        </w:rPr>
        <w:t>та</w:t>
      </w:r>
      <w:r w:rsidRPr="003D5B7F">
        <w:rPr>
          <w:rFonts w:ascii="Arial" w:hAnsi="Arial" w:cs="Arial"/>
          <w:sz w:val="20"/>
        </w:rPr>
        <w:t xml:space="preserve"> </w:t>
      </w:r>
      <w:r w:rsidR="004F4705">
        <w:rPr>
          <w:rFonts w:ascii="Arial" w:hAnsi="Arial" w:cs="Arial"/>
          <w:sz w:val="20"/>
        </w:rPr>
        <w:t>за</w:t>
      </w:r>
      <w:r w:rsidRPr="003D5B7F">
        <w:rPr>
          <w:rFonts w:ascii="Arial" w:hAnsi="Arial" w:cs="Arial"/>
          <w:sz w:val="20"/>
        </w:rPr>
        <w:t xml:space="preserve"> устойчивата употреба на пестициди</w:t>
      </w:r>
      <w:r w:rsidR="004F4705">
        <w:rPr>
          <w:rFonts w:ascii="Arial" w:hAnsi="Arial" w:cs="Arial"/>
          <w:sz w:val="20"/>
        </w:rPr>
        <w:t xml:space="preserve"> „е засегната</w:t>
      </w:r>
      <w:r w:rsidRPr="003D5B7F">
        <w:rPr>
          <w:rFonts w:ascii="Arial" w:hAnsi="Arial" w:cs="Arial"/>
          <w:sz w:val="20"/>
        </w:rPr>
        <w:t xml:space="preserve"> от късния старт“, като Комисията не е проверила успешно дали директивата е </w:t>
      </w:r>
      <w:r w:rsidR="001F396B">
        <w:rPr>
          <w:rFonts w:ascii="Arial" w:hAnsi="Arial" w:cs="Arial"/>
          <w:sz w:val="20"/>
        </w:rPr>
        <w:t xml:space="preserve">съответно </w:t>
      </w:r>
      <w:r w:rsidRPr="003D5B7F">
        <w:rPr>
          <w:rFonts w:ascii="Arial" w:hAnsi="Arial" w:cs="Arial"/>
          <w:sz w:val="20"/>
        </w:rPr>
        <w:t>транспонирана от държавите</w:t>
      </w:r>
      <w:r w:rsidR="004F4705">
        <w:rPr>
          <w:rFonts w:ascii="Arial" w:hAnsi="Arial" w:cs="Arial"/>
          <w:sz w:val="20"/>
        </w:rPr>
        <w:t xml:space="preserve"> </w:t>
      </w:r>
      <w:r w:rsidRPr="003D5B7F">
        <w:rPr>
          <w:rFonts w:ascii="Arial" w:hAnsi="Arial" w:cs="Arial"/>
          <w:sz w:val="20"/>
        </w:rPr>
        <w:t xml:space="preserve">членки. </w:t>
      </w:r>
      <w:r w:rsidR="00B03285">
        <w:rPr>
          <w:rFonts w:ascii="Arial" w:hAnsi="Arial" w:cs="Arial"/>
          <w:sz w:val="20"/>
        </w:rPr>
        <w:t>ЕСП</w:t>
      </w:r>
      <w:r w:rsidRPr="003D5B7F">
        <w:rPr>
          <w:rFonts w:ascii="Arial" w:hAnsi="Arial" w:cs="Arial"/>
          <w:sz w:val="20"/>
        </w:rPr>
        <w:t xml:space="preserve"> изразява загриженост, че не се прилага изискването за интегрирано управление на вредителите, като отбелязва, че „липсват ясни критерии“ за това. От една страна, принципите на интегрирано управление на вредителите са задължителни за прилагане, но от друга, не са условие за получаване на подпомагане по ОСП. „</w:t>
      </w:r>
      <w:r w:rsidR="00714838">
        <w:rPr>
          <w:rFonts w:ascii="Arial" w:hAnsi="Arial" w:cs="Arial"/>
          <w:sz w:val="20"/>
        </w:rPr>
        <w:t>В</w:t>
      </w:r>
      <w:r w:rsidRPr="003D5B7F">
        <w:rPr>
          <w:rFonts w:ascii="Arial" w:hAnsi="Arial" w:cs="Arial"/>
          <w:sz w:val="20"/>
        </w:rPr>
        <w:t xml:space="preserve">ъпреки ясното </w:t>
      </w:r>
      <w:r w:rsidRPr="003D5B7F">
        <w:rPr>
          <w:rFonts w:ascii="Arial" w:hAnsi="Arial" w:cs="Arial"/>
          <w:sz w:val="20"/>
        </w:rPr>
        <w:lastRenderedPageBreak/>
        <w:t xml:space="preserve">насърчаване за прилагане на по-устойчиви селскостопански практики, </w:t>
      </w:r>
      <w:r w:rsidR="00714838">
        <w:rPr>
          <w:rFonts w:ascii="Arial" w:hAnsi="Arial" w:cs="Arial"/>
          <w:sz w:val="20"/>
        </w:rPr>
        <w:t>в действителност</w:t>
      </w:r>
      <w:r w:rsidRPr="003D5B7F">
        <w:rPr>
          <w:rFonts w:ascii="Arial" w:hAnsi="Arial" w:cs="Arial"/>
          <w:sz w:val="20"/>
        </w:rPr>
        <w:t xml:space="preserve"> са предприети много малко конкретни мерки, които да възпират фермерите да прилагат „стандартни“ </w:t>
      </w:r>
      <w:r w:rsidR="00714838">
        <w:rPr>
          <w:rFonts w:ascii="Arial" w:hAnsi="Arial" w:cs="Arial"/>
          <w:sz w:val="20"/>
        </w:rPr>
        <w:t>продукти за растителна защита (ПРЗ)</w:t>
      </w:r>
      <w:r w:rsidRPr="003D5B7F">
        <w:rPr>
          <w:rFonts w:ascii="Arial" w:hAnsi="Arial" w:cs="Arial"/>
          <w:sz w:val="20"/>
        </w:rPr>
        <w:t xml:space="preserve">, вместо да прилагат не-химични или други алтернативни методи“. </w:t>
      </w:r>
      <w:r w:rsidR="00714838">
        <w:rPr>
          <w:rFonts w:ascii="Arial" w:hAnsi="Arial" w:cs="Arial"/>
          <w:sz w:val="20"/>
        </w:rPr>
        <w:t>В доклада се</w:t>
      </w:r>
      <w:r w:rsidRPr="003D5B7F">
        <w:rPr>
          <w:rFonts w:ascii="Arial" w:hAnsi="Arial" w:cs="Arial"/>
          <w:sz w:val="20"/>
        </w:rPr>
        <w:t xml:space="preserve"> настоява принципите на интегрирано управление на вредители</w:t>
      </w:r>
      <w:r w:rsidR="001F396B">
        <w:rPr>
          <w:rFonts w:ascii="Arial" w:hAnsi="Arial" w:cs="Arial"/>
          <w:sz w:val="20"/>
        </w:rPr>
        <w:t>те</w:t>
      </w:r>
      <w:r w:rsidRPr="003D5B7F">
        <w:rPr>
          <w:rFonts w:ascii="Arial" w:hAnsi="Arial" w:cs="Arial"/>
          <w:sz w:val="20"/>
        </w:rPr>
        <w:t xml:space="preserve"> да бъдат включени като част от правилата за предварителната </w:t>
      </w:r>
      <w:r w:rsidR="00714838">
        <w:rPr>
          <w:rFonts w:ascii="Arial" w:hAnsi="Arial" w:cs="Arial"/>
          <w:sz w:val="20"/>
        </w:rPr>
        <w:t>условност на ОСП след 2020 год.. „Ф</w:t>
      </w:r>
      <w:r w:rsidRPr="003D5B7F">
        <w:rPr>
          <w:rFonts w:ascii="Arial" w:hAnsi="Arial" w:cs="Arial"/>
          <w:sz w:val="20"/>
        </w:rPr>
        <w:t>ермерите трябва да прилагат ПРЗ само в краен случа</w:t>
      </w:r>
      <w:r w:rsidR="00714838">
        <w:rPr>
          <w:rFonts w:ascii="Arial" w:hAnsi="Arial" w:cs="Arial"/>
          <w:sz w:val="20"/>
        </w:rPr>
        <w:t>й</w:t>
      </w:r>
      <w:r w:rsidRPr="003D5B7F">
        <w:rPr>
          <w:rFonts w:ascii="Arial" w:hAnsi="Arial" w:cs="Arial"/>
          <w:sz w:val="20"/>
        </w:rPr>
        <w:t>, след като са се уверили, че превенцията или други методи не са резултатни и не постигат желания ефект“. В своя отговор, включен като приложение към доклад</w:t>
      </w:r>
      <w:r w:rsidR="00714838">
        <w:rPr>
          <w:rFonts w:ascii="Arial" w:hAnsi="Arial" w:cs="Arial"/>
          <w:sz w:val="20"/>
        </w:rPr>
        <w:t>а</w:t>
      </w:r>
      <w:r w:rsidRPr="003D5B7F">
        <w:rPr>
          <w:rFonts w:ascii="Arial" w:hAnsi="Arial" w:cs="Arial"/>
          <w:sz w:val="20"/>
        </w:rPr>
        <w:t xml:space="preserve">, </w:t>
      </w:r>
      <w:r w:rsidR="00714838">
        <w:rPr>
          <w:rFonts w:ascii="Arial" w:hAnsi="Arial" w:cs="Arial"/>
          <w:sz w:val="20"/>
        </w:rPr>
        <w:t>ЕК</w:t>
      </w:r>
      <w:r w:rsidRPr="003D5B7F">
        <w:rPr>
          <w:rFonts w:ascii="Arial" w:hAnsi="Arial" w:cs="Arial"/>
          <w:sz w:val="20"/>
        </w:rPr>
        <w:t xml:space="preserve"> „счита, че бъдещата рамка на правилата за предварителната условност </w:t>
      </w:r>
      <w:r w:rsidR="00714838">
        <w:rPr>
          <w:rFonts w:ascii="Arial" w:hAnsi="Arial" w:cs="Arial"/>
          <w:sz w:val="20"/>
        </w:rPr>
        <w:t>включва</w:t>
      </w:r>
      <w:r w:rsidRPr="003D5B7F">
        <w:rPr>
          <w:rFonts w:ascii="Arial" w:hAnsi="Arial" w:cs="Arial"/>
          <w:sz w:val="20"/>
        </w:rPr>
        <w:t xml:space="preserve"> в себе си общите принципи на интегрира</w:t>
      </w:r>
      <w:r w:rsidR="00714838">
        <w:rPr>
          <w:rFonts w:ascii="Arial" w:hAnsi="Arial" w:cs="Arial"/>
          <w:sz w:val="20"/>
        </w:rPr>
        <w:t xml:space="preserve">ното управление на вредителите“. Комисията </w:t>
      </w:r>
      <w:r w:rsidR="001F396B">
        <w:rPr>
          <w:rFonts w:ascii="Arial" w:hAnsi="Arial" w:cs="Arial"/>
          <w:sz w:val="20"/>
        </w:rPr>
        <w:t>отбелязва</w:t>
      </w:r>
      <w:r w:rsidRPr="003D5B7F">
        <w:rPr>
          <w:rFonts w:ascii="Arial" w:hAnsi="Arial" w:cs="Arial"/>
          <w:sz w:val="20"/>
        </w:rPr>
        <w:t>, че действията на ЕС са довели до намаляване на риска от употребата на ПРЗ</w:t>
      </w:r>
      <w:r w:rsidR="00714838">
        <w:rPr>
          <w:rFonts w:ascii="Arial" w:hAnsi="Arial" w:cs="Arial"/>
          <w:noProof/>
          <w:sz w:val="20"/>
        </w:rPr>
        <w:t>.</w:t>
      </w:r>
      <w:r w:rsidRPr="003D5B7F">
        <w:rPr>
          <w:rFonts w:ascii="Arial" w:hAnsi="Arial" w:cs="Arial"/>
          <w:noProof/>
          <w:sz w:val="20"/>
        </w:rPr>
        <w:t xml:space="preserve"> Хенриета Кристенсен</w:t>
      </w:r>
      <w:r w:rsidRPr="003D5B7F">
        <w:rPr>
          <w:rFonts w:ascii="Arial" w:hAnsi="Arial" w:cs="Arial"/>
          <w:sz w:val="20"/>
        </w:rPr>
        <w:t xml:space="preserve"> (старши политически съветник към организацията „Мрежа за действие срещу пестицидите“</w:t>
      </w:r>
      <w:r w:rsidRPr="003D5B7F">
        <w:rPr>
          <w:rFonts w:ascii="Arial" w:hAnsi="Arial" w:cs="Arial"/>
          <w:sz w:val="20"/>
          <w:lang w:val="en-US"/>
        </w:rPr>
        <w:t xml:space="preserve">, </w:t>
      </w:r>
      <w:r w:rsidRPr="003D5B7F">
        <w:rPr>
          <w:rFonts w:ascii="Arial" w:hAnsi="Arial" w:cs="Arial"/>
          <w:sz w:val="20"/>
        </w:rPr>
        <w:t xml:space="preserve">отбелязва, че отговорът на Комисията е </w:t>
      </w:r>
      <w:r w:rsidR="00714838">
        <w:rPr>
          <w:rFonts w:ascii="Arial" w:hAnsi="Arial" w:cs="Arial"/>
          <w:sz w:val="20"/>
        </w:rPr>
        <w:t>„изключително незадоволителен“ и се</w:t>
      </w:r>
      <w:r w:rsidRPr="003D5B7F">
        <w:rPr>
          <w:rFonts w:ascii="Arial" w:hAnsi="Arial" w:cs="Arial"/>
          <w:sz w:val="20"/>
        </w:rPr>
        <w:t xml:space="preserve"> „защитават същите идеи, които не са постигнали никакви резултати за повече от десетилетие“. Употребата на пестициди се е повишила в почти всички държави-членки,</w:t>
      </w:r>
      <w:r w:rsidR="00714838">
        <w:rPr>
          <w:rFonts w:ascii="Arial" w:hAnsi="Arial" w:cs="Arial"/>
          <w:sz w:val="20"/>
        </w:rPr>
        <w:t xml:space="preserve"> </w:t>
      </w:r>
      <w:r w:rsidRPr="003D5B7F">
        <w:rPr>
          <w:rFonts w:ascii="Arial" w:hAnsi="Arial" w:cs="Arial"/>
          <w:sz w:val="20"/>
        </w:rPr>
        <w:t>дори след  приемането на директивата за устойчива</w:t>
      </w:r>
      <w:r w:rsidR="00714838">
        <w:rPr>
          <w:rFonts w:ascii="Arial" w:hAnsi="Arial" w:cs="Arial"/>
          <w:sz w:val="20"/>
        </w:rPr>
        <w:t>та</w:t>
      </w:r>
      <w:r w:rsidRPr="003D5B7F">
        <w:rPr>
          <w:rFonts w:ascii="Arial" w:hAnsi="Arial" w:cs="Arial"/>
          <w:sz w:val="20"/>
        </w:rPr>
        <w:t xml:space="preserve"> употреба на пестициди през 2009 год. Междувременно, от „Европейската асоциация за защита на културите“ казват, че индустрията винаги е била и ще продължава да се застъпва силно за интегрираното управление на вредителите, </w:t>
      </w:r>
      <w:r w:rsidR="00714838">
        <w:rPr>
          <w:rFonts w:ascii="Arial" w:hAnsi="Arial" w:cs="Arial"/>
          <w:sz w:val="20"/>
        </w:rPr>
        <w:t>което</w:t>
      </w:r>
      <w:r w:rsidRPr="003D5B7F">
        <w:rPr>
          <w:rFonts w:ascii="Arial" w:hAnsi="Arial" w:cs="Arial"/>
          <w:sz w:val="20"/>
        </w:rPr>
        <w:t xml:space="preserve"> „много зависи от културата и спецификите на района, където се прилага</w:t>
      </w:r>
      <w:r w:rsidR="00714838">
        <w:rPr>
          <w:rFonts w:ascii="Arial" w:hAnsi="Arial" w:cs="Arial"/>
          <w:sz w:val="20"/>
        </w:rPr>
        <w:t>. Н</w:t>
      </w:r>
      <w:r w:rsidRPr="003D5B7F">
        <w:rPr>
          <w:rFonts w:ascii="Arial" w:hAnsi="Arial" w:cs="Arial"/>
          <w:sz w:val="20"/>
        </w:rPr>
        <w:t xml:space="preserve">ереалистично </w:t>
      </w:r>
      <w:r w:rsidR="00714838">
        <w:rPr>
          <w:rFonts w:ascii="Arial" w:hAnsi="Arial" w:cs="Arial"/>
          <w:sz w:val="20"/>
        </w:rPr>
        <w:t xml:space="preserve">е </w:t>
      </w:r>
      <w:r w:rsidRPr="003D5B7F">
        <w:rPr>
          <w:rFonts w:ascii="Arial" w:hAnsi="Arial" w:cs="Arial"/>
          <w:sz w:val="20"/>
        </w:rPr>
        <w:t>очакването, че правилото може да се приложи по универсален начин навсякъде“. Организацията препоръчва фермерите да бъдат об</w:t>
      </w:r>
      <w:r w:rsidR="00714838">
        <w:rPr>
          <w:rFonts w:ascii="Arial" w:hAnsi="Arial" w:cs="Arial"/>
          <w:sz w:val="20"/>
        </w:rPr>
        <w:t>учени как да прилагат правилото, а</w:t>
      </w:r>
      <w:r w:rsidRPr="003D5B7F">
        <w:rPr>
          <w:rFonts w:ascii="Arial" w:hAnsi="Arial" w:cs="Arial"/>
          <w:sz w:val="20"/>
        </w:rPr>
        <w:t xml:space="preserve"> призиви</w:t>
      </w:r>
      <w:r w:rsidR="00714838">
        <w:rPr>
          <w:rFonts w:ascii="Arial" w:hAnsi="Arial" w:cs="Arial"/>
          <w:sz w:val="20"/>
        </w:rPr>
        <w:t>те</w:t>
      </w:r>
      <w:r w:rsidRPr="003D5B7F">
        <w:rPr>
          <w:rFonts w:ascii="Arial" w:hAnsi="Arial" w:cs="Arial"/>
          <w:sz w:val="20"/>
        </w:rPr>
        <w:t xml:space="preserve"> за намаляване на ПРЗ да бъдат базирани на „реални научни постижения“. Пълния</w:t>
      </w:r>
      <w:r w:rsidR="00714838">
        <w:rPr>
          <w:rFonts w:ascii="Arial" w:hAnsi="Arial" w:cs="Arial"/>
          <w:sz w:val="20"/>
        </w:rPr>
        <w:t>т</w:t>
      </w:r>
      <w:r w:rsidRPr="003D5B7F">
        <w:rPr>
          <w:rFonts w:ascii="Arial" w:hAnsi="Arial" w:cs="Arial"/>
          <w:sz w:val="20"/>
        </w:rPr>
        <w:t xml:space="preserve"> текст на доклада „Устойчива употреба на продукти за растителна защита – ограничен напредък при измерване и намаляване на рисковете“ може да намерите на следния адрес: </w:t>
      </w:r>
      <w:hyperlink r:id="rId10" w:history="1">
        <w:r w:rsidRPr="003D5B7F">
          <w:rPr>
            <w:rStyle w:val="Hyperlink"/>
            <w:rFonts w:ascii="Arial" w:hAnsi="Arial" w:cs="Arial"/>
            <w:sz w:val="20"/>
          </w:rPr>
          <w:t>https://www.eca.europa.eu/lists/ecadocuments/sr20_05/sr_pesticides_en.pdf</w:t>
        </w:r>
      </w:hyperlink>
    </w:p>
    <w:p w:rsidR="003D5B7F" w:rsidRPr="003D5B7F" w:rsidRDefault="003D5B7F" w:rsidP="003D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rPr>
      </w:pPr>
    </w:p>
    <w:p w:rsidR="003D5B7F" w:rsidRPr="003D5B7F" w:rsidRDefault="003D5B7F" w:rsidP="003D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rPr>
      </w:pPr>
    </w:p>
    <w:p w:rsidR="003D5B7F" w:rsidRPr="003D5B7F" w:rsidRDefault="003D5B7F" w:rsidP="001173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sz w:val="20"/>
          <w:lang w:val="en-US"/>
        </w:rPr>
      </w:pPr>
    </w:p>
    <w:p w:rsidR="001173C3" w:rsidRPr="001D1416" w:rsidRDefault="001173C3" w:rsidP="001173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sz w:val="20"/>
        </w:rPr>
      </w:pPr>
    </w:p>
    <w:p w:rsidR="001173C3" w:rsidRPr="001173C3" w:rsidRDefault="001173C3" w:rsidP="00120AD2">
      <w:pPr>
        <w:jc w:val="both"/>
        <w:rPr>
          <w:rStyle w:val="longtext"/>
          <w:rFonts w:ascii="Arial" w:hAnsi="Arial" w:cs="Arial"/>
          <w:noProof/>
          <w:sz w:val="20"/>
          <w:lang w:val="en-US"/>
        </w:rPr>
      </w:pPr>
    </w:p>
    <w:p w:rsidR="00275471" w:rsidRDefault="00275471" w:rsidP="00120AD2">
      <w:pPr>
        <w:jc w:val="both"/>
        <w:rPr>
          <w:rStyle w:val="longtext"/>
          <w:rFonts w:ascii="Arial" w:hAnsi="Arial" w:cs="Arial"/>
          <w:noProof/>
          <w:sz w:val="20"/>
        </w:rPr>
      </w:pPr>
    </w:p>
    <w:p w:rsidR="001173C3" w:rsidRDefault="001173C3" w:rsidP="00275471">
      <w:pPr>
        <w:jc w:val="center"/>
        <w:rPr>
          <w:rStyle w:val="longtext"/>
          <w:rFonts w:ascii="Arial" w:hAnsi="Arial" w:cs="Arial"/>
          <w:b/>
          <w:noProof/>
          <w:sz w:val="20"/>
          <w:lang w:val="en-US"/>
        </w:rPr>
      </w:pPr>
    </w:p>
    <w:p w:rsidR="001173C3" w:rsidRDefault="001173C3" w:rsidP="00275471">
      <w:pPr>
        <w:jc w:val="center"/>
        <w:rPr>
          <w:rStyle w:val="longtext"/>
          <w:rFonts w:ascii="Arial" w:hAnsi="Arial" w:cs="Arial"/>
          <w:b/>
          <w:noProof/>
          <w:sz w:val="20"/>
          <w:lang w:val="en-US"/>
        </w:rPr>
      </w:pPr>
    </w:p>
    <w:p w:rsidR="001173C3" w:rsidRDefault="001173C3" w:rsidP="00275471">
      <w:pPr>
        <w:jc w:val="center"/>
        <w:rPr>
          <w:rStyle w:val="longtext"/>
          <w:rFonts w:ascii="Arial" w:hAnsi="Arial" w:cs="Arial"/>
          <w:b/>
          <w:noProof/>
          <w:sz w:val="20"/>
          <w:lang w:val="en-US"/>
        </w:rPr>
      </w:pPr>
    </w:p>
    <w:p w:rsidR="001173C3" w:rsidRDefault="001173C3" w:rsidP="00275471">
      <w:pPr>
        <w:jc w:val="center"/>
        <w:rPr>
          <w:rStyle w:val="longtext"/>
          <w:rFonts w:ascii="Arial" w:hAnsi="Arial" w:cs="Arial"/>
          <w:b/>
          <w:noProof/>
          <w:sz w:val="20"/>
          <w:lang w:val="en-US"/>
        </w:rPr>
      </w:pPr>
    </w:p>
    <w:p w:rsidR="001173C3" w:rsidRDefault="001173C3" w:rsidP="00275471">
      <w:pPr>
        <w:jc w:val="center"/>
        <w:rPr>
          <w:rStyle w:val="longtext"/>
          <w:rFonts w:ascii="Arial" w:hAnsi="Arial" w:cs="Arial"/>
          <w:b/>
          <w:noProof/>
          <w:sz w:val="20"/>
          <w:lang w:val="en-US"/>
        </w:rPr>
      </w:pPr>
    </w:p>
    <w:p w:rsidR="001173C3" w:rsidRDefault="001173C3" w:rsidP="00275471">
      <w:pPr>
        <w:jc w:val="center"/>
        <w:rPr>
          <w:rStyle w:val="longtext"/>
          <w:rFonts w:ascii="Arial" w:hAnsi="Arial" w:cs="Arial"/>
          <w:b/>
          <w:noProof/>
          <w:sz w:val="20"/>
          <w:lang w:val="en-US"/>
        </w:rPr>
      </w:pPr>
    </w:p>
    <w:p w:rsidR="001173C3" w:rsidRDefault="001173C3" w:rsidP="00275471">
      <w:pPr>
        <w:jc w:val="center"/>
        <w:rPr>
          <w:rStyle w:val="longtext"/>
          <w:rFonts w:ascii="Arial" w:hAnsi="Arial" w:cs="Arial"/>
          <w:b/>
          <w:noProof/>
          <w:sz w:val="20"/>
          <w:lang w:val="en-US"/>
        </w:rPr>
      </w:pPr>
    </w:p>
    <w:p w:rsidR="001173C3" w:rsidRDefault="001173C3" w:rsidP="00275471">
      <w:pPr>
        <w:jc w:val="center"/>
        <w:rPr>
          <w:rStyle w:val="longtext"/>
          <w:rFonts w:ascii="Arial" w:hAnsi="Arial" w:cs="Arial"/>
          <w:b/>
          <w:noProof/>
          <w:sz w:val="20"/>
          <w:lang w:val="en-US"/>
        </w:rPr>
      </w:pPr>
    </w:p>
    <w:p w:rsidR="001173C3" w:rsidRDefault="001173C3" w:rsidP="00275471">
      <w:pPr>
        <w:jc w:val="center"/>
        <w:rPr>
          <w:rStyle w:val="longtext"/>
          <w:rFonts w:ascii="Arial" w:hAnsi="Arial" w:cs="Arial"/>
          <w:b/>
          <w:noProof/>
          <w:sz w:val="20"/>
          <w:lang w:val="en-US"/>
        </w:rPr>
      </w:pPr>
    </w:p>
    <w:p w:rsidR="001173C3" w:rsidRDefault="001173C3" w:rsidP="00275471">
      <w:pPr>
        <w:jc w:val="center"/>
        <w:rPr>
          <w:rStyle w:val="longtext"/>
          <w:rFonts w:ascii="Arial" w:hAnsi="Arial" w:cs="Arial"/>
          <w:b/>
          <w:noProof/>
          <w:sz w:val="20"/>
          <w:lang w:val="en-US"/>
        </w:rPr>
      </w:pPr>
    </w:p>
    <w:p w:rsidR="00D000AE" w:rsidRDefault="00D000AE" w:rsidP="00275471">
      <w:pPr>
        <w:jc w:val="center"/>
        <w:rPr>
          <w:rStyle w:val="longtext"/>
          <w:rFonts w:ascii="Arial" w:hAnsi="Arial" w:cs="Arial"/>
          <w:b/>
          <w:noProof/>
          <w:sz w:val="20"/>
          <w:lang w:val="en-US"/>
        </w:rPr>
      </w:pPr>
    </w:p>
    <w:p w:rsidR="00D000AE" w:rsidRDefault="00D000AE" w:rsidP="00275471">
      <w:pPr>
        <w:jc w:val="center"/>
        <w:rPr>
          <w:rStyle w:val="longtext"/>
          <w:rFonts w:ascii="Arial" w:hAnsi="Arial" w:cs="Arial"/>
          <w:b/>
          <w:noProof/>
          <w:sz w:val="20"/>
          <w:lang w:val="en-US"/>
        </w:rPr>
      </w:pPr>
    </w:p>
    <w:p w:rsidR="00D000AE" w:rsidRDefault="00D000AE" w:rsidP="00275471">
      <w:pPr>
        <w:jc w:val="center"/>
        <w:rPr>
          <w:rStyle w:val="longtext"/>
          <w:rFonts w:ascii="Arial" w:hAnsi="Arial" w:cs="Arial"/>
          <w:b/>
          <w:noProof/>
          <w:sz w:val="20"/>
          <w:lang w:val="en-US"/>
        </w:rPr>
      </w:pPr>
    </w:p>
    <w:p w:rsidR="00D000AE" w:rsidRDefault="00D000AE" w:rsidP="00275471">
      <w:pPr>
        <w:jc w:val="center"/>
        <w:rPr>
          <w:rStyle w:val="longtext"/>
          <w:rFonts w:ascii="Arial" w:hAnsi="Arial" w:cs="Arial"/>
          <w:b/>
          <w:noProof/>
          <w:sz w:val="20"/>
          <w:lang w:val="en-US"/>
        </w:rPr>
      </w:pPr>
    </w:p>
    <w:p w:rsidR="00D000AE" w:rsidRDefault="00D000AE" w:rsidP="00275471">
      <w:pPr>
        <w:jc w:val="center"/>
        <w:rPr>
          <w:rStyle w:val="longtext"/>
          <w:rFonts w:ascii="Arial" w:hAnsi="Arial" w:cs="Arial"/>
          <w:b/>
          <w:noProof/>
          <w:sz w:val="20"/>
          <w:lang w:val="en-US"/>
        </w:rPr>
      </w:pPr>
    </w:p>
    <w:p w:rsidR="00D000AE" w:rsidRDefault="00D000AE" w:rsidP="00275471">
      <w:pPr>
        <w:jc w:val="center"/>
        <w:rPr>
          <w:rStyle w:val="longtext"/>
          <w:rFonts w:ascii="Arial" w:hAnsi="Arial" w:cs="Arial"/>
          <w:b/>
          <w:noProof/>
          <w:sz w:val="20"/>
          <w:lang w:val="en-US"/>
        </w:rPr>
      </w:pPr>
    </w:p>
    <w:p w:rsidR="00D000AE" w:rsidRDefault="00D000AE" w:rsidP="00275471">
      <w:pPr>
        <w:jc w:val="center"/>
        <w:rPr>
          <w:rStyle w:val="longtext"/>
          <w:rFonts w:ascii="Arial" w:hAnsi="Arial" w:cs="Arial"/>
          <w:b/>
          <w:noProof/>
          <w:sz w:val="20"/>
          <w:lang w:val="en-US"/>
        </w:rPr>
      </w:pPr>
    </w:p>
    <w:p w:rsidR="00D000AE" w:rsidRDefault="00D000AE" w:rsidP="00275471">
      <w:pPr>
        <w:jc w:val="center"/>
        <w:rPr>
          <w:rStyle w:val="longtext"/>
          <w:rFonts w:ascii="Arial" w:hAnsi="Arial" w:cs="Arial"/>
          <w:b/>
          <w:noProof/>
          <w:sz w:val="20"/>
          <w:lang w:val="en-US"/>
        </w:rPr>
      </w:pPr>
    </w:p>
    <w:p w:rsidR="00D000AE" w:rsidRDefault="00D000AE" w:rsidP="00275471">
      <w:pPr>
        <w:jc w:val="center"/>
        <w:rPr>
          <w:rStyle w:val="longtext"/>
          <w:rFonts w:ascii="Arial" w:hAnsi="Arial" w:cs="Arial"/>
          <w:b/>
          <w:noProof/>
          <w:sz w:val="20"/>
          <w:lang w:val="en-US"/>
        </w:rPr>
      </w:pPr>
    </w:p>
    <w:p w:rsidR="00D000AE" w:rsidRDefault="00D000AE" w:rsidP="00275471">
      <w:pPr>
        <w:jc w:val="center"/>
        <w:rPr>
          <w:rStyle w:val="longtext"/>
          <w:rFonts w:ascii="Arial" w:hAnsi="Arial" w:cs="Arial"/>
          <w:b/>
          <w:noProof/>
          <w:sz w:val="20"/>
          <w:lang w:val="en-US"/>
        </w:rPr>
      </w:pPr>
    </w:p>
    <w:p w:rsidR="00D000AE" w:rsidRDefault="00D000AE" w:rsidP="00275471">
      <w:pPr>
        <w:jc w:val="center"/>
        <w:rPr>
          <w:rStyle w:val="longtext"/>
          <w:rFonts w:ascii="Arial" w:hAnsi="Arial" w:cs="Arial"/>
          <w:b/>
          <w:noProof/>
          <w:sz w:val="20"/>
          <w:lang w:val="en-US"/>
        </w:rPr>
      </w:pPr>
    </w:p>
    <w:p w:rsidR="00D000AE" w:rsidRDefault="00D000AE" w:rsidP="00275471">
      <w:pPr>
        <w:jc w:val="center"/>
        <w:rPr>
          <w:rStyle w:val="longtext"/>
          <w:rFonts w:ascii="Arial" w:hAnsi="Arial" w:cs="Arial"/>
          <w:b/>
          <w:noProof/>
          <w:sz w:val="20"/>
          <w:lang w:val="en-US"/>
        </w:rPr>
      </w:pPr>
    </w:p>
    <w:p w:rsidR="00D000AE" w:rsidRDefault="00D000AE" w:rsidP="00275471">
      <w:pPr>
        <w:jc w:val="center"/>
        <w:rPr>
          <w:rStyle w:val="longtext"/>
          <w:rFonts w:ascii="Arial" w:hAnsi="Arial" w:cs="Arial"/>
          <w:b/>
          <w:noProof/>
          <w:sz w:val="20"/>
          <w:lang w:val="en-US"/>
        </w:rPr>
      </w:pPr>
    </w:p>
    <w:p w:rsidR="00D000AE" w:rsidRDefault="00D000AE" w:rsidP="00275471">
      <w:pPr>
        <w:jc w:val="center"/>
        <w:rPr>
          <w:rStyle w:val="longtext"/>
          <w:rFonts w:ascii="Arial" w:hAnsi="Arial" w:cs="Arial"/>
          <w:b/>
          <w:noProof/>
          <w:sz w:val="20"/>
          <w:lang w:val="en-US"/>
        </w:rPr>
      </w:pPr>
    </w:p>
    <w:p w:rsidR="00D000AE" w:rsidRDefault="00D000AE" w:rsidP="00275471">
      <w:pPr>
        <w:jc w:val="center"/>
        <w:rPr>
          <w:rStyle w:val="longtext"/>
          <w:rFonts w:ascii="Arial" w:hAnsi="Arial" w:cs="Arial"/>
          <w:b/>
          <w:noProof/>
          <w:sz w:val="20"/>
          <w:lang w:val="en-US"/>
        </w:rPr>
      </w:pPr>
    </w:p>
    <w:p w:rsidR="00D000AE" w:rsidRDefault="00D000AE" w:rsidP="00275471">
      <w:pPr>
        <w:jc w:val="center"/>
        <w:rPr>
          <w:rStyle w:val="longtext"/>
          <w:rFonts w:ascii="Arial" w:hAnsi="Arial" w:cs="Arial"/>
          <w:b/>
          <w:noProof/>
          <w:sz w:val="20"/>
          <w:lang w:val="en-US"/>
        </w:rPr>
      </w:pPr>
    </w:p>
    <w:p w:rsidR="00D000AE" w:rsidRDefault="00D000AE" w:rsidP="00275471">
      <w:pPr>
        <w:jc w:val="center"/>
        <w:rPr>
          <w:rStyle w:val="longtext"/>
          <w:rFonts w:ascii="Arial" w:hAnsi="Arial" w:cs="Arial"/>
          <w:b/>
          <w:noProof/>
          <w:sz w:val="20"/>
          <w:lang w:val="en-US"/>
        </w:rPr>
      </w:pPr>
    </w:p>
    <w:p w:rsidR="00D000AE" w:rsidRDefault="00D000AE" w:rsidP="00275471">
      <w:pPr>
        <w:jc w:val="center"/>
        <w:rPr>
          <w:rStyle w:val="longtext"/>
          <w:rFonts w:ascii="Arial" w:hAnsi="Arial" w:cs="Arial"/>
          <w:b/>
          <w:noProof/>
          <w:sz w:val="20"/>
          <w:lang w:val="en-US"/>
        </w:rPr>
      </w:pPr>
    </w:p>
    <w:p w:rsidR="001173C3" w:rsidRDefault="001173C3" w:rsidP="00275471">
      <w:pPr>
        <w:jc w:val="center"/>
        <w:rPr>
          <w:rStyle w:val="longtext"/>
          <w:rFonts w:ascii="Arial" w:hAnsi="Arial" w:cs="Arial"/>
          <w:b/>
          <w:noProof/>
          <w:sz w:val="20"/>
          <w:lang w:val="en-US"/>
        </w:rPr>
      </w:pPr>
    </w:p>
    <w:p w:rsidR="001173C3" w:rsidRDefault="001173C3" w:rsidP="00275471">
      <w:pPr>
        <w:jc w:val="center"/>
        <w:rPr>
          <w:rStyle w:val="longtext"/>
          <w:rFonts w:ascii="Arial" w:hAnsi="Arial" w:cs="Arial"/>
          <w:b/>
          <w:noProof/>
          <w:sz w:val="20"/>
          <w:lang w:val="en-US"/>
        </w:rPr>
      </w:pPr>
    </w:p>
    <w:p w:rsidR="001173C3" w:rsidRDefault="001173C3" w:rsidP="00275471">
      <w:pPr>
        <w:jc w:val="center"/>
        <w:rPr>
          <w:rStyle w:val="longtext"/>
          <w:rFonts w:ascii="Arial" w:hAnsi="Arial" w:cs="Arial"/>
          <w:b/>
          <w:noProof/>
          <w:sz w:val="20"/>
          <w:lang w:val="en-US"/>
        </w:rPr>
      </w:pPr>
    </w:p>
    <w:p w:rsidR="001173C3" w:rsidRPr="001173C3" w:rsidRDefault="001173C3" w:rsidP="00275471">
      <w:pPr>
        <w:jc w:val="center"/>
        <w:rPr>
          <w:rStyle w:val="longtext"/>
          <w:rFonts w:ascii="Arial" w:hAnsi="Arial" w:cs="Arial"/>
          <w:b/>
          <w:i/>
          <w:noProof/>
          <w:sz w:val="20"/>
        </w:rPr>
      </w:pPr>
      <w:r>
        <w:rPr>
          <w:rStyle w:val="longtext"/>
          <w:rFonts w:ascii="Arial" w:hAnsi="Arial" w:cs="Arial"/>
          <w:b/>
          <w:noProof/>
          <w:sz w:val="20"/>
          <w:lang w:val="en-US"/>
        </w:rPr>
        <w:tab/>
      </w:r>
      <w:r>
        <w:rPr>
          <w:rStyle w:val="longtext"/>
          <w:rFonts w:ascii="Arial" w:hAnsi="Arial" w:cs="Arial"/>
          <w:b/>
          <w:noProof/>
          <w:sz w:val="20"/>
          <w:lang w:val="en-US"/>
        </w:rPr>
        <w:tab/>
      </w:r>
      <w:r>
        <w:rPr>
          <w:rStyle w:val="longtext"/>
          <w:rFonts w:ascii="Arial" w:hAnsi="Arial" w:cs="Arial"/>
          <w:b/>
          <w:noProof/>
          <w:sz w:val="20"/>
          <w:lang w:val="en-US"/>
        </w:rPr>
        <w:tab/>
      </w:r>
      <w:r>
        <w:rPr>
          <w:rStyle w:val="longtext"/>
          <w:rFonts w:ascii="Arial" w:hAnsi="Arial" w:cs="Arial"/>
          <w:b/>
          <w:noProof/>
          <w:sz w:val="20"/>
          <w:lang w:val="en-US"/>
        </w:rPr>
        <w:tab/>
      </w:r>
      <w:r>
        <w:rPr>
          <w:rStyle w:val="longtext"/>
          <w:rFonts w:ascii="Arial" w:hAnsi="Arial" w:cs="Arial"/>
          <w:b/>
          <w:noProof/>
          <w:sz w:val="20"/>
          <w:lang w:val="en-US"/>
        </w:rPr>
        <w:tab/>
      </w:r>
      <w:r>
        <w:rPr>
          <w:rStyle w:val="longtext"/>
          <w:rFonts w:ascii="Arial" w:hAnsi="Arial" w:cs="Arial"/>
          <w:b/>
          <w:noProof/>
          <w:sz w:val="20"/>
          <w:lang w:val="en-US"/>
        </w:rPr>
        <w:tab/>
      </w:r>
      <w:r>
        <w:rPr>
          <w:rStyle w:val="longtext"/>
          <w:rFonts w:ascii="Arial" w:hAnsi="Arial" w:cs="Arial"/>
          <w:b/>
          <w:noProof/>
          <w:sz w:val="20"/>
          <w:lang w:val="en-US"/>
        </w:rPr>
        <w:tab/>
      </w:r>
      <w:r>
        <w:rPr>
          <w:rStyle w:val="longtext"/>
          <w:rFonts w:ascii="Arial" w:hAnsi="Arial" w:cs="Arial"/>
          <w:b/>
          <w:noProof/>
          <w:sz w:val="20"/>
          <w:lang w:val="en-US"/>
        </w:rPr>
        <w:tab/>
      </w:r>
      <w:r>
        <w:rPr>
          <w:rStyle w:val="longtext"/>
          <w:rFonts w:ascii="Arial" w:hAnsi="Arial" w:cs="Arial"/>
          <w:b/>
          <w:i/>
          <w:noProof/>
          <w:sz w:val="20"/>
        </w:rPr>
        <w:t>Приложение 1</w:t>
      </w:r>
    </w:p>
    <w:p w:rsidR="001173C3" w:rsidRDefault="001173C3" w:rsidP="00275471">
      <w:pPr>
        <w:jc w:val="center"/>
        <w:rPr>
          <w:rStyle w:val="longtext"/>
          <w:rFonts w:ascii="Arial" w:hAnsi="Arial" w:cs="Arial"/>
          <w:b/>
          <w:noProof/>
          <w:sz w:val="20"/>
          <w:lang w:val="en-US"/>
        </w:rPr>
      </w:pPr>
    </w:p>
    <w:p w:rsidR="00E5449B" w:rsidRDefault="00275471" w:rsidP="00275471">
      <w:pPr>
        <w:jc w:val="center"/>
        <w:rPr>
          <w:rStyle w:val="longtext"/>
          <w:rFonts w:ascii="Arial" w:hAnsi="Arial" w:cs="Arial"/>
          <w:b/>
          <w:noProof/>
          <w:sz w:val="20"/>
        </w:rPr>
      </w:pPr>
      <w:r>
        <w:rPr>
          <w:rStyle w:val="longtext"/>
          <w:rFonts w:ascii="Arial" w:hAnsi="Arial" w:cs="Arial"/>
          <w:b/>
          <w:noProof/>
          <w:sz w:val="20"/>
        </w:rPr>
        <w:t>С</w:t>
      </w:r>
      <w:r w:rsidRPr="009203FA">
        <w:rPr>
          <w:rStyle w:val="longtext"/>
          <w:rFonts w:ascii="Arial" w:hAnsi="Arial" w:cs="Arial"/>
          <w:b/>
          <w:noProof/>
          <w:sz w:val="20"/>
        </w:rPr>
        <w:t>тратегия „От фермата до трапезата“</w:t>
      </w:r>
      <w:r>
        <w:rPr>
          <w:rStyle w:val="longtext"/>
          <w:rFonts w:ascii="Arial" w:hAnsi="Arial" w:cs="Arial"/>
          <w:b/>
          <w:noProof/>
          <w:sz w:val="20"/>
        </w:rPr>
        <w:t>- обсъждания в Европейск</w:t>
      </w:r>
      <w:r w:rsidR="00AB140A">
        <w:rPr>
          <w:rStyle w:val="longtext"/>
          <w:rFonts w:ascii="Arial" w:hAnsi="Arial" w:cs="Arial"/>
          <w:b/>
          <w:noProof/>
          <w:sz w:val="20"/>
        </w:rPr>
        <w:t>и</w:t>
      </w:r>
    </w:p>
    <w:p w:rsidR="00275471" w:rsidRDefault="00275471" w:rsidP="00275471">
      <w:pPr>
        <w:jc w:val="center"/>
        <w:rPr>
          <w:rStyle w:val="longtext"/>
          <w:rFonts w:ascii="Arial" w:hAnsi="Arial" w:cs="Arial"/>
          <w:noProof/>
          <w:sz w:val="20"/>
        </w:rPr>
      </w:pPr>
      <w:r>
        <w:rPr>
          <w:rStyle w:val="longtext"/>
          <w:rFonts w:ascii="Arial" w:hAnsi="Arial" w:cs="Arial"/>
          <w:b/>
          <w:noProof/>
          <w:sz w:val="20"/>
        </w:rPr>
        <w:t>я парламент</w:t>
      </w:r>
    </w:p>
    <w:p w:rsidR="00275471" w:rsidRDefault="00275471" w:rsidP="00120AD2">
      <w:pPr>
        <w:jc w:val="both"/>
        <w:rPr>
          <w:rStyle w:val="longtext"/>
          <w:rFonts w:ascii="Arial" w:hAnsi="Arial" w:cs="Arial"/>
          <w:noProof/>
          <w:sz w:val="20"/>
        </w:rPr>
      </w:pPr>
    </w:p>
    <w:p w:rsidR="00120AD2" w:rsidRPr="009203FA" w:rsidRDefault="00E51A6D" w:rsidP="00120AD2">
      <w:pPr>
        <w:jc w:val="both"/>
        <w:rPr>
          <w:rStyle w:val="longtext"/>
          <w:rFonts w:ascii="Arial" w:hAnsi="Arial" w:cs="Arial"/>
          <w:noProof/>
          <w:sz w:val="20"/>
        </w:rPr>
      </w:pPr>
      <w:r>
        <w:rPr>
          <w:rStyle w:val="longtext"/>
          <w:rFonts w:ascii="Arial" w:hAnsi="Arial" w:cs="Arial"/>
          <w:noProof/>
          <w:sz w:val="20"/>
        </w:rPr>
        <w:t xml:space="preserve"> </w:t>
      </w:r>
      <w:r w:rsidR="00120AD2" w:rsidRPr="009203FA">
        <w:rPr>
          <w:rStyle w:val="longtext"/>
          <w:rFonts w:ascii="Arial" w:hAnsi="Arial" w:cs="Arial"/>
          <w:noProof/>
          <w:sz w:val="20"/>
        </w:rPr>
        <w:t xml:space="preserve">„Не трябва да </w:t>
      </w:r>
      <w:r w:rsidR="00596313">
        <w:rPr>
          <w:rStyle w:val="longtext"/>
          <w:rFonts w:ascii="Arial" w:hAnsi="Arial" w:cs="Arial"/>
          <w:noProof/>
          <w:sz w:val="20"/>
        </w:rPr>
        <w:t>обвиняваме</w:t>
      </w:r>
      <w:r w:rsidR="00120AD2" w:rsidRPr="009203FA">
        <w:rPr>
          <w:rStyle w:val="longtext"/>
          <w:rFonts w:ascii="Arial" w:hAnsi="Arial" w:cs="Arial"/>
          <w:noProof/>
          <w:sz w:val="20"/>
        </w:rPr>
        <w:t xml:space="preserve"> земеделския стопанин като замърсител или отровител“, заяви Норберт Линс (ЕНП, Германия), който инициира този пленарен дебат за ролята на фермерите в бъдещата стратегия „От фермата до трапезата“. Той добави, че не е необходимо да се създават „томове забрани“, а по-скоро да се създават стимули за земеделските производители за по-добра защита на околната среда. „Вече имаме най-високите екологични стандарти в света“, отбеляза Линс. Потребителите също трябва да променят нагласите си, тъй като не искат да плащат повече за добри продукти. Европейският комисар по земеделието Януш Войчеховски посочи, че</w:t>
      </w:r>
      <w:r w:rsidR="00A02393">
        <w:rPr>
          <w:rStyle w:val="longtext"/>
          <w:rFonts w:ascii="Arial" w:hAnsi="Arial" w:cs="Arial"/>
          <w:noProof/>
          <w:sz w:val="20"/>
        </w:rPr>
        <w:t xml:space="preserve"> </w:t>
      </w:r>
      <w:r w:rsidR="00120AD2" w:rsidRPr="009203FA">
        <w:rPr>
          <w:rStyle w:val="longtext"/>
          <w:rFonts w:ascii="Arial" w:hAnsi="Arial" w:cs="Arial"/>
          <w:noProof/>
          <w:sz w:val="20"/>
        </w:rPr>
        <w:t xml:space="preserve">всички подробности за тази стратегия </w:t>
      </w:r>
      <w:r w:rsidR="00A02393">
        <w:rPr>
          <w:rStyle w:val="longtext"/>
          <w:rFonts w:ascii="Arial" w:hAnsi="Arial" w:cs="Arial"/>
          <w:noProof/>
          <w:sz w:val="20"/>
        </w:rPr>
        <w:t xml:space="preserve">ще има </w:t>
      </w:r>
      <w:r w:rsidR="00120AD2" w:rsidRPr="009203FA">
        <w:rPr>
          <w:rStyle w:val="longtext"/>
          <w:rFonts w:ascii="Arial" w:hAnsi="Arial" w:cs="Arial"/>
          <w:noProof/>
          <w:sz w:val="20"/>
        </w:rPr>
        <w:t>в края на март. Според него земеделските производители разбират амбицията на Европейския Зелен пакт, който се очаква да доведе до „ограничена“ употреба на антибиотици и химически торове, развитие на биологичното земеделие и „по-добро качество на въздуха и почвата“. „Европейските фермери ще трябва да произвеждат устойчиво и да допринасят за насърчаване на по-доброто здраве на хората и борбата с изменението на климата“, подчерта комисарят</w:t>
      </w:r>
      <w:r w:rsidR="004B46D9">
        <w:rPr>
          <w:rStyle w:val="longtext"/>
          <w:rFonts w:ascii="Arial" w:hAnsi="Arial" w:cs="Arial"/>
          <w:noProof/>
          <w:sz w:val="20"/>
        </w:rPr>
        <w:t xml:space="preserve"> и</w:t>
      </w:r>
      <w:r w:rsidR="00120AD2" w:rsidRPr="009203FA">
        <w:rPr>
          <w:rStyle w:val="longtext"/>
          <w:rFonts w:ascii="Arial" w:hAnsi="Arial" w:cs="Arial"/>
          <w:noProof/>
          <w:sz w:val="20"/>
        </w:rPr>
        <w:t xml:space="preserve"> добави, че „трябва да помогнем на земеделските производители“ да постигнат това. В контекста на преговорите за многогодишната финансова рамка за периода 2021–2027 г. г-н Войчеховски защити „добър бюджет за амбициозна обща селскостопанска политика“. Херберт Дорфман (ЕНП, Италия) предупреди, че тази стратегия не трябва да противоречи на желанията на земеделските производители. „Ако фермерите не участват активно в дебата, тази стратегия ще бъде доведена до катастофа“, прогнозира той. Според него земеделските производители са обвинявани за всички </w:t>
      </w:r>
      <w:r w:rsidR="00A15D87">
        <w:rPr>
          <w:rStyle w:val="longtext"/>
          <w:rFonts w:ascii="Arial" w:hAnsi="Arial" w:cs="Arial"/>
          <w:noProof/>
          <w:sz w:val="20"/>
        </w:rPr>
        <w:t>проблеми</w:t>
      </w:r>
      <w:r w:rsidR="00120AD2" w:rsidRPr="009203FA">
        <w:rPr>
          <w:rStyle w:val="longtext"/>
          <w:rFonts w:ascii="Arial" w:hAnsi="Arial" w:cs="Arial"/>
          <w:noProof/>
          <w:sz w:val="20"/>
        </w:rPr>
        <w:t xml:space="preserve"> (загуба на биоразнообразие, изменение на климата, използване на химикали и др.), но на място „реалността е различна“. Г-н Дорфман посочи, че можем да мислим за използването на по-малко пестициди и торове, но трябва да видим напредък</w:t>
      </w:r>
      <w:r w:rsidR="00A15D87">
        <w:rPr>
          <w:rStyle w:val="longtext"/>
          <w:rFonts w:ascii="Arial" w:hAnsi="Arial" w:cs="Arial"/>
          <w:noProof/>
          <w:sz w:val="20"/>
        </w:rPr>
        <w:t>ът</w:t>
      </w:r>
      <w:r w:rsidR="00120AD2" w:rsidRPr="009203FA">
        <w:rPr>
          <w:rStyle w:val="longtext"/>
          <w:rFonts w:ascii="Arial" w:hAnsi="Arial" w:cs="Arial"/>
          <w:noProof/>
          <w:sz w:val="20"/>
        </w:rPr>
        <w:t xml:space="preserve">, който може да бъде постигнат чрез иновации. </w:t>
      </w:r>
      <w:r w:rsidR="00117A81">
        <w:rPr>
          <w:rStyle w:val="longtext"/>
          <w:rFonts w:ascii="Arial" w:hAnsi="Arial" w:cs="Arial"/>
          <w:noProof/>
          <w:sz w:val="20"/>
        </w:rPr>
        <w:t>Според</w:t>
      </w:r>
      <w:r w:rsidR="00120AD2" w:rsidRPr="009203FA">
        <w:rPr>
          <w:rStyle w:val="longtext"/>
          <w:rFonts w:ascii="Arial" w:hAnsi="Arial" w:cs="Arial"/>
          <w:noProof/>
          <w:sz w:val="20"/>
        </w:rPr>
        <w:t xml:space="preserve"> Паоло де Кастро (СД, Италия) е необходимо да има не само добре финансирана ОСП, но и „иновативни инициативи“ (замяна на химикали). Дачиан Чолош („Обнови Европа“, Румъния) заяви, че селското стопанство трябва да се счита за икономическа и социална цел. Той заяви, че Зеленият пакт ще бъде провал без участието на фермерите. Оттук и необходимостта да се гарантират повече доходи за фермерите. Той се застъпи за истински „инвестиционен план“ и смята, че стратегията „От фермата до трапезата“ няма да успее, ако фокусът е насочен само към пестицидите и химикалите. „Трябва да направим ОСП по-устойчива и по-екологична“, аргументира се Сара Винер (Зелени/ЕСА, Германия). Според нея тази стратегия представлява „последният шанс за реформа на ОСП“. От партията на европейските консерватори и реформисти считат планираното съкращаване на финансирането на ОСП след 2020 г. за „неприемливо“ и призовават за повече финансиране за участващите в стратегията. От холандското представителство на Конфедерална група на Европейската обединена левица/Северна зелена левица се застъпиха за премахване на селскостопанските субсидии.</w:t>
      </w:r>
    </w:p>
    <w:p w:rsidR="001B1430" w:rsidRPr="009203FA" w:rsidRDefault="001B1430" w:rsidP="00120A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noProof/>
          <w:sz w:val="20"/>
        </w:rPr>
      </w:pPr>
    </w:p>
    <w:p w:rsidR="0001496E" w:rsidRPr="009203FA" w:rsidRDefault="0001496E" w:rsidP="00120AD2">
      <w:pPr>
        <w:jc w:val="both"/>
        <w:rPr>
          <w:rStyle w:val="longtext"/>
          <w:noProof/>
        </w:rPr>
      </w:pPr>
    </w:p>
    <w:sectPr w:rsidR="0001496E" w:rsidRPr="009203FA" w:rsidSect="00852688">
      <w:headerReference w:type="default" r:id="rId11"/>
      <w:footerReference w:type="even" r:id="rId12"/>
      <w:footerReference w:type="default" r:id="rId13"/>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884" w:rsidRDefault="005B1884">
      <w:r>
        <w:separator/>
      </w:r>
    </w:p>
  </w:endnote>
  <w:endnote w:type="continuationSeparator" w:id="0">
    <w:p w:rsidR="005B1884" w:rsidRDefault="005B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5B18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5B1884" w:rsidP="004B3CB3">
    <w:pPr>
      <w:pStyle w:val="Footer"/>
      <w:pBdr>
        <w:bottom w:val="single" w:sz="4" w:space="1" w:color="7030A0"/>
      </w:pBdr>
      <w:ind w:right="-23"/>
      <w:rPr>
        <w:rFonts w:ascii="Arial" w:hAnsi="Arial"/>
        <w:i/>
        <w:iCs/>
        <w:color w:val="800080"/>
        <w:sz w:val="18"/>
        <w:szCs w:val="18"/>
        <w:lang w:val="en-US"/>
      </w:rPr>
    </w:pPr>
  </w:p>
  <w:p w:rsidR="00AB2303" w:rsidRPr="004B3CB3" w:rsidRDefault="00403CB9" w:rsidP="00AB230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p>
  <w:p w:rsidR="004B3CB3" w:rsidRPr="004B3CB3" w:rsidRDefault="00403CB9" w:rsidP="004B3CB3">
    <w:pPr>
      <w:pStyle w:val="Footer"/>
      <w:ind w:right="-23"/>
      <w:rPr>
        <w:rFonts w:ascii="Arial" w:hAnsi="Arial"/>
        <w:i/>
        <w:iCs/>
        <w:color w:val="800080"/>
        <w:sz w:val="18"/>
        <w:szCs w:val="18"/>
        <w:lang w:val="ru-RU"/>
      </w:rPr>
    </w:pP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F30D26">
      <w:rPr>
        <w:rFonts w:ascii="Arial" w:hAnsi="Arial"/>
        <w:i/>
        <w:iCs/>
        <w:noProof/>
        <w:color w:val="800080"/>
        <w:sz w:val="18"/>
        <w:szCs w:val="18"/>
      </w:rPr>
      <w:t>2</w:t>
    </w:r>
    <w:r w:rsidRPr="004B3CB3">
      <w:rPr>
        <w:rFonts w:ascii="Arial" w:hAnsi="Arial"/>
        <w:i/>
        <w:iCs/>
        <w:color w:val="800080"/>
        <w:sz w:val="18"/>
        <w:szCs w:val="18"/>
      </w:rPr>
      <w:fldChar w:fldCharType="end"/>
    </w:r>
  </w:p>
  <w:p w:rsidR="005618E1" w:rsidRPr="004B3CB3" w:rsidRDefault="005B1884">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884" w:rsidRDefault="005B1884">
      <w:r>
        <w:separator/>
      </w:r>
    </w:p>
  </w:footnote>
  <w:footnote w:type="continuationSeparator" w:id="0">
    <w:p w:rsidR="005B1884" w:rsidRDefault="005B1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72410E92" wp14:editId="44D8FB36">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5B1884"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rsidR="005618E1" w:rsidRDefault="005B1884">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40</w:t>
    </w:r>
    <w:r w:rsidR="001B1430">
      <w:rPr>
        <w:rFonts w:ascii="Arial" w:hAnsi="Arial"/>
        <w:b/>
        <w:bCs/>
        <w:color w:val="800080"/>
        <w:sz w:val="20"/>
      </w:rPr>
      <w:t>7</w:t>
    </w:r>
    <w:r>
      <w:rPr>
        <w:rFonts w:ascii="Arial" w:hAnsi="Arial"/>
        <w:b/>
        <w:bCs/>
        <w:color w:val="800080"/>
        <w:sz w:val="20"/>
      </w:rPr>
      <w:t>/</w:t>
    </w:r>
    <w:r w:rsidR="000B7B54">
      <w:rPr>
        <w:rFonts w:ascii="Arial" w:hAnsi="Arial"/>
        <w:b/>
        <w:bCs/>
        <w:color w:val="800080"/>
        <w:sz w:val="20"/>
        <w:lang w:val="en-US"/>
      </w:rPr>
      <w:t>1</w:t>
    </w:r>
    <w:r w:rsidR="001B1430">
      <w:rPr>
        <w:rFonts w:ascii="Arial" w:hAnsi="Arial"/>
        <w:b/>
        <w:bCs/>
        <w:color w:val="800080"/>
        <w:sz w:val="20"/>
      </w:rPr>
      <w:t>7</w:t>
    </w:r>
    <w:r w:rsidR="006E7A46">
      <w:rPr>
        <w:rFonts w:ascii="Arial" w:hAnsi="Arial"/>
        <w:b/>
        <w:bCs/>
        <w:color w:val="800080"/>
        <w:sz w:val="20"/>
        <w:lang w:val="en-US"/>
      </w:rPr>
      <w:t>.</w:t>
    </w:r>
    <w:r w:rsidR="002C512F">
      <w:rPr>
        <w:rFonts w:ascii="Arial" w:hAnsi="Arial"/>
        <w:b/>
        <w:bCs/>
        <w:color w:val="800080"/>
        <w:sz w:val="20"/>
        <w:lang w:val="en-US"/>
      </w:rPr>
      <w:t>02</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1496E"/>
    <w:rsid w:val="0002497A"/>
    <w:rsid w:val="00024DB1"/>
    <w:rsid w:val="00032EDB"/>
    <w:rsid w:val="00046BB0"/>
    <w:rsid w:val="00046D50"/>
    <w:rsid w:val="00050832"/>
    <w:rsid w:val="0005714A"/>
    <w:rsid w:val="0006687D"/>
    <w:rsid w:val="000678FD"/>
    <w:rsid w:val="0007208A"/>
    <w:rsid w:val="00081DAE"/>
    <w:rsid w:val="00091CD4"/>
    <w:rsid w:val="000A31F0"/>
    <w:rsid w:val="000B2026"/>
    <w:rsid w:val="000B7B54"/>
    <w:rsid w:val="001164FC"/>
    <w:rsid w:val="001173C3"/>
    <w:rsid w:val="00117A81"/>
    <w:rsid w:val="00120AD2"/>
    <w:rsid w:val="00131A6D"/>
    <w:rsid w:val="00134872"/>
    <w:rsid w:val="0013606E"/>
    <w:rsid w:val="0014608C"/>
    <w:rsid w:val="001639CC"/>
    <w:rsid w:val="00173E25"/>
    <w:rsid w:val="00180441"/>
    <w:rsid w:val="00186654"/>
    <w:rsid w:val="00193EEE"/>
    <w:rsid w:val="001A6A7A"/>
    <w:rsid w:val="001B1430"/>
    <w:rsid w:val="001B5399"/>
    <w:rsid w:val="001C3F62"/>
    <w:rsid w:val="001E1EAA"/>
    <w:rsid w:val="001E1F98"/>
    <w:rsid w:val="001E4050"/>
    <w:rsid w:val="001E4C01"/>
    <w:rsid w:val="001F2EC7"/>
    <w:rsid w:val="001F396B"/>
    <w:rsid w:val="00210721"/>
    <w:rsid w:val="002118F6"/>
    <w:rsid w:val="002163C0"/>
    <w:rsid w:val="00221CDF"/>
    <w:rsid w:val="0024546F"/>
    <w:rsid w:val="002521C1"/>
    <w:rsid w:val="002610A9"/>
    <w:rsid w:val="002653C2"/>
    <w:rsid w:val="00274F4E"/>
    <w:rsid w:val="00275471"/>
    <w:rsid w:val="00285183"/>
    <w:rsid w:val="0029075B"/>
    <w:rsid w:val="002918DE"/>
    <w:rsid w:val="0029220D"/>
    <w:rsid w:val="002A2C5F"/>
    <w:rsid w:val="002A5150"/>
    <w:rsid w:val="002A6A4C"/>
    <w:rsid w:val="002B379D"/>
    <w:rsid w:val="002B44DA"/>
    <w:rsid w:val="002C21A3"/>
    <w:rsid w:val="002C512F"/>
    <w:rsid w:val="002C6EFE"/>
    <w:rsid w:val="002D0216"/>
    <w:rsid w:val="002D1A87"/>
    <w:rsid w:val="002D25F9"/>
    <w:rsid w:val="002D4BE9"/>
    <w:rsid w:val="002F1104"/>
    <w:rsid w:val="002F6211"/>
    <w:rsid w:val="002F7E40"/>
    <w:rsid w:val="00300FA3"/>
    <w:rsid w:val="00303C35"/>
    <w:rsid w:val="00304D05"/>
    <w:rsid w:val="00312DA6"/>
    <w:rsid w:val="00313FBA"/>
    <w:rsid w:val="00320AF0"/>
    <w:rsid w:val="0033369E"/>
    <w:rsid w:val="00353ACF"/>
    <w:rsid w:val="003877CA"/>
    <w:rsid w:val="003952CE"/>
    <w:rsid w:val="00396C28"/>
    <w:rsid w:val="003A56BA"/>
    <w:rsid w:val="003B7AAB"/>
    <w:rsid w:val="003C0E47"/>
    <w:rsid w:val="003C1BFF"/>
    <w:rsid w:val="003C3DEB"/>
    <w:rsid w:val="003D0C6C"/>
    <w:rsid w:val="003D4968"/>
    <w:rsid w:val="003D5B7F"/>
    <w:rsid w:val="003D6634"/>
    <w:rsid w:val="003E0404"/>
    <w:rsid w:val="003E118D"/>
    <w:rsid w:val="003E5CB2"/>
    <w:rsid w:val="00403CB9"/>
    <w:rsid w:val="00411829"/>
    <w:rsid w:val="004133A8"/>
    <w:rsid w:val="00422311"/>
    <w:rsid w:val="0044148C"/>
    <w:rsid w:val="00446398"/>
    <w:rsid w:val="0046415A"/>
    <w:rsid w:val="004923C1"/>
    <w:rsid w:val="00496775"/>
    <w:rsid w:val="004A0254"/>
    <w:rsid w:val="004A4C92"/>
    <w:rsid w:val="004B46D9"/>
    <w:rsid w:val="004F4705"/>
    <w:rsid w:val="004F5E4F"/>
    <w:rsid w:val="00502A0A"/>
    <w:rsid w:val="005179AD"/>
    <w:rsid w:val="005247A5"/>
    <w:rsid w:val="0052706F"/>
    <w:rsid w:val="00530C09"/>
    <w:rsid w:val="00537A32"/>
    <w:rsid w:val="00542DE9"/>
    <w:rsid w:val="00562C02"/>
    <w:rsid w:val="00563064"/>
    <w:rsid w:val="00594324"/>
    <w:rsid w:val="00596313"/>
    <w:rsid w:val="005A0184"/>
    <w:rsid w:val="005B1884"/>
    <w:rsid w:val="005B4574"/>
    <w:rsid w:val="005C1BB7"/>
    <w:rsid w:val="00623765"/>
    <w:rsid w:val="00626A3F"/>
    <w:rsid w:val="00627881"/>
    <w:rsid w:val="006367A9"/>
    <w:rsid w:val="00642BB6"/>
    <w:rsid w:val="0066444F"/>
    <w:rsid w:val="00682667"/>
    <w:rsid w:val="006961F0"/>
    <w:rsid w:val="006A094F"/>
    <w:rsid w:val="006A7391"/>
    <w:rsid w:val="006A739D"/>
    <w:rsid w:val="006C196D"/>
    <w:rsid w:val="006E7A46"/>
    <w:rsid w:val="006F38F7"/>
    <w:rsid w:val="0070200F"/>
    <w:rsid w:val="00705B40"/>
    <w:rsid w:val="00713942"/>
    <w:rsid w:val="00714838"/>
    <w:rsid w:val="00726AB6"/>
    <w:rsid w:val="00734448"/>
    <w:rsid w:val="00750FB4"/>
    <w:rsid w:val="007712FE"/>
    <w:rsid w:val="00782D3D"/>
    <w:rsid w:val="007846E5"/>
    <w:rsid w:val="007A388B"/>
    <w:rsid w:val="007A70E6"/>
    <w:rsid w:val="007B03F2"/>
    <w:rsid w:val="007B0CB0"/>
    <w:rsid w:val="007D7438"/>
    <w:rsid w:val="007E475C"/>
    <w:rsid w:val="007F4E89"/>
    <w:rsid w:val="008030C3"/>
    <w:rsid w:val="00811B89"/>
    <w:rsid w:val="00816686"/>
    <w:rsid w:val="0082007C"/>
    <w:rsid w:val="008206C1"/>
    <w:rsid w:val="0083184F"/>
    <w:rsid w:val="0083232B"/>
    <w:rsid w:val="00845489"/>
    <w:rsid w:val="00852DE4"/>
    <w:rsid w:val="00861450"/>
    <w:rsid w:val="00865E24"/>
    <w:rsid w:val="0087702E"/>
    <w:rsid w:val="0087763E"/>
    <w:rsid w:val="008803A4"/>
    <w:rsid w:val="008836F2"/>
    <w:rsid w:val="008933AB"/>
    <w:rsid w:val="008A1360"/>
    <w:rsid w:val="008B2118"/>
    <w:rsid w:val="008D0E78"/>
    <w:rsid w:val="008D2FF4"/>
    <w:rsid w:val="008E0F81"/>
    <w:rsid w:val="008F7ECC"/>
    <w:rsid w:val="009063C7"/>
    <w:rsid w:val="00910462"/>
    <w:rsid w:val="009203FA"/>
    <w:rsid w:val="00934FA6"/>
    <w:rsid w:val="009355BA"/>
    <w:rsid w:val="00956512"/>
    <w:rsid w:val="009704A2"/>
    <w:rsid w:val="00977CA7"/>
    <w:rsid w:val="0099695D"/>
    <w:rsid w:val="009A2752"/>
    <w:rsid w:val="009A5D09"/>
    <w:rsid w:val="009B1FAD"/>
    <w:rsid w:val="009D0924"/>
    <w:rsid w:val="009D6F1E"/>
    <w:rsid w:val="009E45D3"/>
    <w:rsid w:val="009E6BDB"/>
    <w:rsid w:val="009F4E95"/>
    <w:rsid w:val="009F7022"/>
    <w:rsid w:val="00A02393"/>
    <w:rsid w:val="00A1170C"/>
    <w:rsid w:val="00A15D87"/>
    <w:rsid w:val="00A227FC"/>
    <w:rsid w:val="00A447C0"/>
    <w:rsid w:val="00A56825"/>
    <w:rsid w:val="00A673EB"/>
    <w:rsid w:val="00A74737"/>
    <w:rsid w:val="00A77EC5"/>
    <w:rsid w:val="00AB140A"/>
    <w:rsid w:val="00AB1841"/>
    <w:rsid w:val="00AB2303"/>
    <w:rsid w:val="00AC73DE"/>
    <w:rsid w:val="00AD504F"/>
    <w:rsid w:val="00AE0D25"/>
    <w:rsid w:val="00AE14FF"/>
    <w:rsid w:val="00AE2FF4"/>
    <w:rsid w:val="00B03285"/>
    <w:rsid w:val="00B16835"/>
    <w:rsid w:val="00B200ED"/>
    <w:rsid w:val="00B34793"/>
    <w:rsid w:val="00B36E39"/>
    <w:rsid w:val="00B539A9"/>
    <w:rsid w:val="00B6207E"/>
    <w:rsid w:val="00B64F87"/>
    <w:rsid w:val="00B73DA3"/>
    <w:rsid w:val="00B81125"/>
    <w:rsid w:val="00B8112B"/>
    <w:rsid w:val="00B853D4"/>
    <w:rsid w:val="00B90317"/>
    <w:rsid w:val="00B93F21"/>
    <w:rsid w:val="00BC35B8"/>
    <w:rsid w:val="00BC70E2"/>
    <w:rsid w:val="00BE55CA"/>
    <w:rsid w:val="00BF118B"/>
    <w:rsid w:val="00BF28EC"/>
    <w:rsid w:val="00C00F88"/>
    <w:rsid w:val="00C05E95"/>
    <w:rsid w:val="00C20809"/>
    <w:rsid w:val="00C3643A"/>
    <w:rsid w:val="00C37B23"/>
    <w:rsid w:val="00C44608"/>
    <w:rsid w:val="00C574EE"/>
    <w:rsid w:val="00C60D17"/>
    <w:rsid w:val="00C6312D"/>
    <w:rsid w:val="00C718EB"/>
    <w:rsid w:val="00C7577F"/>
    <w:rsid w:val="00CA35A8"/>
    <w:rsid w:val="00CA7960"/>
    <w:rsid w:val="00CB196D"/>
    <w:rsid w:val="00CB2886"/>
    <w:rsid w:val="00CC7CF0"/>
    <w:rsid w:val="00CE5E69"/>
    <w:rsid w:val="00CF0DEA"/>
    <w:rsid w:val="00D000AE"/>
    <w:rsid w:val="00D100BD"/>
    <w:rsid w:val="00D1195A"/>
    <w:rsid w:val="00D167B1"/>
    <w:rsid w:val="00D25C9A"/>
    <w:rsid w:val="00D3159B"/>
    <w:rsid w:val="00D32B06"/>
    <w:rsid w:val="00D43BBD"/>
    <w:rsid w:val="00D61B59"/>
    <w:rsid w:val="00D6359C"/>
    <w:rsid w:val="00D758EF"/>
    <w:rsid w:val="00D80D84"/>
    <w:rsid w:val="00D8519B"/>
    <w:rsid w:val="00D86732"/>
    <w:rsid w:val="00DA44A9"/>
    <w:rsid w:val="00DA4860"/>
    <w:rsid w:val="00DC5A8E"/>
    <w:rsid w:val="00DE752F"/>
    <w:rsid w:val="00DF7E91"/>
    <w:rsid w:val="00E02B6A"/>
    <w:rsid w:val="00E17E07"/>
    <w:rsid w:val="00E2125A"/>
    <w:rsid w:val="00E23670"/>
    <w:rsid w:val="00E24FA2"/>
    <w:rsid w:val="00E256E7"/>
    <w:rsid w:val="00E35D6F"/>
    <w:rsid w:val="00E4290A"/>
    <w:rsid w:val="00E44DF1"/>
    <w:rsid w:val="00E47639"/>
    <w:rsid w:val="00E51A6D"/>
    <w:rsid w:val="00E5449B"/>
    <w:rsid w:val="00E6099A"/>
    <w:rsid w:val="00E60B1D"/>
    <w:rsid w:val="00E67885"/>
    <w:rsid w:val="00EA4B29"/>
    <w:rsid w:val="00EA4B99"/>
    <w:rsid w:val="00EA5878"/>
    <w:rsid w:val="00EB0F17"/>
    <w:rsid w:val="00EB289B"/>
    <w:rsid w:val="00EB783C"/>
    <w:rsid w:val="00EC0DDC"/>
    <w:rsid w:val="00EC4213"/>
    <w:rsid w:val="00EC6BA3"/>
    <w:rsid w:val="00EE1065"/>
    <w:rsid w:val="00EE38E7"/>
    <w:rsid w:val="00EE7B1B"/>
    <w:rsid w:val="00F0360F"/>
    <w:rsid w:val="00F12C83"/>
    <w:rsid w:val="00F23EFD"/>
    <w:rsid w:val="00F30D26"/>
    <w:rsid w:val="00F40970"/>
    <w:rsid w:val="00F4416D"/>
    <w:rsid w:val="00F531AD"/>
    <w:rsid w:val="00F6008B"/>
    <w:rsid w:val="00F67B7A"/>
    <w:rsid w:val="00F70B6C"/>
    <w:rsid w:val="00F72B07"/>
    <w:rsid w:val="00F73C4B"/>
    <w:rsid w:val="00F74337"/>
    <w:rsid w:val="00FD4196"/>
    <w:rsid w:val="00FE14C1"/>
    <w:rsid w:val="00FE657F"/>
    <w:rsid w:val="00FF041A"/>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eca.europa.eu/lists/ecadocuments/sr20_05/sr_pesticides_en.pdf" TargetMode="External"/><Relationship Id="rId4" Type="http://schemas.microsoft.com/office/2007/relationships/stylesWithEffects" Target="stylesWithEffects.xml"/><Relationship Id="rId9" Type="http://schemas.openxmlformats.org/officeDocument/2006/relationships/hyperlink" Target="https://www.biogea-project.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27FC4-DEAE-496C-A4E0-58D2DCBC2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2901</Words>
  <Characters>16540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3</cp:revision>
  <dcterms:created xsi:type="dcterms:W3CDTF">2020-02-17T15:43:00Z</dcterms:created>
  <dcterms:modified xsi:type="dcterms:W3CDTF">2020-02-17T15:44:00Z</dcterms:modified>
</cp:coreProperties>
</file>