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8FA" w:rsidRDefault="00840187" w:rsidP="00B87D53">
      <w:pPr>
        <w:pStyle w:val="1"/>
        <w:ind w:left="1520" w:firstLine="0"/>
      </w:pPr>
      <w:r>
        <w:rPr>
          <w:noProof/>
          <w:lang w:eastAsia="bg-BG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1190625</wp:posOffset>
            </wp:positionH>
            <wp:positionV relativeFrom="paragraph">
              <wp:posOffset>-53975</wp:posOffset>
            </wp:positionV>
            <wp:extent cx="771525" cy="742950"/>
            <wp:effectExtent l="0" t="0" r="9525" b="0"/>
            <wp:wrapNone/>
            <wp:docPr id="1" name="image1.jpeg" descr="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РЕПУБЛИКА БЪЛГАРИЯ</w:t>
      </w:r>
    </w:p>
    <w:p w:rsidR="007608FA" w:rsidRDefault="00840187" w:rsidP="00B961FD">
      <w:pPr>
        <w:spacing w:line="312" w:lineRule="auto"/>
        <w:ind w:left="1520" w:right="2495"/>
        <w:rPr>
          <w:b/>
          <w:sz w:val="24"/>
        </w:rPr>
      </w:pPr>
      <w:r>
        <w:rPr>
          <w:b/>
          <w:sz w:val="24"/>
        </w:rPr>
        <w:t xml:space="preserve">Министерство на земеделието, храните и горите Областна дирекция “Земеделие” </w:t>
      </w:r>
      <w:r w:rsidR="00B87D53">
        <w:rPr>
          <w:b/>
          <w:sz w:val="24"/>
        </w:rPr>
        <w:t>- Перник</w:t>
      </w:r>
    </w:p>
    <w:p w:rsidR="007608FA" w:rsidRDefault="007608FA">
      <w:pPr>
        <w:pStyle w:val="a3"/>
        <w:ind w:left="0" w:firstLine="0"/>
        <w:rPr>
          <w:b/>
          <w:sz w:val="26"/>
        </w:rPr>
      </w:pPr>
    </w:p>
    <w:p w:rsidR="007608FA" w:rsidRDefault="007608FA">
      <w:pPr>
        <w:pStyle w:val="a3"/>
        <w:ind w:left="0" w:firstLine="0"/>
        <w:rPr>
          <w:b/>
          <w:sz w:val="26"/>
        </w:rPr>
      </w:pPr>
    </w:p>
    <w:p w:rsidR="007608FA" w:rsidRDefault="00840187">
      <w:pPr>
        <w:spacing w:before="225"/>
        <w:ind w:left="1645" w:right="810"/>
        <w:jc w:val="center"/>
        <w:rPr>
          <w:b/>
          <w:sz w:val="24"/>
        </w:rPr>
      </w:pPr>
      <w:r>
        <w:rPr>
          <w:b/>
          <w:sz w:val="24"/>
        </w:rPr>
        <w:t>СТАНДАРТИ ЗА КАЧЕСТВО НА АДМИНИСТРАТИВНОТО</w:t>
      </w:r>
    </w:p>
    <w:p w:rsidR="007608FA" w:rsidRDefault="00840187">
      <w:pPr>
        <w:ind w:left="804" w:right="810"/>
        <w:jc w:val="center"/>
        <w:rPr>
          <w:b/>
          <w:sz w:val="24"/>
        </w:rPr>
      </w:pPr>
      <w:r>
        <w:rPr>
          <w:b/>
          <w:sz w:val="24"/>
        </w:rPr>
        <w:t>ОБСЛУЖВАНЕ</w:t>
      </w:r>
    </w:p>
    <w:p w:rsidR="007608FA" w:rsidRDefault="007608FA">
      <w:pPr>
        <w:pStyle w:val="a3"/>
        <w:spacing w:before="2"/>
        <w:ind w:left="0" w:firstLine="0"/>
        <w:rPr>
          <w:b/>
          <w:sz w:val="16"/>
        </w:rPr>
      </w:pPr>
    </w:p>
    <w:p w:rsidR="007608FA" w:rsidRDefault="00840187" w:rsidP="0053659A">
      <w:pPr>
        <w:pStyle w:val="a4"/>
        <w:numPr>
          <w:ilvl w:val="0"/>
          <w:numId w:val="3"/>
        </w:numPr>
        <w:tabs>
          <w:tab w:val="left" w:pos="1194"/>
        </w:tabs>
        <w:spacing w:before="90"/>
        <w:ind w:right="76" w:firstLine="851"/>
        <w:rPr>
          <w:b/>
          <w:sz w:val="24"/>
        </w:rPr>
      </w:pPr>
      <w:r>
        <w:rPr>
          <w:b/>
          <w:sz w:val="24"/>
        </w:rPr>
        <w:t>Стандарт за единно наименование на Центъра за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административно</w:t>
      </w:r>
      <w:r w:rsidR="0053659A">
        <w:rPr>
          <w:b/>
          <w:sz w:val="24"/>
        </w:rPr>
        <w:t xml:space="preserve"> </w:t>
      </w:r>
      <w:r>
        <w:rPr>
          <w:b/>
          <w:sz w:val="24"/>
        </w:rPr>
        <w:t>обслужване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(ЦАО):</w:t>
      </w:r>
    </w:p>
    <w:p w:rsidR="007608FA" w:rsidRDefault="00840187" w:rsidP="00DB62A2">
      <w:pPr>
        <w:pStyle w:val="a3"/>
        <w:ind w:right="76"/>
        <w:jc w:val="both"/>
      </w:pPr>
      <w:r>
        <w:t>За обозначаване на мястото за предоставяне на административни услуги се използва наименованието "Център за административно обслужване".</w:t>
      </w:r>
    </w:p>
    <w:p w:rsidR="007608FA" w:rsidRDefault="00840187" w:rsidP="009C48A7">
      <w:pPr>
        <w:pStyle w:val="a3"/>
        <w:ind w:right="-66"/>
      </w:pPr>
      <w:r>
        <w:t>Същото наименование се използва в указателните табели за местонахождението на ЦАО и тези в ЦАО, на интернет страниците на администрациите, в документи, брошури и/или в други материали.</w:t>
      </w:r>
    </w:p>
    <w:p w:rsidR="009C48A7" w:rsidRDefault="009C48A7" w:rsidP="009C48A7">
      <w:pPr>
        <w:pStyle w:val="a3"/>
        <w:ind w:right="76"/>
        <w:jc w:val="both"/>
      </w:pPr>
      <w:r w:rsidRPr="009C48A7">
        <w:t>Когато числеността на администрацията не е достатъчна за обособяване на самостоятелно звено за административно обслужване, функциите му се осъществяват от служители от общата администрация, чиито длъжностни характеристики включват обвързани компетентности и задължения във връзка с административното обслужване, и/или от служители от специализираната администрация на мястото, обозначено за административно обслужване.</w:t>
      </w:r>
    </w:p>
    <w:p w:rsidR="007608FA" w:rsidRDefault="00840187" w:rsidP="009C48A7">
      <w:pPr>
        <w:pStyle w:val="1"/>
        <w:numPr>
          <w:ilvl w:val="0"/>
          <w:numId w:val="3"/>
        </w:numPr>
        <w:tabs>
          <w:tab w:val="left" w:pos="1194"/>
          <w:tab w:val="left" w:pos="8931"/>
        </w:tabs>
        <w:spacing w:before="1"/>
        <w:ind w:right="76" w:firstLine="851"/>
        <w:jc w:val="both"/>
      </w:pPr>
      <w:r>
        <w:t>Стандарт за осигуряване на подходящи условия и достъпност до и във служебните помещения, в които се осъществява административно</w:t>
      </w:r>
      <w:r>
        <w:rPr>
          <w:spacing w:val="-30"/>
        </w:rPr>
        <w:t xml:space="preserve"> </w:t>
      </w:r>
      <w:r>
        <w:t>обслужване:</w:t>
      </w:r>
    </w:p>
    <w:p w:rsidR="007608FA" w:rsidRDefault="00840187" w:rsidP="009C48A7">
      <w:pPr>
        <w:pStyle w:val="a3"/>
        <w:ind w:right="127"/>
        <w:jc w:val="both"/>
      </w:pPr>
      <w:r>
        <w:t>Служебните помещения, в които се осъществява административно обслужване, имат осигурени:</w:t>
      </w:r>
    </w:p>
    <w:p w:rsidR="007608FA" w:rsidRDefault="00840187" w:rsidP="009C48A7">
      <w:pPr>
        <w:pStyle w:val="a3"/>
        <w:ind w:right="167"/>
        <w:jc w:val="both"/>
      </w:pPr>
      <w:r>
        <w:t>а) удобен и лесен достъп, за който се изграждат и/или се използват елементи за адаптиране на служебните помещения и достъпа до тях;</w:t>
      </w:r>
    </w:p>
    <w:p w:rsidR="009C48A7" w:rsidRDefault="00840187" w:rsidP="009C48A7">
      <w:pPr>
        <w:pStyle w:val="a3"/>
        <w:ind w:right="76"/>
        <w:jc w:val="both"/>
      </w:pPr>
      <w:r>
        <w:t xml:space="preserve">б) подходящи условия за възрастни хора, бременни жени, хора с увреждания, хора с намалена подвижност и/или със затруднения в придвижването, родители или придружители на малки деца; такива подходящи условия са: оформление на пространствата в помещенията, позволяващо свободно придвижване с инвалидни и/или детски колички, места за сядане, места за попълване и подаване на заявления/искания, </w:t>
      </w:r>
      <w:r w:rsidR="009C48A7">
        <w:t>п</w:t>
      </w:r>
      <w:r>
        <w:t>олучаване на документи и информация, места за плащане и други, които са</w:t>
      </w:r>
      <w:r w:rsidR="009C48A7">
        <w:t xml:space="preserve"> </w:t>
      </w:r>
      <w:r>
        <w:t xml:space="preserve">съобразени с потребностите на съответните потребители, и са обозначени за тях; </w:t>
      </w:r>
    </w:p>
    <w:p w:rsidR="007608FA" w:rsidRDefault="00840187" w:rsidP="009C48A7">
      <w:pPr>
        <w:pStyle w:val="a3"/>
        <w:ind w:right="76"/>
        <w:jc w:val="both"/>
      </w:pPr>
      <w:r>
        <w:t>в) достатъчно широки пространства за изчакване на реда с осигурена</w:t>
      </w:r>
      <w:r w:rsidR="009C48A7">
        <w:t xml:space="preserve"> </w:t>
      </w:r>
      <w:r>
        <w:t>възможност: за сядане на не по-малко от 4 потребители, за попълване и окомплектоване на заявления/искания с осигурени поне една маса, бюро или плот, както и за подаване на заявления/искания, с обща площ не по-малко от 12 кв. м;</w:t>
      </w:r>
    </w:p>
    <w:p w:rsidR="007608FA" w:rsidRDefault="00840187" w:rsidP="009C48A7">
      <w:pPr>
        <w:pStyle w:val="a3"/>
        <w:ind w:right="76"/>
        <w:jc w:val="both"/>
      </w:pPr>
      <w:r>
        <w:t>г) осветление, покриващо всички зони</w:t>
      </w:r>
      <w:r w:rsidR="009C48A7">
        <w:t xml:space="preserve"> във вътрешните пространства на </w:t>
      </w:r>
      <w:r>
        <w:t>помещенията, с брой и разположение на осветителните тела, които осигуряват достъпност на обслужването и на информацията във всички помещения;</w:t>
      </w:r>
    </w:p>
    <w:p w:rsidR="007608FA" w:rsidRDefault="00840187" w:rsidP="009C48A7">
      <w:pPr>
        <w:pStyle w:val="a3"/>
        <w:ind w:left="954" w:firstLine="0"/>
        <w:jc w:val="both"/>
      </w:pPr>
      <w:r>
        <w:t>д) питейна вода;</w:t>
      </w:r>
    </w:p>
    <w:p w:rsidR="007608FA" w:rsidRDefault="00840187" w:rsidP="009C48A7">
      <w:pPr>
        <w:pStyle w:val="a3"/>
        <w:ind w:left="954" w:firstLine="0"/>
        <w:jc w:val="both"/>
      </w:pPr>
      <w:r>
        <w:t>е) възможност за ползване на тоалетна.</w:t>
      </w:r>
    </w:p>
    <w:p w:rsidR="007608FA" w:rsidRDefault="00840187" w:rsidP="009C48A7">
      <w:pPr>
        <w:pStyle w:val="1"/>
        <w:numPr>
          <w:ilvl w:val="0"/>
          <w:numId w:val="3"/>
        </w:numPr>
        <w:tabs>
          <w:tab w:val="left" w:pos="1194"/>
        </w:tabs>
        <w:spacing w:before="1"/>
        <w:ind w:right="76" w:firstLine="851"/>
        <w:jc w:val="both"/>
      </w:pPr>
      <w:r>
        <w:t>Стандарт за указателни табели за местонахождението на ЦАО и указателни табели в ЦАО и/или в служебните помещения, в които се осъществява административното</w:t>
      </w:r>
      <w:r>
        <w:rPr>
          <w:spacing w:val="-1"/>
        </w:rPr>
        <w:t xml:space="preserve"> </w:t>
      </w:r>
      <w:r>
        <w:t>обслужване:</w:t>
      </w:r>
    </w:p>
    <w:p w:rsidR="007608FA" w:rsidRDefault="00840187" w:rsidP="009C48A7">
      <w:pPr>
        <w:pStyle w:val="a3"/>
        <w:ind w:right="76"/>
        <w:jc w:val="both"/>
      </w:pPr>
      <w:r>
        <w:t>Поставят се указателни табели за местонахождението на ЦАО и указателни табели в ЦАО и/или в служебните помещения, в които се осъществява</w:t>
      </w:r>
      <w:r w:rsidR="009C48A7">
        <w:t xml:space="preserve"> </w:t>
      </w:r>
      <w:r>
        <w:t>административното обслужване, при спазване на следните изисквания:</w:t>
      </w:r>
    </w:p>
    <w:p w:rsidR="007608FA" w:rsidRDefault="00840187" w:rsidP="009C48A7">
      <w:pPr>
        <w:pStyle w:val="a3"/>
        <w:ind w:right="108"/>
        <w:jc w:val="both"/>
      </w:pPr>
      <w:r>
        <w:t>а) указателните табели се поставят на видими места и на подходящо разстояние съобразно предназначението им и местата, които обозначават;</w:t>
      </w:r>
    </w:p>
    <w:p w:rsidR="007608FA" w:rsidRDefault="00840187" w:rsidP="009C48A7">
      <w:pPr>
        <w:pStyle w:val="a3"/>
        <w:ind w:right="76"/>
        <w:jc w:val="both"/>
      </w:pPr>
      <w:r>
        <w:t xml:space="preserve">б) указателните табели за местонахождението на ЦАО се поставят на входа на </w:t>
      </w:r>
      <w:r>
        <w:lastRenderedPageBreak/>
        <w:t>помещенията;</w:t>
      </w:r>
    </w:p>
    <w:p w:rsidR="007608FA" w:rsidRDefault="00840187" w:rsidP="0006541C">
      <w:pPr>
        <w:pStyle w:val="a3"/>
        <w:ind w:right="218"/>
        <w:jc w:val="both"/>
      </w:pPr>
      <w:r>
        <w:t>в) указателните табели в служебните помещения, в които се осъществява административно обслужване, ориентират и информират потребителите за</w:t>
      </w:r>
      <w:r w:rsidR="00DB62A2">
        <w:t xml:space="preserve"> </w:t>
      </w:r>
      <w:r>
        <w:t>организацията на обслужването, включително за работното време, за местата (гишета) за заявяване и получаване на документи, данни и информация, за местата за плащане</w:t>
      </w:r>
      <w:r w:rsidR="009C48A7">
        <w:t xml:space="preserve"> </w:t>
      </w:r>
      <w:r>
        <w:t>(каса, банка, друг доставчик на платежни услуги) и други във връзка с организацията на обслужването;</w:t>
      </w:r>
    </w:p>
    <w:p w:rsidR="007608FA" w:rsidRDefault="00840187" w:rsidP="0006541C">
      <w:pPr>
        <w:pStyle w:val="a3"/>
        <w:ind w:right="218"/>
        <w:jc w:val="both"/>
      </w:pPr>
      <w:r>
        <w:t>г) указателните табели съдържат логото и слогана на държавната администрация.</w:t>
      </w:r>
    </w:p>
    <w:p w:rsidR="007608FA" w:rsidRDefault="00840187" w:rsidP="0006541C">
      <w:pPr>
        <w:pStyle w:val="a4"/>
        <w:numPr>
          <w:ilvl w:val="0"/>
          <w:numId w:val="3"/>
        </w:numPr>
        <w:tabs>
          <w:tab w:val="left" w:pos="1194"/>
          <w:tab w:val="left" w:pos="9020"/>
        </w:tabs>
        <w:ind w:right="218" w:firstLine="851"/>
        <w:jc w:val="both"/>
        <w:rPr>
          <w:sz w:val="24"/>
        </w:rPr>
      </w:pPr>
      <w:r>
        <w:rPr>
          <w:sz w:val="24"/>
        </w:rPr>
        <w:t>Стандарт за поддържане на актуална информация за достъпа до</w:t>
      </w:r>
      <w:r>
        <w:rPr>
          <w:spacing w:val="-26"/>
          <w:sz w:val="24"/>
        </w:rPr>
        <w:t xml:space="preserve"> </w:t>
      </w:r>
      <w:r>
        <w:rPr>
          <w:sz w:val="24"/>
        </w:rPr>
        <w:t>служебните помещения, в които се осъществява административно</w:t>
      </w:r>
      <w:r>
        <w:rPr>
          <w:spacing w:val="-8"/>
          <w:sz w:val="24"/>
        </w:rPr>
        <w:t xml:space="preserve"> </w:t>
      </w:r>
      <w:r>
        <w:rPr>
          <w:sz w:val="24"/>
        </w:rPr>
        <w:t>обслужване:</w:t>
      </w:r>
    </w:p>
    <w:p w:rsidR="007608FA" w:rsidRDefault="00840187" w:rsidP="0006541C">
      <w:pPr>
        <w:pStyle w:val="a3"/>
        <w:ind w:right="218"/>
        <w:jc w:val="both"/>
      </w:pPr>
      <w:r>
        <w:t>На интернет страницата на администрацията се поддържа актуална</w:t>
      </w:r>
      <w:r w:rsidR="009C48A7">
        <w:t xml:space="preserve"> </w:t>
      </w:r>
      <w:r>
        <w:t xml:space="preserve">информация за достъпа до сградата със служебните помещения, в които се осъществява административно обслужване, като: карта с местонахождението, обществен транспорт, възможности и места за безплатно или платено паркиране, натоварени (пикови) и </w:t>
      </w:r>
      <w:proofErr w:type="spellStart"/>
      <w:r>
        <w:t>ненатоварени</w:t>
      </w:r>
      <w:proofErr w:type="spellEnd"/>
      <w:r>
        <w:t xml:space="preserve"> часове на посещаемост.</w:t>
      </w:r>
    </w:p>
    <w:p w:rsidR="007608FA" w:rsidRDefault="00840187" w:rsidP="009C48A7">
      <w:pPr>
        <w:pStyle w:val="1"/>
        <w:numPr>
          <w:ilvl w:val="0"/>
          <w:numId w:val="3"/>
        </w:numPr>
        <w:tabs>
          <w:tab w:val="left" w:pos="1194"/>
        </w:tabs>
        <w:spacing w:before="5" w:line="274" w:lineRule="exact"/>
        <w:ind w:left="1194"/>
        <w:jc w:val="both"/>
      </w:pPr>
      <w:r>
        <w:t>Стандарт за осигуряване на безплатна интернет</w:t>
      </w:r>
      <w:r>
        <w:rPr>
          <w:spacing w:val="-5"/>
        </w:rPr>
        <w:t xml:space="preserve"> </w:t>
      </w:r>
      <w:r>
        <w:t>връзка:</w:t>
      </w:r>
    </w:p>
    <w:p w:rsidR="007608FA" w:rsidRDefault="00840187" w:rsidP="00E84B79">
      <w:pPr>
        <w:pStyle w:val="a3"/>
        <w:ind w:right="76"/>
        <w:jc w:val="both"/>
      </w:pPr>
      <w:r>
        <w:t>В служебните помещения, в които се осъществява административно обслужване, е осигурена възможност за ползване на безплатен достъп до интернет.</w:t>
      </w:r>
    </w:p>
    <w:p w:rsidR="007608FA" w:rsidRDefault="00840187" w:rsidP="00E84B79">
      <w:pPr>
        <w:pStyle w:val="1"/>
        <w:numPr>
          <w:ilvl w:val="0"/>
          <w:numId w:val="3"/>
        </w:numPr>
        <w:tabs>
          <w:tab w:val="left" w:pos="1194"/>
        </w:tabs>
        <w:spacing w:before="3"/>
        <w:ind w:right="76" w:firstLine="851"/>
        <w:jc w:val="both"/>
      </w:pPr>
      <w:r>
        <w:t>Стандарт за идентификация на служителите, които осъществяват административно</w:t>
      </w:r>
      <w:r>
        <w:rPr>
          <w:spacing w:val="-1"/>
        </w:rPr>
        <w:t xml:space="preserve"> </w:t>
      </w:r>
      <w:r>
        <w:t>обслужване:</w:t>
      </w:r>
    </w:p>
    <w:p w:rsidR="007608FA" w:rsidRDefault="00840187" w:rsidP="00E84B79">
      <w:pPr>
        <w:pStyle w:val="a3"/>
        <w:ind w:right="76"/>
        <w:jc w:val="both"/>
      </w:pPr>
      <w:r>
        <w:t>Всеки служител се идентифицира пред потребителите в служебните помещения, в които се осъществява административно обслужване, чрез ясно видим отличителен знак или друг материален носител с четивни данни за собствено и</w:t>
      </w:r>
    </w:p>
    <w:p w:rsidR="007608FA" w:rsidRDefault="00840187" w:rsidP="00E84B79">
      <w:pPr>
        <w:pStyle w:val="a3"/>
        <w:ind w:right="76" w:firstLine="0"/>
        <w:jc w:val="both"/>
      </w:pPr>
      <w:r>
        <w:t>фамилно име, длъжност и администрация, към която принадлежи.</w:t>
      </w:r>
    </w:p>
    <w:p w:rsidR="007608FA" w:rsidRDefault="00840187" w:rsidP="009C48A7">
      <w:pPr>
        <w:pStyle w:val="1"/>
        <w:numPr>
          <w:ilvl w:val="0"/>
          <w:numId w:val="3"/>
        </w:numPr>
        <w:tabs>
          <w:tab w:val="left" w:pos="1194"/>
        </w:tabs>
        <w:ind w:right="551" w:firstLine="851"/>
        <w:jc w:val="both"/>
      </w:pPr>
      <w:r>
        <w:t>Стандарт за идентификация на служителите в администрацията</w:t>
      </w:r>
      <w:r>
        <w:rPr>
          <w:spacing w:val="-30"/>
        </w:rPr>
        <w:t xml:space="preserve"> </w:t>
      </w:r>
      <w:r>
        <w:t>при водене на телефонни</w:t>
      </w:r>
      <w:r>
        <w:rPr>
          <w:spacing w:val="-2"/>
        </w:rPr>
        <w:t xml:space="preserve"> </w:t>
      </w:r>
      <w:r>
        <w:t>разговори:</w:t>
      </w:r>
    </w:p>
    <w:p w:rsidR="007608FA" w:rsidRDefault="00840187" w:rsidP="00E84B79">
      <w:pPr>
        <w:pStyle w:val="a3"/>
        <w:ind w:right="76"/>
        <w:jc w:val="both"/>
      </w:pPr>
      <w:r>
        <w:t>При водене на телефонни разговори служителите се представят и идентифицират със собствено и фамилно име, като съобщават</w:t>
      </w:r>
      <w:r w:rsidR="00E84B79">
        <w:t xml:space="preserve"> </w:t>
      </w:r>
      <w:r>
        <w:t>администрацията/звеното, към което принадлежат.</w:t>
      </w:r>
    </w:p>
    <w:p w:rsidR="007608FA" w:rsidRDefault="00840187" w:rsidP="009C48A7">
      <w:pPr>
        <w:pStyle w:val="1"/>
        <w:numPr>
          <w:ilvl w:val="0"/>
          <w:numId w:val="3"/>
        </w:numPr>
        <w:tabs>
          <w:tab w:val="left" w:pos="1194"/>
        </w:tabs>
        <w:spacing w:before="1" w:line="274" w:lineRule="exact"/>
        <w:ind w:left="1194"/>
        <w:jc w:val="both"/>
      </w:pPr>
      <w:r>
        <w:t>Стандарт за спазване на правила за комуникация с</w:t>
      </w:r>
      <w:r>
        <w:rPr>
          <w:spacing w:val="-13"/>
        </w:rPr>
        <w:t xml:space="preserve"> </w:t>
      </w:r>
      <w:r>
        <w:t>потребителите:</w:t>
      </w:r>
    </w:p>
    <w:p w:rsidR="007608FA" w:rsidRDefault="00840187" w:rsidP="009C48A7">
      <w:pPr>
        <w:pStyle w:val="a3"/>
        <w:ind w:right="151"/>
        <w:jc w:val="both"/>
      </w:pPr>
      <w:r>
        <w:t>Обслужването на потребителите се осъществява от обучени служители, като се осигурява спазването на следните правила за комуникация:</w:t>
      </w:r>
    </w:p>
    <w:p w:rsidR="007608FA" w:rsidRDefault="00840187" w:rsidP="00E84B79">
      <w:pPr>
        <w:pStyle w:val="a3"/>
        <w:ind w:right="76"/>
        <w:jc w:val="both"/>
      </w:pPr>
      <w:r>
        <w:t>а) използване на задължителните реквизити в комуникацията съобразно комуникационен канал:</w:t>
      </w:r>
    </w:p>
    <w:p w:rsidR="007608FA" w:rsidRDefault="00840187" w:rsidP="00E84B79">
      <w:pPr>
        <w:pStyle w:val="a3"/>
        <w:ind w:right="76"/>
        <w:jc w:val="both"/>
      </w:pPr>
      <w:proofErr w:type="spellStart"/>
      <w:r>
        <w:t>аа</w:t>
      </w:r>
      <w:proofErr w:type="spellEnd"/>
      <w:r>
        <w:t>) иницииране на разговор чрез поздрав, например "Добро утро", "Добър ден" или "Здравейте";</w:t>
      </w:r>
    </w:p>
    <w:p w:rsidR="007608FA" w:rsidRDefault="00840187" w:rsidP="00E84B79">
      <w:pPr>
        <w:pStyle w:val="a3"/>
        <w:spacing w:line="274" w:lineRule="exact"/>
        <w:ind w:left="954" w:right="76" w:firstLine="0"/>
        <w:jc w:val="both"/>
      </w:pPr>
      <w:proofErr w:type="spellStart"/>
      <w:r>
        <w:t>бб</w:t>
      </w:r>
      <w:proofErr w:type="spellEnd"/>
      <w:r>
        <w:t>) обръщение "Госпожо/господине";</w:t>
      </w:r>
    </w:p>
    <w:p w:rsidR="007608FA" w:rsidRDefault="00840187" w:rsidP="00E84B79">
      <w:pPr>
        <w:pStyle w:val="a3"/>
        <w:ind w:right="76"/>
        <w:jc w:val="both"/>
      </w:pPr>
      <w:proofErr w:type="spellStart"/>
      <w:r>
        <w:t>вв</w:t>
      </w:r>
      <w:proofErr w:type="spellEnd"/>
      <w:r>
        <w:t>) запитване с израз, който е идентичен или сходен със: "С какво мога да Ви бъда полезна/полезен?";</w:t>
      </w:r>
    </w:p>
    <w:p w:rsidR="007608FA" w:rsidRDefault="00840187" w:rsidP="00E84B79">
      <w:pPr>
        <w:pStyle w:val="a3"/>
        <w:ind w:right="76"/>
        <w:jc w:val="both"/>
      </w:pPr>
      <w:proofErr w:type="spellStart"/>
      <w:r>
        <w:t>гг</w:t>
      </w:r>
      <w:proofErr w:type="spellEnd"/>
      <w:r>
        <w:t>) завършване на разговор с израз, който е идентичен или сходен със: "Благодаря Ви за търпението", "Желая Ви хубав ден!";</w:t>
      </w:r>
    </w:p>
    <w:p w:rsidR="007608FA" w:rsidRDefault="00840187" w:rsidP="00E84B79">
      <w:pPr>
        <w:pStyle w:val="a3"/>
        <w:ind w:right="76"/>
        <w:jc w:val="both"/>
      </w:pPr>
      <w:proofErr w:type="spellStart"/>
      <w:r>
        <w:t>дд</w:t>
      </w:r>
      <w:proofErr w:type="spellEnd"/>
      <w:r>
        <w:t>) завършване на писмена кореспонденция с израз, който е идентичен или сходен със: "Оставаме на разположение за допълнителни въпроси", "С уважение";</w:t>
      </w:r>
    </w:p>
    <w:p w:rsidR="007608FA" w:rsidRDefault="00840187" w:rsidP="00E84B79">
      <w:pPr>
        <w:pStyle w:val="a3"/>
        <w:ind w:left="954" w:right="76" w:firstLine="0"/>
        <w:jc w:val="both"/>
      </w:pPr>
      <w:r>
        <w:t>б) демонстриране на учтивост, предразполагане на потребителите и търпение; в) оказване на приоритетно внимание на потребителите пред друга дейност; г) в присъствие на потребителите служителите не водят лични разговори и</w:t>
      </w:r>
      <w:r>
        <w:rPr>
          <w:spacing w:val="-26"/>
        </w:rPr>
        <w:t xml:space="preserve"> </w:t>
      </w:r>
      <w:r>
        <w:t>не</w:t>
      </w:r>
    </w:p>
    <w:p w:rsidR="007608FA" w:rsidRDefault="00840187" w:rsidP="00E84B79">
      <w:pPr>
        <w:pStyle w:val="a3"/>
        <w:ind w:right="76" w:firstLine="0"/>
        <w:jc w:val="both"/>
      </w:pPr>
      <w:r>
        <w:t>консумират храни и/или напитки.</w:t>
      </w:r>
    </w:p>
    <w:p w:rsidR="007608FA" w:rsidRDefault="00840187" w:rsidP="009C48A7">
      <w:pPr>
        <w:pStyle w:val="1"/>
        <w:numPr>
          <w:ilvl w:val="0"/>
          <w:numId w:val="3"/>
        </w:numPr>
        <w:tabs>
          <w:tab w:val="left" w:pos="1194"/>
        </w:tabs>
        <w:spacing w:before="3"/>
        <w:ind w:right="1151" w:firstLine="851"/>
        <w:jc w:val="both"/>
      </w:pPr>
      <w:r>
        <w:t>Стандарт за начина на предоставяне на информацията относно административното</w:t>
      </w:r>
      <w:r>
        <w:rPr>
          <w:spacing w:val="-1"/>
        </w:rPr>
        <w:t xml:space="preserve"> </w:t>
      </w:r>
      <w:r>
        <w:t>обслужване:</w:t>
      </w:r>
    </w:p>
    <w:p w:rsidR="007608FA" w:rsidRDefault="00840187" w:rsidP="00DB62A2">
      <w:pPr>
        <w:pStyle w:val="a4"/>
        <w:numPr>
          <w:ilvl w:val="0"/>
          <w:numId w:val="2"/>
        </w:numPr>
        <w:tabs>
          <w:tab w:val="left" w:pos="1194"/>
        </w:tabs>
        <w:ind w:right="76" w:firstLine="749"/>
        <w:jc w:val="both"/>
      </w:pPr>
      <w:r>
        <w:rPr>
          <w:sz w:val="24"/>
        </w:rPr>
        <w:t>На интернет страницата на администрацията се поддържа секция, която е озаглавена "Административно обслужване", със стандартизирана структура и дизайн, които са определени по реда на чл. 40 от Наредбата за общите изисквания</w:t>
      </w:r>
      <w:r w:rsidRPr="00E84B79">
        <w:rPr>
          <w:spacing w:val="-19"/>
          <w:sz w:val="24"/>
        </w:rPr>
        <w:t xml:space="preserve"> </w:t>
      </w:r>
      <w:r>
        <w:rPr>
          <w:sz w:val="24"/>
        </w:rPr>
        <w:t>към</w:t>
      </w:r>
      <w:r w:rsidR="00E84B79">
        <w:rPr>
          <w:sz w:val="24"/>
        </w:rPr>
        <w:t xml:space="preserve"> </w:t>
      </w:r>
      <w:r>
        <w:t>информационните системи, регистрите и електронните административни услуги.</w:t>
      </w:r>
    </w:p>
    <w:p w:rsidR="007608FA" w:rsidRDefault="00840187" w:rsidP="00E84B79">
      <w:pPr>
        <w:pStyle w:val="a4"/>
        <w:numPr>
          <w:ilvl w:val="0"/>
          <w:numId w:val="2"/>
        </w:numPr>
        <w:tabs>
          <w:tab w:val="left" w:pos="1194"/>
        </w:tabs>
        <w:ind w:right="766" w:firstLine="851"/>
        <w:jc w:val="both"/>
        <w:rPr>
          <w:sz w:val="24"/>
        </w:rPr>
      </w:pPr>
      <w:r>
        <w:rPr>
          <w:sz w:val="24"/>
        </w:rPr>
        <w:lastRenderedPageBreak/>
        <w:t>При предоставяне и обявяване на информацията за административното обслужване се спазват следните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правила:</w:t>
      </w:r>
    </w:p>
    <w:p w:rsidR="007608FA" w:rsidRDefault="00840187" w:rsidP="00E84B79">
      <w:pPr>
        <w:pStyle w:val="a3"/>
        <w:spacing w:before="61"/>
        <w:ind w:right="523"/>
        <w:jc w:val="both"/>
      </w:pPr>
      <w:r>
        <w:t>а) предоставяната на място, по телефона и по електронен път информация е идентична по съдържание;</w:t>
      </w:r>
    </w:p>
    <w:p w:rsidR="007608FA" w:rsidRDefault="00840187" w:rsidP="00E84B79">
      <w:pPr>
        <w:pStyle w:val="a3"/>
        <w:ind w:right="76"/>
        <w:jc w:val="both"/>
      </w:pPr>
      <w:r>
        <w:t>б) информацията се представя по систематизиран и по възможност - схематичен, табличен и/или графичен начин, който осигурява улеснено и бързо възприемане при съобразяване със специфичните потребности на отделните категории потребители (хора с увреждания, хора с трайни увреждания, възрастни хора, хора с намалена подвижност и/или със затруднения в придвижването, родители или</w:t>
      </w:r>
    </w:p>
    <w:p w:rsidR="007608FA" w:rsidRDefault="00840187" w:rsidP="00E84B79">
      <w:pPr>
        <w:pStyle w:val="a3"/>
        <w:ind w:left="954" w:right="548" w:hanging="852"/>
        <w:jc w:val="both"/>
      </w:pPr>
      <w:r>
        <w:t>придружители на малки деца, потребители, които не владеят български език, и др.); в) обявяването на информацията е, както следва:</w:t>
      </w:r>
    </w:p>
    <w:p w:rsidR="007608FA" w:rsidRDefault="00840187" w:rsidP="00E84B79">
      <w:pPr>
        <w:pStyle w:val="a3"/>
        <w:ind w:right="123"/>
        <w:jc w:val="both"/>
      </w:pPr>
      <w:proofErr w:type="spellStart"/>
      <w:r>
        <w:t>аа</w:t>
      </w:r>
      <w:proofErr w:type="spellEnd"/>
      <w:r>
        <w:t>) информацията по чл. 16, ал. 1 - на място в служебните помещения, в които се осъществява административно обслужване, се обявява на информационни табла, включващи и официалните табла за обявления, във физическа и/или електронна форма, като при предоставяни над 10 услуги обявяването на информацията може да бъде само в електронна форма, чрез поне един брой подходящо техническо оборудване с</w:t>
      </w:r>
      <w:r>
        <w:rPr>
          <w:spacing w:val="-31"/>
        </w:rPr>
        <w:t xml:space="preserve"> </w:t>
      </w:r>
      <w:r>
        <w:t>осигурен активен достъп на потребителите до</w:t>
      </w:r>
      <w:r>
        <w:rPr>
          <w:spacing w:val="-4"/>
        </w:rPr>
        <w:t xml:space="preserve"> </w:t>
      </w:r>
      <w:r>
        <w:t>него;</w:t>
      </w:r>
    </w:p>
    <w:p w:rsidR="007608FA" w:rsidRDefault="00840187" w:rsidP="00E84B79">
      <w:pPr>
        <w:pStyle w:val="a3"/>
        <w:spacing w:before="1"/>
        <w:ind w:right="196"/>
        <w:jc w:val="both"/>
      </w:pPr>
      <w:proofErr w:type="spellStart"/>
      <w:r>
        <w:t>бб</w:t>
      </w:r>
      <w:proofErr w:type="spellEnd"/>
      <w:r>
        <w:t>) информацията по чл. 16, ал. 1 се обявява с идентично съдържание и структура на място в ЦАО, на интернет страниците и в Административния регистър по чл. 61, ал. 1 от Закона за администрацията.</w:t>
      </w:r>
    </w:p>
    <w:p w:rsidR="007608FA" w:rsidRDefault="00840187" w:rsidP="00E84B79">
      <w:pPr>
        <w:pStyle w:val="1"/>
        <w:numPr>
          <w:ilvl w:val="0"/>
          <w:numId w:val="1"/>
        </w:numPr>
        <w:tabs>
          <w:tab w:val="left" w:pos="1314"/>
        </w:tabs>
        <w:spacing w:before="5"/>
        <w:ind w:right="565" w:firstLine="851"/>
        <w:jc w:val="both"/>
      </w:pPr>
      <w:r>
        <w:t>Стандарт за поддържане на система "Най-често срещани въпроси и отговори":</w:t>
      </w:r>
    </w:p>
    <w:p w:rsidR="007608FA" w:rsidRDefault="00840187" w:rsidP="00451A43">
      <w:pPr>
        <w:pStyle w:val="a3"/>
        <w:tabs>
          <w:tab w:val="left" w:pos="9049"/>
        </w:tabs>
        <w:ind w:right="241"/>
        <w:jc w:val="both"/>
      </w:pPr>
      <w:r>
        <w:t>Администрацията поддържа на интернет страницата си система "Най-често срещани въпроси и отговори", която да подпомага и насочва потребителите за процеса на обслужване, често срещани ситуации, препоръки за реакция и др.</w:t>
      </w:r>
    </w:p>
    <w:p w:rsidR="007608FA" w:rsidRDefault="00840187" w:rsidP="00E84B79">
      <w:pPr>
        <w:pStyle w:val="1"/>
        <w:numPr>
          <w:ilvl w:val="0"/>
          <w:numId w:val="1"/>
        </w:numPr>
        <w:tabs>
          <w:tab w:val="left" w:pos="1314"/>
        </w:tabs>
        <w:ind w:left="1314"/>
        <w:jc w:val="both"/>
      </w:pPr>
      <w:r>
        <w:t>Стандарт за осигуряване на информация и обслужване на</w:t>
      </w:r>
      <w:r>
        <w:rPr>
          <w:spacing w:val="-12"/>
        </w:rPr>
        <w:t xml:space="preserve"> </w:t>
      </w:r>
      <w:r>
        <w:t>английски</w:t>
      </w:r>
    </w:p>
    <w:p w:rsidR="007608FA" w:rsidRDefault="00840187" w:rsidP="00E84B79">
      <w:pPr>
        <w:spacing w:line="274" w:lineRule="exact"/>
        <w:ind w:left="102"/>
        <w:jc w:val="both"/>
        <w:rPr>
          <w:b/>
          <w:sz w:val="24"/>
        </w:rPr>
      </w:pPr>
      <w:r>
        <w:rPr>
          <w:b/>
          <w:sz w:val="24"/>
        </w:rPr>
        <w:t>език:</w:t>
      </w:r>
    </w:p>
    <w:p w:rsidR="007608FA" w:rsidRDefault="00840187" w:rsidP="00E84B79">
      <w:pPr>
        <w:pStyle w:val="a3"/>
        <w:spacing w:line="274" w:lineRule="exact"/>
        <w:ind w:left="954" w:firstLine="0"/>
        <w:jc w:val="both"/>
      </w:pPr>
      <w:r>
        <w:t>Администрациите, чиито услуги в над 50 на сто от случаите са насочени и към</w:t>
      </w:r>
    </w:p>
    <w:p w:rsidR="007608FA" w:rsidRDefault="00840187" w:rsidP="00DB62A2">
      <w:pPr>
        <w:pStyle w:val="a3"/>
        <w:ind w:right="76" w:firstLine="0"/>
        <w:jc w:val="both"/>
      </w:pPr>
      <w:r>
        <w:t>лица, които не владеят български език, които осигуряват предоставяне на</w:t>
      </w:r>
      <w:r w:rsidR="00DB62A2">
        <w:t xml:space="preserve"> </w:t>
      </w:r>
      <w:r>
        <w:t>специфичната информация за услугите по чл. 16, ал. 1 и извършват административно обслужване на английски език. Обслужването на английски език се осигурява чрез:</w:t>
      </w:r>
    </w:p>
    <w:p w:rsidR="007608FA" w:rsidRDefault="00840187" w:rsidP="00E84B79">
      <w:pPr>
        <w:pStyle w:val="a3"/>
        <w:ind w:left="954" w:right="1606" w:firstLine="0"/>
        <w:jc w:val="both"/>
      </w:pPr>
      <w:r>
        <w:t>а) езикови познания - английски език на служителя/служителите; б) осигуряване на преводач от английски език;</w:t>
      </w:r>
    </w:p>
    <w:p w:rsidR="007608FA" w:rsidRDefault="00840187" w:rsidP="00E84B79">
      <w:pPr>
        <w:pStyle w:val="a3"/>
        <w:spacing w:line="275" w:lineRule="exact"/>
        <w:ind w:left="954" w:firstLine="0"/>
        <w:jc w:val="both"/>
      </w:pPr>
      <w:r>
        <w:t>в) специализиран софтуер за симултанен превод.</w:t>
      </w:r>
    </w:p>
    <w:p w:rsidR="007608FA" w:rsidRDefault="00840187" w:rsidP="00E84B79">
      <w:pPr>
        <w:pStyle w:val="1"/>
        <w:numPr>
          <w:ilvl w:val="0"/>
          <w:numId w:val="1"/>
        </w:numPr>
        <w:tabs>
          <w:tab w:val="left" w:pos="1314"/>
        </w:tabs>
        <w:spacing w:line="275" w:lineRule="exact"/>
        <w:ind w:left="1314"/>
        <w:jc w:val="both"/>
        <w:rPr>
          <w:b w:val="0"/>
        </w:rPr>
      </w:pPr>
      <w:r>
        <w:t>Стандарт за срок за отговор на отправени запитвания от общ</w:t>
      </w:r>
      <w:r>
        <w:rPr>
          <w:spacing w:val="-15"/>
        </w:rPr>
        <w:t xml:space="preserve"> </w:t>
      </w:r>
      <w:r>
        <w:t>характер</w:t>
      </w:r>
      <w:r>
        <w:rPr>
          <w:b w:val="0"/>
        </w:rPr>
        <w:t>:</w:t>
      </w:r>
    </w:p>
    <w:p w:rsidR="007608FA" w:rsidRDefault="00840187" w:rsidP="00E84B79">
      <w:pPr>
        <w:pStyle w:val="a3"/>
        <w:ind w:right="76"/>
        <w:jc w:val="both"/>
      </w:pPr>
      <w:r>
        <w:t>Срокът за обработване и отговор на запитвания, които информират и консултират потребителите по въпроси от общ характер, е:</w:t>
      </w:r>
    </w:p>
    <w:p w:rsidR="007608FA" w:rsidRDefault="00840187" w:rsidP="00E84B79">
      <w:pPr>
        <w:pStyle w:val="a3"/>
        <w:spacing w:before="1"/>
        <w:ind w:right="76"/>
        <w:jc w:val="both"/>
      </w:pPr>
      <w:r>
        <w:t>а) до 5 работни дни, ако запитванията са постъпили по пощата или по електронната поща;</w:t>
      </w:r>
    </w:p>
    <w:p w:rsidR="007608FA" w:rsidRDefault="00840187" w:rsidP="00E84B79">
      <w:pPr>
        <w:pStyle w:val="a3"/>
        <w:ind w:right="76"/>
        <w:jc w:val="both"/>
      </w:pPr>
      <w:r>
        <w:t>б) веднага, или не по-късно от 10 минути, ако запитванията са устни, постъпили са на място, по телефон или чрез друг осигурен от администрацията онлайн комуникационен канал.</w:t>
      </w:r>
    </w:p>
    <w:p w:rsidR="007608FA" w:rsidRDefault="00840187">
      <w:pPr>
        <w:pStyle w:val="1"/>
        <w:numPr>
          <w:ilvl w:val="0"/>
          <w:numId w:val="1"/>
        </w:numPr>
        <w:tabs>
          <w:tab w:val="left" w:pos="1314"/>
        </w:tabs>
        <w:spacing w:before="5" w:line="274" w:lineRule="exact"/>
        <w:ind w:left="1314"/>
      </w:pPr>
      <w:r>
        <w:t>Стандарт за време за изчакване за</w:t>
      </w:r>
      <w:r>
        <w:rPr>
          <w:spacing w:val="-4"/>
        </w:rPr>
        <w:t xml:space="preserve"> </w:t>
      </w:r>
      <w:r>
        <w:t>обслужване:</w:t>
      </w:r>
    </w:p>
    <w:p w:rsidR="007608FA" w:rsidRDefault="00840187" w:rsidP="00E84B79">
      <w:pPr>
        <w:pStyle w:val="a3"/>
        <w:ind w:right="76"/>
        <w:jc w:val="both"/>
      </w:pPr>
      <w:r>
        <w:t>При посещение на потребителя на място в служебните помещения, в които се осъществява административно обслужване, с цел получаване на информация и/или обработване на документи във връзка с административното обслужване времето за изчакване е не повече от 10 минути.</w:t>
      </w:r>
    </w:p>
    <w:p w:rsidR="007608FA" w:rsidRDefault="00840187">
      <w:pPr>
        <w:pStyle w:val="1"/>
        <w:numPr>
          <w:ilvl w:val="0"/>
          <w:numId w:val="1"/>
        </w:numPr>
        <w:tabs>
          <w:tab w:val="left" w:pos="1314"/>
        </w:tabs>
        <w:spacing w:before="2"/>
        <w:ind w:right="1761" w:firstLine="851"/>
      </w:pPr>
      <w:r>
        <w:t>Стандарт за намаляване на броя посещения на гише при осъществяване на административно</w:t>
      </w:r>
      <w:r>
        <w:rPr>
          <w:spacing w:val="-3"/>
        </w:rPr>
        <w:t xml:space="preserve"> </w:t>
      </w:r>
      <w:r>
        <w:t>обслужване:</w:t>
      </w:r>
    </w:p>
    <w:p w:rsidR="007608FA" w:rsidRDefault="00840187" w:rsidP="00DB62A2">
      <w:pPr>
        <w:pStyle w:val="a3"/>
        <w:ind w:right="189"/>
        <w:jc w:val="both"/>
      </w:pPr>
      <w:r>
        <w:t>При посещение на потребителя на място в служебните помещения, в които се осъществява административно обслужване, с цел получаване на информация и/или обработване на документи във връзка с административното обслужване, в т. ч. за подаване на заявления/искания, предложения, сигнали и жалби, включително когато се</w:t>
      </w:r>
    </w:p>
    <w:p w:rsidR="007608FA" w:rsidRDefault="007608FA">
      <w:pPr>
        <w:sectPr w:rsidR="007608FA" w:rsidSect="0006541C">
          <w:footerReference w:type="default" r:id="rId8"/>
          <w:pgSz w:w="11910" w:h="16840"/>
          <w:pgMar w:top="851" w:right="1020" w:bottom="1000" w:left="1600" w:header="0" w:footer="805" w:gutter="0"/>
          <w:cols w:space="708"/>
        </w:sectPr>
      </w:pPr>
    </w:p>
    <w:p w:rsidR="007608FA" w:rsidRDefault="00840187">
      <w:pPr>
        <w:pStyle w:val="a3"/>
        <w:spacing w:before="61"/>
        <w:ind w:firstLine="0"/>
      </w:pPr>
      <w:r>
        <w:lastRenderedPageBreak/>
        <w:t>изисква плащане, или за получаване на документи, данни и информация, резултати от административното обслужване, в рамките на едно посещение за обслужване:</w:t>
      </w:r>
    </w:p>
    <w:p w:rsidR="007608FA" w:rsidRDefault="00840187">
      <w:pPr>
        <w:pStyle w:val="a3"/>
        <w:ind w:right="168"/>
      </w:pPr>
      <w:r>
        <w:t>а) за приемане на едно заявление/искане потребителят посещава еднократно не повече от две места (гишета);</w:t>
      </w:r>
    </w:p>
    <w:p w:rsidR="007608FA" w:rsidRDefault="00840187">
      <w:pPr>
        <w:pStyle w:val="a3"/>
        <w:ind w:right="135"/>
      </w:pPr>
      <w:r>
        <w:t>б) за получаване на резултата по едно заявление/искане потребителят посещава еднократно не повече от едно място (гише).</w:t>
      </w:r>
    </w:p>
    <w:p w:rsidR="007608FA" w:rsidRDefault="00840187">
      <w:pPr>
        <w:pStyle w:val="1"/>
        <w:numPr>
          <w:ilvl w:val="0"/>
          <w:numId w:val="1"/>
        </w:numPr>
        <w:tabs>
          <w:tab w:val="left" w:pos="1314"/>
        </w:tabs>
        <w:spacing w:before="5"/>
        <w:ind w:right="566" w:firstLine="851"/>
      </w:pPr>
      <w:r>
        <w:t>Стандарт за използване на опростени и лесни за попълване образци и/или</w:t>
      </w:r>
      <w:r>
        <w:rPr>
          <w:spacing w:val="-1"/>
        </w:rPr>
        <w:t xml:space="preserve"> </w:t>
      </w:r>
      <w:r>
        <w:t>формуляри:</w:t>
      </w:r>
    </w:p>
    <w:p w:rsidR="007608FA" w:rsidRDefault="00840187" w:rsidP="00DB62A2">
      <w:pPr>
        <w:pStyle w:val="a3"/>
        <w:spacing w:line="271" w:lineRule="exact"/>
        <w:ind w:left="954" w:firstLine="0"/>
        <w:jc w:val="both"/>
      </w:pPr>
      <w:r>
        <w:t>Образците и/или формулярите, които се използват за заявяване на</w:t>
      </w:r>
    </w:p>
    <w:p w:rsidR="007608FA" w:rsidRDefault="00840187" w:rsidP="00DB62A2">
      <w:pPr>
        <w:pStyle w:val="a3"/>
        <w:ind w:left="954" w:right="991" w:hanging="852"/>
        <w:jc w:val="both"/>
      </w:pPr>
      <w:r>
        <w:t>административно обслужване, се изготвят при спазването на следните правила: а) насоченост към лесно и опростено попълване от потребителите;</w:t>
      </w:r>
    </w:p>
    <w:p w:rsidR="007608FA" w:rsidRDefault="00840187" w:rsidP="00DB62A2">
      <w:pPr>
        <w:pStyle w:val="a3"/>
        <w:ind w:left="954" w:right="1703" w:firstLine="0"/>
        <w:jc w:val="both"/>
      </w:pPr>
      <w:r>
        <w:t>б) използване на шрифт с адекватен размер и подходяща форма; в) осигурено достатъчно място за нанасяне на данни;</w:t>
      </w:r>
    </w:p>
    <w:p w:rsidR="007608FA" w:rsidRDefault="00840187" w:rsidP="00DB62A2">
      <w:pPr>
        <w:pStyle w:val="a3"/>
        <w:ind w:left="954" w:firstLine="0"/>
        <w:jc w:val="both"/>
      </w:pPr>
      <w:r>
        <w:t>г) не предвижда и не изисква попълване от потребителите на информация,</w:t>
      </w:r>
    </w:p>
    <w:p w:rsidR="007608FA" w:rsidRDefault="007608FA" w:rsidP="00DB62A2">
      <w:pPr>
        <w:jc w:val="both"/>
        <w:sectPr w:rsidR="007608FA">
          <w:pgSz w:w="11910" w:h="16840"/>
          <w:pgMar w:top="1540" w:right="1020" w:bottom="1000" w:left="1600" w:header="0" w:footer="805" w:gutter="0"/>
          <w:cols w:space="708"/>
        </w:sectPr>
      </w:pPr>
    </w:p>
    <w:p w:rsidR="007608FA" w:rsidRDefault="00840187" w:rsidP="00DB62A2">
      <w:pPr>
        <w:pStyle w:val="a3"/>
        <w:spacing w:before="1"/>
        <w:ind w:firstLine="0"/>
        <w:jc w:val="both"/>
      </w:pPr>
      <w:r>
        <w:lastRenderedPageBreak/>
        <w:t>която:</w:t>
      </w:r>
    </w:p>
    <w:p w:rsidR="007608FA" w:rsidRDefault="00840187" w:rsidP="00DB62A2">
      <w:pPr>
        <w:pStyle w:val="a3"/>
        <w:ind w:left="0" w:firstLine="0"/>
        <w:jc w:val="both"/>
      </w:pPr>
      <w:r>
        <w:br w:type="column"/>
      </w:r>
    </w:p>
    <w:p w:rsidR="007608FA" w:rsidRDefault="00840187">
      <w:pPr>
        <w:pStyle w:val="a3"/>
        <w:spacing w:before="1"/>
        <w:ind w:right="4453" w:firstLine="0"/>
      </w:pPr>
      <w:proofErr w:type="spellStart"/>
      <w:r>
        <w:t>аа</w:t>
      </w:r>
      <w:proofErr w:type="spellEnd"/>
      <w:r>
        <w:t xml:space="preserve">) не е необходима за обслужването; </w:t>
      </w:r>
      <w:proofErr w:type="spellStart"/>
      <w:r>
        <w:t>бб</w:t>
      </w:r>
      <w:proofErr w:type="spellEnd"/>
      <w:r>
        <w:t>) е общоизвестна;</w:t>
      </w:r>
    </w:p>
    <w:p w:rsidR="007608FA" w:rsidRDefault="00840187">
      <w:pPr>
        <w:pStyle w:val="a3"/>
        <w:ind w:firstLine="0"/>
      </w:pPr>
      <w:proofErr w:type="spellStart"/>
      <w:r>
        <w:t>вв</w:t>
      </w:r>
      <w:proofErr w:type="spellEnd"/>
      <w:r>
        <w:t>) е или следва да бъде служебно известна;</w:t>
      </w:r>
    </w:p>
    <w:p w:rsidR="007608FA" w:rsidRDefault="00840187">
      <w:pPr>
        <w:pStyle w:val="a3"/>
        <w:ind w:firstLine="0"/>
      </w:pPr>
      <w:proofErr w:type="spellStart"/>
      <w:r>
        <w:t>гг</w:t>
      </w:r>
      <w:proofErr w:type="spellEnd"/>
      <w:r>
        <w:t>) изисква подпечатване на заявлението и/или на приложенията към него,</w:t>
      </w:r>
    </w:p>
    <w:p w:rsidR="007608FA" w:rsidRDefault="007608FA">
      <w:pPr>
        <w:sectPr w:rsidR="007608FA">
          <w:type w:val="continuous"/>
          <w:pgSz w:w="11910" w:h="16840"/>
          <w:pgMar w:top="940" w:right="1020" w:bottom="1000" w:left="1600" w:header="708" w:footer="708" w:gutter="0"/>
          <w:cols w:num="2" w:space="708" w:equalWidth="0">
            <w:col w:w="782" w:space="70"/>
            <w:col w:w="8438"/>
          </w:cols>
        </w:sectPr>
      </w:pPr>
    </w:p>
    <w:p w:rsidR="007608FA" w:rsidRDefault="00840187">
      <w:pPr>
        <w:pStyle w:val="a3"/>
        <w:ind w:firstLine="0"/>
      </w:pPr>
      <w:r>
        <w:lastRenderedPageBreak/>
        <w:t>освен ако това е предвидено в специален закон.</w:t>
      </w:r>
    </w:p>
    <w:p w:rsidR="007608FA" w:rsidRDefault="007608FA">
      <w:pPr>
        <w:pStyle w:val="a3"/>
        <w:spacing w:before="11"/>
        <w:ind w:left="0" w:firstLine="0"/>
        <w:rPr>
          <w:sz w:val="23"/>
        </w:rPr>
      </w:pPr>
    </w:p>
    <w:p w:rsidR="003D5D7F" w:rsidRDefault="003D5D7F">
      <w:pPr>
        <w:pStyle w:val="a3"/>
        <w:spacing w:before="11"/>
        <w:ind w:left="0" w:firstLine="0"/>
        <w:rPr>
          <w:sz w:val="23"/>
        </w:rPr>
      </w:pPr>
    </w:p>
    <w:p w:rsidR="003D5D7F" w:rsidRDefault="003D5D7F">
      <w:pPr>
        <w:pStyle w:val="a3"/>
        <w:spacing w:before="11"/>
        <w:ind w:left="0" w:firstLine="0"/>
        <w:rPr>
          <w:sz w:val="23"/>
        </w:rPr>
      </w:pPr>
    </w:p>
    <w:p w:rsidR="003D5D7F" w:rsidRDefault="003D5D7F">
      <w:pPr>
        <w:pStyle w:val="a3"/>
        <w:spacing w:before="11"/>
        <w:ind w:left="0" w:firstLine="0"/>
        <w:rPr>
          <w:sz w:val="23"/>
        </w:rPr>
      </w:pPr>
    </w:p>
    <w:p w:rsidR="003D5D7F" w:rsidRPr="003D5D7F" w:rsidRDefault="003D5D7F" w:rsidP="003D5D7F">
      <w:pPr>
        <w:pStyle w:val="a3"/>
        <w:spacing w:before="11"/>
        <w:ind w:left="0" w:firstLine="0"/>
        <w:rPr>
          <w:b/>
          <w:i/>
          <w:sz w:val="23"/>
        </w:rPr>
      </w:pPr>
      <w:r w:rsidRPr="003D5D7F">
        <w:rPr>
          <w:b/>
          <w:i/>
          <w:sz w:val="23"/>
        </w:rPr>
        <w:t xml:space="preserve">Стандартите за качество на административното обслужване </w:t>
      </w:r>
      <w:r w:rsidR="00523A7E">
        <w:rPr>
          <w:b/>
          <w:i/>
          <w:sz w:val="23"/>
        </w:rPr>
        <w:t xml:space="preserve">на ОД „Земеделие“-Перник </w:t>
      </w:r>
      <w:r w:rsidRPr="003D5D7F">
        <w:rPr>
          <w:b/>
          <w:i/>
          <w:sz w:val="23"/>
        </w:rPr>
        <w:t>са утвърдени със Заповед № РД-04-98/17.05.2021 г. на директора на ОД „Земеделие“-Перник</w:t>
      </w:r>
      <w:bookmarkStart w:id="0" w:name="_GoBack"/>
      <w:bookmarkEnd w:id="0"/>
    </w:p>
    <w:sectPr w:rsidR="003D5D7F" w:rsidRPr="003D5D7F">
      <w:type w:val="continuous"/>
      <w:pgSz w:w="11910" w:h="16840"/>
      <w:pgMar w:top="940" w:right="1020" w:bottom="1000" w:left="1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1C4" w:rsidRDefault="006E31C4">
      <w:r>
        <w:separator/>
      </w:r>
    </w:p>
  </w:endnote>
  <w:endnote w:type="continuationSeparator" w:id="0">
    <w:p w:rsidR="006E31C4" w:rsidRDefault="006E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8FA" w:rsidRDefault="00482BC7">
    <w:pPr>
      <w:pStyle w:val="a3"/>
      <w:spacing w:line="14" w:lineRule="auto"/>
      <w:ind w:left="0" w:firstLine="0"/>
      <w:rPr>
        <w:sz w:val="20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487514112" behindDoc="1" locked="0" layoutInCell="1" allowOverlap="1">
              <wp:simplePos x="0" y="0"/>
              <wp:positionH relativeFrom="page">
                <wp:posOffset>1062355</wp:posOffset>
              </wp:positionH>
              <wp:positionV relativeFrom="page">
                <wp:posOffset>10003790</wp:posOffset>
              </wp:positionV>
              <wp:extent cx="5798820" cy="889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882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CB7D32" id="Rectangle 2" o:spid="_x0000_s1026" style="position:absolute;margin-left:83.65pt;margin-top:787.7pt;width:456.6pt;height:.7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" fillcolor="black" stroked="f">
              <w10:wrap anchorx="page" anchory="page"/>
            </v:rect>
          </w:pict>
        </mc:Fallback>
      </mc:AlternateContent>
    </w: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487514624" behindDoc="1" locked="0" layoutInCell="1" allowOverlap="1">
              <wp:simplePos x="0" y="0"/>
              <wp:positionH relativeFrom="page">
                <wp:posOffset>1173480</wp:posOffset>
              </wp:positionH>
              <wp:positionV relativeFrom="page">
                <wp:posOffset>10001250</wp:posOffset>
              </wp:positionV>
              <wp:extent cx="5575935" cy="3409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93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08FA" w:rsidRDefault="007608FA">
                          <w:pPr>
                            <w:spacing w:line="252" w:lineRule="exact"/>
                            <w:ind w:left="1" w:right="1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.4pt;margin-top:787.5pt;width:439.05pt;height:26.85pt;z-index:-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" filled="f" stroked="f">
              <v:textbox inset="0,0,0,0">
                <w:txbxContent>
                  <w:p w:rsidR="007608FA" w:rsidRDefault="007608FA">
                    <w:pPr>
                      <w:spacing w:line="252" w:lineRule="exact"/>
                      <w:ind w:left="1" w:right="1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1C4" w:rsidRDefault="006E31C4">
      <w:r>
        <w:separator/>
      </w:r>
    </w:p>
  </w:footnote>
  <w:footnote w:type="continuationSeparator" w:id="0">
    <w:p w:rsidR="006E31C4" w:rsidRDefault="006E3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17469"/>
    <w:multiLevelType w:val="hybridMultilevel"/>
    <w:tmpl w:val="3E8CF61C"/>
    <w:lvl w:ilvl="0" w:tplc="3D8A3A18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/>
        <w:spacing w:val="-8"/>
        <w:w w:val="100"/>
        <w:sz w:val="24"/>
        <w:szCs w:val="24"/>
        <w:lang w:val="bg-BG" w:eastAsia="en-US" w:bidi="ar-SA"/>
      </w:rPr>
    </w:lvl>
    <w:lvl w:ilvl="1" w:tplc="1AD23906">
      <w:numFmt w:val="bullet"/>
      <w:lvlText w:val="•"/>
      <w:lvlJc w:val="left"/>
      <w:pPr>
        <w:ind w:left="1018" w:hanging="240"/>
      </w:pPr>
      <w:rPr>
        <w:rFonts w:hint="default"/>
        <w:lang w:val="bg-BG" w:eastAsia="en-US" w:bidi="ar-SA"/>
      </w:rPr>
    </w:lvl>
    <w:lvl w:ilvl="2" w:tplc="15C45D5A">
      <w:numFmt w:val="bullet"/>
      <w:lvlText w:val="•"/>
      <w:lvlJc w:val="left"/>
      <w:pPr>
        <w:ind w:left="1937" w:hanging="240"/>
      </w:pPr>
      <w:rPr>
        <w:rFonts w:hint="default"/>
        <w:lang w:val="bg-BG" w:eastAsia="en-US" w:bidi="ar-SA"/>
      </w:rPr>
    </w:lvl>
    <w:lvl w:ilvl="3" w:tplc="B7FA7370">
      <w:numFmt w:val="bullet"/>
      <w:lvlText w:val="•"/>
      <w:lvlJc w:val="left"/>
      <w:pPr>
        <w:ind w:left="2855" w:hanging="240"/>
      </w:pPr>
      <w:rPr>
        <w:rFonts w:hint="default"/>
        <w:lang w:val="bg-BG" w:eastAsia="en-US" w:bidi="ar-SA"/>
      </w:rPr>
    </w:lvl>
    <w:lvl w:ilvl="4" w:tplc="34CE2A66">
      <w:numFmt w:val="bullet"/>
      <w:lvlText w:val="•"/>
      <w:lvlJc w:val="left"/>
      <w:pPr>
        <w:ind w:left="3774" w:hanging="240"/>
      </w:pPr>
      <w:rPr>
        <w:rFonts w:hint="default"/>
        <w:lang w:val="bg-BG" w:eastAsia="en-US" w:bidi="ar-SA"/>
      </w:rPr>
    </w:lvl>
    <w:lvl w:ilvl="5" w:tplc="F948012E">
      <w:numFmt w:val="bullet"/>
      <w:lvlText w:val="•"/>
      <w:lvlJc w:val="left"/>
      <w:pPr>
        <w:ind w:left="4693" w:hanging="240"/>
      </w:pPr>
      <w:rPr>
        <w:rFonts w:hint="default"/>
        <w:lang w:val="bg-BG" w:eastAsia="en-US" w:bidi="ar-SA"/>
      </w:rPr>
    </w:lvl>
    <w:lvl w:ilvl="6" w:tplc="8E0CE7FE">
      <w:numFmt w:val="bullet"/>
      <w:lvlText w:val="•"/>
      <w:lvlJc w:val="left"/>
      <w:pPr>
        <w:ind w:left="5611" w:hanging="240"/>
      </w:pPr>
      <w:rPr>
        <w:rFonts w:hint="default"/>
        <w:lang w:val="bg-BG" w:eastAsia="en-US" w:bidi="ar-SA"/>
      </w:rPr>
    </w:lvl>
    <w:lvl w:ilvl="7" w:tplc="AF443894">
      <w:numFmt w:val="bullet"/>
      <w:lvlText w:val="•"/>
      <w:lvlJc w:val="left"/>
      <w:pPr>
        <w:ind w:left="6530" w:hanging="240"/>
      </w:pPr>
      <w:rPr>
        <w:rFonts w:hint="default"/>
        <w:lang w:val="bg-BG" w:eastAsia="en-US" w:bidi="ar-SA"/>
      </w:rPr>
    </w:lvl>
    <w:lvl w:ilvl="8" w:tplc="13260A84">
      <w:numFmt w:val="bullet"/>
      <w:lvlText w:val="•"/>
      <w:lvlJc w:val="left"/>
      <w:pPr>
        <w:ind w:left="7449" w:hanging="240"/>
      </w:pPr>
      <w:rPr>
        <w:rFonts w:hint="default"/>
        <w:lang w:val="bg-BG" w:eastAsia="en-US" w:bidi="ar-SA"/>
      </w:rPr>
    </w:lvl>
  </w:abstractNum>
  <w:abstractNum w:abstractNumId="1" w15:restartNumberingAfterBreak="0">
    <w:nsid w:val="5F965AE8"/>
    <w:multiLevelType w:val="hybridMultilevel"/>
    <w:tmpl w:val="5A6E8494"/>
    <w:lvl w:ilvl="0" w:tplc="BF909BB2">
      <w:start w:val="10"/>
      <w:numFmt w:val="decimal"/>
      <w:lvlText w:val="%1."/>
      <w:lvlJc w:val="left"/>
      <w:pPr>
        <w:ind w:left="102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bg-BG" w:eastAsia="en-US" w:bidi="ar-SA"/>
      </w:rPr>
    </w:lvl>
    <w:lvl w:ilvl="1" w:tplc="9AF2E684">
      <w:numFmt w:val="bullet"/>
      <w:lvlText w:val="•"/>
      <w:lvlJc w:val="left"/>
      <w:pPr>
        <w:ind w:left="1018" w:hanging="360"/>
      </w:pPr>
      <w:rPr>
        <w:rFonts w:hint="default"/>
        <w:lang w:val="bg-BG" w:eastAsia="en-US" w:bidi="ar-SA"/>
      </w:rPr>
    </w:lvl>
    <w:lvl w:ilvl="2" w:tplc="D1A43864">
      <w:numFmt w:val="bullet"/>
      <w:lvlText w:val="•"/>
      <w:lvlJc w:val="left"/>
      <w:pPr>
        <w:ind w:left="1937" w:hanging="360"/>
      </w:pPr>
      <w:rPr>
        <w:rFonts w:hint="default"/>
        <w:lang w:val="bg-BG" w:eastAsia="en-US" w:bidi="ar-SA"/>
      </w:rPr>
    </w:lvl>
    <w:lvl w:ilvl="3" w:tplc="E11688FC">
      <w:numFmt w:val="bullet"/>
      <w:lvlText w:val="•"/>
      <w:lvlJc w:val="left"/>
      <w:pPr>
        <w:ind w:left="2855" w:hanging="360"/>
      </w:pPr>
      <w:rPr>
        <w:rFonts w:hint="default"/>
        <w:lang w:val="bg-BG" w:eastAsia="en-US" w:bidi="ar-SA"/>
      </w:rPr>
    </w:lvl>
    <w:lvl w:ilvl="4" w:tplc="A1BE9BF0">
      <w:numFmt w:val="bullet"/>
      <w:lvlText w:val="•"/>
      <w:lvlJc w:val="left"/>
      <w:pPr>
        <w:ind w:left="3774" w:hanging="360"/>
      </w:pPr>
      <w:rPr>
        <w:rFonts w:hint="default"/>
        <w:lang w:val="bg-BG" w:eastAsia="en-US" w:bidi="ar-SA"/>
      </w:rPr>
    </w:lvl>
    <w:lvl w:ilvl="5" w:tplc="DEA062AA">
      <w:numFmt w:val="bullet"/>
      <w:lvlText w:val="•"/>
      <w:lvlJc w:val="left"/>
      <w:pPr>
        <w:ind w:left="4693" w:hanging="360"/>
      </w:pPr>
      <w:rPr>
        <w:rFonts w:hint="default"/>
        <w:lang w:val="bg-BG" w:eastAsia="en-US" w:bidi="ar-SA"/>
      </w:rPr>
    </w:lvl>
    <w:lvl w:ilvl="6" w:tplc="B1769E98">
      <w:numFmt w:val="bullet"/>
      <w:lvlText w:val="•"/>
      <w:lvlJc w:val="left"/>
      <w:pPr>
        <w:ind w:left="5611" w:hanging="360"/>
      </w:pPr>
      <w:rPr>
        <w:rFonts w:hint="default"/>
        <w:lang w:val="bg-BG" w:eastAsia="en-US" w:bidi="ar-SA"/>
      </w:rPr>
    </w:lvl>
    <w:lvl w:ilvl="7" w:tplc="C2DAC2DA">
      <w:numFmt w:val="bullet"/>
      <w:lvlText w:val="•"/>
      <w:lvlJc w:val="left"/>
      <w:pPr>
        <w:ind w:left="6530" w:hanging="360"/>
      </w:pPr>
      <w:rPr>
        <w:rFonts w:hint="default"/>
        <w:lang w:val="bg-BG" w:eastAsia="en-US" w:bidi="ar-SA"/>
      </w:rPr>
    </w:lvl>
    <w:lvl w:ilvl="8" w:tplc="ACCE0AA2">
      <w:numFmt w:val="bullet"/>
      <w:lvlText w:val="•"/>
      <w:lvlJc w:val="left"/>
      <w:pPr>
        <w:ind w:left="7449" w:hanging="360"/>
      </w:pPr>
      <w:rPr>
        <w:rFonts w:hint="default"/>
        <w:lang w:val="bg-BG" w:eastAsia="en-US" w:bidi="ar-SA"/>
      </w:rPr>
    </w:lvl>
  </w:abstractNum>
  <w:abstractNum w:abstractNumId="2" w15:restartNumberingAfterBreak="0">
    <w:nsid w:val="662A2EB6"/>
    <w:multiLevelType w:val="hybridMultilevel"/>
    <w:tmpl w:val="5FCCA2FC"/>
    <w:lvl w:ilvl="0" w:tplc="1F5C9714">
      <w:start w:val="1"/>
      <w:numFmt w:val="decimal"/>
      <w:lvlText w:val="%1."/>
      <w:lvlJc w:val="left"/>
      <w:pPr>
        <w:ind w:left="102" w:hanging="240"/>
      </w:pPr>
      <w:rPr>
        <w:rFonts w:hint="default"/>
        <w:b/>
        <w:bCs/>
        <w:spacing w:val="-4"/>
        <w:w w:val="100"/>
        <w:lang w:val="bg-BG" w:eastAsia="en-US" w:bidi="ar-SA"/>
      </w:rPr>
    </w:lvl>
    <w:lvl w:ilvl="1" w:tplc="80C21FD2">
      <w:numFmt w:val="bullet"/>
      <w:lvlText w:val="•"/>
      <w:lvlJc w:val="left"/>
      <w:pPr>
        <w:ind w:left="1018" w:hanging="240"/>
      </w:pPr>
      <w:rPr>
        <w:rFonts w:hint="default"/>
        <w:lang w:val="bg-BG" w:eastAsia="en-US" w:bidi="ar-SA"/>
      </w:rPr>
    </w:lvl>
    <w:lvl w:ilvl="2" w:tplc="1FEE539A">
      <w:numFmt w:val="bullet"/>
      <w:lvlText w:val="•"/>
      <w:lvlJc w:val="left"/>
      <w:pPr>
        <w:ind w:left="1937" w:hanging="240"/>
      </w:pPr>
      <w:rPr>
        <w:rFonts w:hint="default"/>
        <w:lang w:val="bg-BG" w:eastAsia="en-US" w:bidi="ar-SA"/>
      </w:rPr>
    </w:lvl>
    <w:lvl w:ilvl="3" w:tplc="A3243908">
      <w:numFmt w:val="bullet"/>
      <w:lvlText w:val="•"/>
      <w:lvlJc w:val="left"/>
      <w:pPr>
        <w:ind w:left="2855" w:hanging="240"/>
      </w:pPr>
      <w:rPr>
        <w:rFonts w:hint="default"/>
        <w:lang w:val="bg-BG" w:eastAsia="en-US" w:bidi="ar-SA"/>
      </w:rPr>
    </w:lvl>
    <w:lvl w:ilvl="4" w:tplc="5E9C1764">
      <w:numFmt w:val="bullet"/>
      <w:lvlText w:val="•"/>
      <w:lvlJc w:val="left"/>
      <w:pPr>
        <w:ind w:left="3774" w:hanging="240"/>
      </w:pPr>
      <w:rPr>
        <w:rFonts w:hint="default"/>
        <w:lang w:val="bg-BG" w:eastAsia="en-US" w:bidi="ar-SA"/>
      </w:rPr>
    </w:lvl>
    <w:lvl w:ilvl="5" w:tplc="C2ACCA9E">
      <w:numFmt w:val="bullet"/>
      <w:lvlText w:val="•"/>
      <w:lvlJc w:val="left"/>
      <w:pPr>
        <w:ind w:left="4693" w:hanging="240"/>
      </w:pPr>
      <w:rPr>
        <w:rFonts w:hint="default"/>
        <w:lang w:val="bg-BG" w:eastAsia="en-US" w:bidi="ar-SA"/>
      </w:rPr>
    </w:lvl>
    <w:lvl w:ilvl="6" w:tplc="A0BE1C32">
      <w:numFmt w:val="bullet"/>
      <w:lvlText w:val="•"/>
      <w:lvlJc w:val="left"/>
      <w:pPr>
        <w:ind w:left="5611" w:hanging="240"/>
      </w:pPr>
      <w:rPr>
        <w:rFonts w:hint="default"/>
        <w:lang w:val="bg-BG" w:eastAsia="en-US" w:bidi="ar-SA"/>
      </w:rPr>
    </w:lvl>
    <w:lvl w:ilvl="7" w:tplc="21D8A070">
      <w:numFmt w:val="bullet"/>
      <w:lvlText w:val="•"/>
      <w:lvlJc w:val="left"/>
      <w:pPr>
        <w:ind w:left="6530" w:hanging="240"/>
      </w:pPr>
      <w:rPr>
        <w:rFonts w:hint="default"/>
        <w:lang w:val="bg-BG" w:eastAsia="en-US" w:bidi="ar-SA"/>
      </w:rPr>
    </w:lvl>
    <w:lvl w:ilvl="8" w:tplc="63BA6C06">
      <w:numFmt w:val="bullet"/>
      <w:lvlText w:val="•"/>
      <w:lvlJc w:val="left"/>
      <w:pPr>
        <w:ind w:left="7449" w:hanging="240"/>
      </w:pPr>
      <w:rPr>
        <w:rFonts w:hint="default"/>
        <w:lang w:val="bg-BG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8FA"/>
    <w:rsid w:val="0006541C"/>
    <w:rsid w:val="00153528"/>
    <w:rsid w:val="001F6D17"/>
    <w:rsid w:val="003C0907"/>
    <w:rsid w:val="003D5D7F"/>
    <w:rsid w:val="00451A43"/>
    <w:rsid w:val="004610E5"/>
    <w:rsid w:val="00482BC7"/>
    <w:rsid w:val="00523A7E"/>
    <w:rsid w:val="0053659A"/>
    <w:rsid w:val="006E31C4"/>
    <w:rsid w:val="007608FA"/>
    <w:rsid w:val="00840187"/>
    <w:rsid w:val="008921A2"/>
    <w:rsid w:val="008B60B3"/>
    <w:rsid w:val="008E44F4"/>
    <w:rsid w:val="008E59FB"/>
    <w:rsid w:val="009C11B0"/>
    <w:rsid w:val="009C48A7"/>
    <w:rsid w:val="00B87D53"/>
    <w:rsid w:val="00B961FD"/>
    <w:rsid w:val="00C5454F"/>
    <w:rsid w:val="00DB62A2"/>
    <w:rsid w:val="00E8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0E520"/>
  <w15:docId w15:val="{3C324607-94FC-4C4C-B735-1B538F3A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ind w:left="102" w:firstLine="85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85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85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87D53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B87D53"/>
    <w:rPr>
      <w:rFonts w:ascii="Times New Roman" w:eastAsia="Times New Roman" w:hAnsi="Times New Roman" w:cs="Times New Roman"/>
      <w:lang w:val="bg-BG"/>
    </w:rPr>
  </w:style>
  <w:style w:type="paragraph" w:styleId="a7">
    <w:name w:val="footer"/>
    <w:basedOn w:val="a"/>
    <w:link w:val="a8"/>
    <w:uiPriority w:val="99"/>
    <w:unhideWhenUsed/>
    <w:rsid w:val="00B87D53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B87D53"/>
    <w:rPr>
      <w:rFonts w:ascii="Times New Roman" w:eastAsia="Times New Roman" w:hAnsi="Times New Roman" w:cs="Times New Roman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451A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451A43"/>
    <w:rPr>
      <w:rFonts w:ascii="Segoe UI" w:eastAsia="Times New Roman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2</cp:revision>
  <cp:lastPrinted>2021-11-23T12:05:00Z</cp:lastPrinted>
  <dcterms:created xsi:type="dcterms:W3CDTF">2021-11-23T12:30:00Z</dcterms:created>
  <dcterms:modified xsi:type="dcterms:W3CDTF">2021-11-23T12:30:00Z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2020-12-14T00:00:00Z</vt:filetime>
  </property>
</Properties>
</file>