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F4" w:rsidRDefault="00B96EC9">
      <w:hyperlink r:id="rId4" w:history="1">
        <w:r>
          <w:rPr>
            <w:rStyle w:val="Hyperlink"/>
          </w:rPr>
          <w:t>https://www.mzh.gov</w:t>
        </w:r>
        <w:bookmarkStart w:id="0" w:name="_GoBack"/>
        <w:bookmarkEnd w:id="0"/>
        <w:r>
          <w:rPr>
            <w:rStyle w:val="Hyperlink"/>
          </w:rPr>
          <w:t>ernment.bg/bg/politiki-i-programi/politiki-i-strategii/</w:t>
        </w:r>
      </w:hyperlink>
    </w:p>
    <w:sectPr w:rsidR="00C637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C9"/>
    <w:rsid w:val="00B96EC9"/>
    <w:rsid w:val="00C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4EF96-ABD9-4BF8-9418-CC900682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zh.government.bg/bg/politiki-i-programi/politiki-i-strate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ODZMONT02</dc:creator>
  <cp:keywords/>
  <dc:description/>
  <cp:lastModifiedBy>ODZMONT02</cp:lastModifiedBy>
  <cp:revision>1</cp:revision>
  <dcterms:created xsi:type="dcterms:W3CDTF">2020-02-14T14:43:00Z</dcterms:created>
  <dcterms:modified xsi:type="dcterms:W3CDTF">2020-02-14T14:48:00Z</dcterms:modified>
</cp:coreProperties>
</file>