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0ED7">
      <w:pPr>
        <w:jc w:val="center"/>
        <w:rPr>
          <w:rFonts w:ascii="Verdana" w:eastAsia="Times New Roman" w:hAnsi="Verdana" w:cs="Verdana"/>
          <w:sz w:val="28"/>
          <w:szCs w:val="28"/>
          <w:highlight w:val="white"/>
          <w:shd w:val="clear" w:color="auto" w:fill="FEFEFE"/>
        </w:rPr>
      </w:pPr>
      <w:bookmarkStart w:id="0" w:name="_GoBack"/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3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17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СХЕМИТЕ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ДИРЕКТНИ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bookmarkEnd w:id="0"/>
    </w:p>
    <w:p w:rsidR="00000000" w:rsidRDefault="00A50ED7">
      <w:pPr>
        <w:spacing w:before="283"/>
        <w:ind w:firstLine="850"/>
        <w:rPr>
          <w:rFonts w:ascii="Verdana" w:eastAsia="Times New Roman" w:hAnsi="Verdana" w:cs="Verdana"/>
          <w:sz w:val="28"/>
          <w:szCs w:val="28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27.02.2015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A50ED7">
      <w:pPr>
        <w:spacing w:before="283"/>
        <w:ind w:firstLine="850"/>
        <w:rPr>
          <w:rFonts w:ascii="Verdana" w:eastAsia="Times New Roman" w:hAnsi="Verdana" w:cs="Verdana"/>
          <w:sz w:val="28"/>
          <w:szCs w:val="28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Издадена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министъра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земеделието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храните</w:t>
      </w:r>
    </w:p>
    <w:p w:rsidR="00000000" w:rsidRDefault="00A50ED7">
      <w:pPr>
        <w:spacing w:before="283"/>
        <w:ind w:firstLine="850"/>
        <w:jc w:val="both"/>
        <w:rPr>
          <w:rFonts w:ascii="Verdana" w:eastAsia="Times New Roman" w:hAnsi="Verdana" w:cs="Verdana"/>
          <w:sz w:val="28"/>
          <w:szCs w:val="28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Обн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.16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27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.31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.80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16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.16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2016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.50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1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2016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.69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2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2016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.19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.77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.17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23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.42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22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.57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10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.73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.20 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8 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A50ED7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положения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тази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1.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26.02.2016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единно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2.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26.02.2016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преразпределително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3.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26.02.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практики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благоприятни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климата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зелени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4.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26.02.2016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млади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5.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26.02.2016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дребни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6.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26.02.2016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обвързано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7.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26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.02.2016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памук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8.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26.02.2016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преходна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ред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схемите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директни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плащания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зелено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единно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СЕПП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хектари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тях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селскостопанските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практики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благоприятни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климата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1307/2013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селскостопанска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отмяна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637/2008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73/2009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L 347/608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20.12.2013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1307/2013).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Разплащателна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изчислява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дяловете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различните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връзка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диверсификация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1307/2013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юли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Екологично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чувствителни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1307/2013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всички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постоя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намиращи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Списъкът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обнародван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(2)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Екологично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чувствителните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обособена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който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горите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16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достъп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интегрираната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администриране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5. (1)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Екологично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насочените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ЕНП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оставена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угар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особености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ландшафта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ивици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краищата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дървесни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кратък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цикъл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ротация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междинни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зелена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покривка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азотфиксиращи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(2)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Екологично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насочените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обработваеми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дървесни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кратък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цикъл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ротация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Особеностите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ландшафта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прилежащи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непосредствено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допиращи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него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(3)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Екологично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насочените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ЗПЗП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оставени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угар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януари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календарната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юли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7.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Особености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ландшафта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1.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плетове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обрасли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дървесна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ивици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целите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ЕНП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изчисляват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широчина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2.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3.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4.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горички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група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целите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ЕНП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изчисляват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0,3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5.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синори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широчина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между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върху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произвежда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елите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ЕНП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изчисляват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широчина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6.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7.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9.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10.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,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22.05.2018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Ивици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краищата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широчина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върху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произвежда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паша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коситба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ивицата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продъ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лжава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различима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съседната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11.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дървесни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кратък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цикъл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ротация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засадени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бързорастящи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дървесни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видове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максимален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цикъл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реколтиране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Дървесните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многогодишни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корени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дънери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остават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прибиране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реколтата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следващия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сезон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появяват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издънки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(2)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26.02.2016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заети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Черна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елша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(Alnus glutinosa),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Сребролистна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липа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(Tilia tomentosa),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бряст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(Ulmus minor),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Леска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(Corylus avellana),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Източен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чинар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(Platanus orientalis)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Черница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(Morus spp.),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гъстота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6000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(3)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26.02.2016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Върху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дървесни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кратък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цикъл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ротация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разрешена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употребата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минерални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торове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(4)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26.02.2016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употребяват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върху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дървесни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кратък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цикъл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ротация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върби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тополи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двегодишна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12. (1)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междинни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зелена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покривка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засети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подсети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трева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бобови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основната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Междинни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смески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нежитни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повърхност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между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прибиране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предшестващата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основна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сеитбата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следващата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основна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междинни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зелена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покривка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засети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зимни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реколта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паша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(4)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26.02.2016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Междинните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засети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налични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(5)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26.02.2016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Межди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налични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април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следваща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азотфиксиращи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засети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цялата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изчисляване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ЕНП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тегловни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коефициенти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коефициенти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преобразуване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4.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15. (1)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млади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първи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придобити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умения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познания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1.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завършено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ветеринарната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завършено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насоченост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завършено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висше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ветеринарна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завършено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висше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насоченост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завършен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курс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минимум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150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степен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(2)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26.02.2016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млади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50,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1307/2013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ефективен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дългосрочен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49,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буква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Делегира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639/2014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март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1307/2013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елскостопанска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X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L 181/1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20.06.2014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639/2014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върху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ползите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рискове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председатели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орган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дружеството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кооперацията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общото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дружеството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кооперацията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половина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неограничено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отговорните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съдружници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дружеството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капитала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еднолично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търговско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дружество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млади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50,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1307/2013,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упражняващи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ефективен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дългосрочен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върху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16.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дребни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СЕПП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дребни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оттеглят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уч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астието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отбележат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следваща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прекрати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дребни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включване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мерът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годишното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всеки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буква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1307/2013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закръгляне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сумите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подаденото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2015,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целия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участието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памук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памукът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произведен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използваните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сортове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Сортовата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листа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каталог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публикувани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hyperlink r:id="rId4" w:history="1">
        <w:r>
          <w:rPr>
            <w:rFonts w:ascii="Verdana" w:eastAsia="Times New Roman" w:hAnsi="Verdana" w:cs="Verdana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електронната </w:t>
        </w:r>
        <w:r>
          <w:rPr>
            <w:rFonts w:ascii="Verdana" w:eastAsia="Times New Roman" w:hAnsi="Verdana" w:cs="Verdana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</w:t>
        </w:r>
      </w:hyperlink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сортоизпитване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апробация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гъстота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посевите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8000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(2)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доставят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посевния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посадъчния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сортовете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Сортовата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листа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етикет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служба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членка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сортов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hyperlink r:id="rId5" w:history="1">
        <w:r>
          <w:rPr>
            <w:rFonts w:ascii="Verdana" w:eastAsia="Times New Roman" w:hAnsi="Verdana" w:cs="Verdana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Общия каталог на сортовете от земеделски растителни видове</w:t>
        </w:r>
      </w:hyperlink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публикуван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Официален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съюз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изкупуване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произведената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тях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памук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преработватели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складови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разписки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Разплащателна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адрес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адрес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упълн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омощен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(3)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памук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прибрана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18.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обвързано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обвързано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млечни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обвързано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млечни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селекционен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обвързано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млечни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планински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(5 - 9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обвързано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месодайни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юници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обвързано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месодайни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селекционен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обвързано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планински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(10 - 49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обвързано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селекционен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обвързано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биволи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обвързано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плодове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основна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група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обвързано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плодове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десертно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грозде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11.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обвързано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зеленчуци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домати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краставици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корнишони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патладжан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12.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обвързано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зеленчуци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пипер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13.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обвързано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зеленчуци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картофи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лук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чесън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14.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обвързано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зеле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нчуци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моркови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зеле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пъпеши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15.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12 -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обвързано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оранжерийни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зеленчуци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16.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14 -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обвързано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протеинови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19.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обвързано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млечни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млечни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идентифицирани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ушна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ухо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еднакъв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дентификационен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номер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въведени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обект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132,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ветеринарномедицинската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ЗВД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индивидуални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паспорти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132,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ЗВД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продължат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млечни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следващ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последния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 xml:space="preserve">(4)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реализирали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млечни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еквивалент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съответстващи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1500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млечна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изцяло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планински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млечна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(5)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реализирали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тази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реализация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19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 (1)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обвързано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млечни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селекционен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млечни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порода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селекционен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Главния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раздел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родословна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книга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2016/1012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юни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зоотехнически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генеалогични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развъждане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търговия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Съюза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чистопородни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разплодни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хибридни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разплодни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свине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зародишни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тях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652/2014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директиви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89/608/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90/425/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ЕИО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отмяна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актове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развъждането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(OB L 171, 29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юни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наричан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нататък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разплодните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идентифицирани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ушна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ухо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еднакъв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номер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въведени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обект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132,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ЗВД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индивидуални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паспорти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132,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ЗВД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5.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зоотехнически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ертификати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26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ЗПЗП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продължат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следващ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последния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(4)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реализирали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млечни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квивалент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съответстващи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1500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млечна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застрашените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изчезване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комбинираните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породи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4000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млечна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породи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(5)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ИАСРЖ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реализирали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тази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реализация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19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обвързано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млечни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планински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(5 - 9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9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чиито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планински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идентифицирани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ушна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ухо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еднакъв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номер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въведени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обект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132,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ЗВД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индивидуални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паспорти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132,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ЗВД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продължат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млечни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следващ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последния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опустими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20.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обвързано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месодайни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юници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месодайни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юници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идентифицирани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ушна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ухо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еднакъв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идентификацион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номер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въведени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обект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132,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ЗВД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индивидуални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паспорти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132,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ЗВД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продължат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месодайни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юници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следващ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последния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(4)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реализирали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пазара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съответстващи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0,2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(5)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4.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21.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 (1)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обвързано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месодайни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селекционен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оглеждат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месодайни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порода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селекционен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Главния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раздел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родословната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книга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тствие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разплодните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идентифицирани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ушна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ухо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еднакъв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номер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въведени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обект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132,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ЗВД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индивидуални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паспорти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132,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ЗВД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5.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зоотехнически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сертификати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26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ЗПЗП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продължат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следващ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последния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(4)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реализирали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пазара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съответстващи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0,25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(5)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ИАСРЖ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4.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22. (1)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26.02.2016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ързано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планински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(10 - 49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чиито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планински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тях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49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49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49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(2)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идентифицирани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обикновена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ушна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еле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ктронно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родени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31.12.2009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обикновена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ушна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родени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31.12.2009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въведени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обект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132,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ЗВД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(3)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продължат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следващ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последния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(4)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23.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8966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02.07.2018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ВАС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10.07.2018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73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04.09.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обвързано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селекционен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1. 50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селекционен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порода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селекционен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порода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идентифицирани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обикновена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ушна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родени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31.12.2009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обикновена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ушна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родени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31.12.2009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въведени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обект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132,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ЗВД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доказан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животновъдството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зоотехнически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сертификати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26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ПЗП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продължат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следващ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последния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1.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млечните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породи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реализирали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пазара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млечни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еквивалент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съответстващи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70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0,2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2.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породи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ползвани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реализирали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пазара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съответстващи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0,5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3.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автохтонни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породи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реализирали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пазара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млечни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еквивалент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съответстващи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0,2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ИАСРЖ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4.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24.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обвързано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биволи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биволи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(2)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идентифицирани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ушна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ухо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еднакъв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номер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въведени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обект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132,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ЗВД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индивидуални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паспорти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идентифициране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132,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ЗВД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(3)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продължат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биволи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следващ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последния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(4)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реализирали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млечни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еквивалент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съответстващи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(5)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4.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25. (1)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дидати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1 - 8,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други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отговарящи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юниците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биволите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овцете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събитието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наложило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2.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отдел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замяна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юници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биволи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(2)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19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1 - 8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изплаща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преместили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всички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заменили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обект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пасище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отговарящ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отразено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30,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Делегиран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640/2014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март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1306/2013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интегрираната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администриране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оттегляне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санкции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кръстосаното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L 181/48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20.06.2014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Делегиран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640/2014).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26. (1)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ишен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текст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само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1 - 7.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(2)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преходна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обвързано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селекционен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(3)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27.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2, 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считано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изплаща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само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млечно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месодайно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изплаща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(3)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първата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обвързано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породата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счита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неустановено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(4)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.,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26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ЗПЗП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биволи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несъответствия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връзка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отнасят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грешни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132,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ЗВД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паспортите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последователни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месеца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считат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неустановени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27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 (1)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Реализацията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количествата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19, 19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23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55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пазарите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съюз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специфичните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доставки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суровини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3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ъздаване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доказва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1.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фактури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фискални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касови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бележки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фискално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2.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реквизитите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счетоводството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данъцит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върху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доходите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фактури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реализирани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доставки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доставят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други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членки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съюз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фактури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касови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бележки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продажби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млечни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специфичните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доставки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суровини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наричана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нататък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.";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5.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фактури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фискални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касови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бележки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фискално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реализирани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млечни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преработена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собствена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затворен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цикъл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млекопреработвателно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търговия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дребно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неживотински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Секция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IX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Млечни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приемно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предавателн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реквизитите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счетоводството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доставка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сурово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преработка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ишлеме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млекопреработвателно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7.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фактури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касови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бележки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продадено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сурово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други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изхранване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(2)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(3)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безопасн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актуална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извадка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продажби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формат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списък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приятия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търговия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членки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Секция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IX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Млечни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списък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първични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Група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19 -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обекти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търговия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дреб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осъществяващи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(4)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горите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списък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първични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фуражи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(5)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превръщане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млякото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обемни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тегловни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единици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млечния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еквивалент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млечни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методиката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(7)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(8)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26.09.2017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27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Реализацията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пазара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20, 21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спазване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ветеринарномедицинските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придвижване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транспортиране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търговия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изнасяне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пускане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пазара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ветеринарномедицинската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доказва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фактури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реквизитите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счетоводството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данъците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върху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доходите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приемно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предавателни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между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кланица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реквизитите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счетоводството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клане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ишлеме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фак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услуга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кланицата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затворен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цикъл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придвижване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затворен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цикъл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интег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рираната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Ветис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търговия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износ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копие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вътрешна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търговия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здравословно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износ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27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19, 19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20, 21, 23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удостоверяват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реализираните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млечни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еквивалент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реализираните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пазара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27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27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опис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19, 19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20, 21, 23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24,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представен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всеки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20, 21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описват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всеки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номер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ветеринарномедицинското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придвижване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отнася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декларациите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описът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адрес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адрес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28.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 (1)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стърът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храните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горите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1 - 8.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(2)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инистърът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горите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2, 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модулиран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първите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30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всички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съотношението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между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 1,1:1.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(3)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горите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модулиран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първите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100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100-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съотношението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между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 1,1:1.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(4)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,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страниците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hyperlink r:id="rId6" w:history="1">
        <w:r>
          <w:rPr>
            <w:rFonts w:ascii="Verdana" w:eastAsia="Times New Roman" w:hAnsi="Verdana" w:cs="Verdana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Министерството на земеделието, храните и горите</w:t>
        </w:r>
      </w:hyperlink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hyperlink r:id="rId7" w:history="1">
        <w:r>
          <w:rPr>
            <w:rFonts w:ascii="Verdana" w:eastAsia="Times New Roman" w:hAnsi="Verdana" w:cs="Verdana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ДФЗ - РА</w:t>
        </w:r>
      </w:hyperlink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29.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обвързано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плодове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цялата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страна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стопанисват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минимум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0,5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заедно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поотделно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пустими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плодове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видове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ягоди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ябълки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круши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кайсии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зарзали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череши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вишни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праскови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нектарини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заети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лтурите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0,1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2, 3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1307/2013;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реализиран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пазара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добив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толкова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хектари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колкото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реализирали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плодове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представили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казателства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завишено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първите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хектара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нисък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Съотношението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между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1,5:1.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29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обвързано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сливи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десертно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грозде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цялата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страна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стопанисват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мум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0,5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заедно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поотделно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сливи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десертно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грозде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заети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0,1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2, 3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1307/2013;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реализиран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пазара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добив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толкова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хектари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колкото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реализирали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плодове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представили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завишено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първите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хектара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нисък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Съотношението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между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1,5: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1.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30.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 (1)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обвързано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зеленчуци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домати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краставици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корнишони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патладжан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цялата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страна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стопанисват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минимум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0,5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зеленчуци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заедно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поотделно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видове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домати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краставици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корнишони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патладжан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пипер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лук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оркови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зеле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пъпеши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чесън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картофи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зеленчуци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оранжерийно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заедно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поотделно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видове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домати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пипер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краставици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1.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заети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домати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краставици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корнишони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патладжан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0,1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2.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тях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домати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краставици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корнишони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патладжан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2, 3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1307/2013;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4.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реализиран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пазара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добив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домати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краставици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корнишони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патладжан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(3)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подле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домати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краставици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корнишони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патладжан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толкова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хектари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колкото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оказателства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 xml:space="preserve">(5)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завишено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първите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хектара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нисък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отношението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между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1,5:1.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30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 (1)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обвързано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пипер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цялата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страна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стопанисват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минимум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0,5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зеленчуци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заедно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поотделно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видове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пипер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домати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краставици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корнишони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лук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патладжан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оркови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зеле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пъпеши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чесън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картофи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зеленчуци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оранжерийно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заедно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поотделно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видове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домати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пипер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краставици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1.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заети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пипер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0,1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2.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тях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пипер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2, 3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1307/2013;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4.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реализиран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пазара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добив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пипер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толкова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хектари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колкото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завишено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първите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хектара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нисък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Съотношението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между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1,5:1.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30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обвързано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зеленчуци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картофи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лук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чесън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цялата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страна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стопанисват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мум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0,5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зеленчуци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заедно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поотделно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видове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картофи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лук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чесън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домати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краставици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корнишони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патладжан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пипер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моркови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зеле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пъпеши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зеленчуци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оранж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ерийно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заедно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поотделно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видове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домати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пипер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краставици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заети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картофи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лук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чесън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тях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картофи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лук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чесън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2, 3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1307/2013;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реализиран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пазара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добив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картофи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кромид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лук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чесън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толкова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хектари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колкото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завишено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първите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хектара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нисък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Съотношението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между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1,5:1.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30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обвързано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зеленчуци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моркови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зеле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пъпеши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цялата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страна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стопанисват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минимум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0,5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зеленчуци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заедно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поотделно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видове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моркови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зеле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пъпеши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картофи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лук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чесъ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домати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краставици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корнишони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патладжан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пипер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зеленчуци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оранжерийно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заедно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поотделно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видове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домати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пипер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краставици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заети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моркови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зеле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пъпеши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0,1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тях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моркови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зеле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пъпеши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2, 3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1307/2013;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реализиран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пазара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добив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моркови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зеле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пъпеши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ределя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толкова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хектари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колкото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завишено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първите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хектара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нисък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Съотношението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между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1,5:1.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31.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 (1)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обвързано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зеленчуци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оранжерийно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цялата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страна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стопанисват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минимум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0,5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зеленчуци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заедно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поотделно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видове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домати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пипер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краставици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оранжерийно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зеленчуци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заедно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поотделно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видове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домати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пипер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ставици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корнишони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лук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патладжан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моркови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зеле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пъпеши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чесън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картофи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(2)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реализиран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пазара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добив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оранжерийно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сертифицирано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удостоверяват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добиви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50 %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добиви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1.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заети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домати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пипер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краставици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оранжерийно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0,1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тях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домати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пипер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краставици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оранжерийно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2, 3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1307/2013.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зеленчуци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оранжерийно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(5)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хектари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реализирали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добив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домати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пипер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краставици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оранжерийно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представили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реализиран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добив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сертифицирано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удостоверяват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добиви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50 %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добиви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31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2, 3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1307/2013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29, 29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, 30, 30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, 30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, 30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съпоставка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начина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трайно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физическия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блок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който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попада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горите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ъществява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теренни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блокове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актуализация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СИЗП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32. (1)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02.09.2016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29, 29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, 30, 30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, 30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, 30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удостоверяват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добиви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опис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произведената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както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доказват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нейната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реализация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(2)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02.09.2016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доказват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реализацията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продукцията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фактури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фискални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касови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бележки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фискално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реквизитите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счетоводството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данъците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върху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доходите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(3)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02.09.2016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обекти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пакетиране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плодове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зеленчуци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търговия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дребно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неживотински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частта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Обекти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пакетиране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плодове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зеленчуци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Група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реквизитите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счетоводството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преработена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тях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собствена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(4)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02.09.2016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(5)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02.09.2016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29, 29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, 30, 30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, 30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, 30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сертифицирано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удостоверяват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добиви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50 %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добиви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(6)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02.09.2016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януари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следваща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упълномощен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областни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отдел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(7)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02.09.2016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адрес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адрес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едноли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търговец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(8)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26.02.2016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02.09.2016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януари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ледващата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календарна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32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02.09.2016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оторизация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недължимо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платени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надплатени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суми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предприема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събирането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ЗПЗП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33. (1)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обвърз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протеинови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цялата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страна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стопанисват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минимум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0,5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заедно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поотделно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протеинови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фасул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зърно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леща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нахут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грах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зърно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зимен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пролетен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грах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фъстъци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бакла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люцерна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еспарзета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детелина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вигна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бурчак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лупина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звездан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смески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тях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протеинови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0,1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2, 3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1307/2013.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обвързано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протеинови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хектар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34. (1)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горите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хектар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9 - 16.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(2)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страниците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hyperlink r:id="rId8" w:history="1">
        <w:r>
          <w:rPr>
            <w:rFonts w:ascii="Verdana" w:eastAsia="Times New Roman" w:hAnsi="Verdana" w:cs="Verdana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Министерството на земеделието, храните и горите</w:t>
        </w:r>
      </w:hyperlink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hyperlink r:id="rId9" w:history="1">
        <w:r>
          <w:rPr>
            <w:rFonts w:ascii="Verdana" w:eastAsia="Times New Roman" w:hAnsi="Verdana" w:cs="Verdana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Държавен фонд "Земеделие"</w:t>
        </w:r>
      </w:hyperlink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34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нарушили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1306/2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финансирането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мониторинга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селскостопанска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отмяна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ЕИО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352/78,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165/94,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2799/98,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814/2000,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1290/2005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485/2008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(OB L 347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.).</w:t>
      </w:r>
    </w:p>
    <w:p w:rsidR="00000000" w:rsidRDefault="00A50ED7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схемите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преходна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помощ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35.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преходна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преходна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хектар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преходна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тютюн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необвързана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производството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преходна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говеда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необвързана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преходна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обвързана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зводството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36.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преходна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хектар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всички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СЕПП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пасища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ливади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винени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сортове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лозя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тютюн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преходна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хектар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стопанисват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1. 0,5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трайни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всички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останали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37.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преходна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тютюн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необвързана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тютюн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която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референтния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2007 - 2009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ойто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изкупен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премиран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тютюна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тютюневите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изделия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преходна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тютюн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продължават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запознати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1.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производителите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тютюн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2.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селскостопанско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обект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3.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26.02.2016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регистрирали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ЗПЗП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0,1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(3)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01.07.2016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Преходната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тютюн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изплаща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килограм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средногодишното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изкупен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качествен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(1 - 3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класа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тютюн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сортови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групи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както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диференцирано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различните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сортовите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групи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референтния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изкупения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премиран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тютюн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Тютюн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тютюн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всичките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референтния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основ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средногодишното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изкупен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тютюн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сортови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групи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както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диференцирано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различните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сортовите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групи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тютюн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общото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заявяват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количеството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тютюн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подлежащо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декларират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продължават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ЗПЗП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Наследниците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починали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тях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продължават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упълномощават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тях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който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подаде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наследници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38. (1)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преходна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говеда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необвързана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говеда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биволи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продължават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последния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текущата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70 %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референтния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(3)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преходна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говеда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говедата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биволите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обекти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Наследниците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починали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упълномощават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тях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подаде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наследници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39.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обвързана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50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50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50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2.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идентифицирани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обикновена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ушна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родени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31.12.2009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обикновена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ушна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родени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31.12.2009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3.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въведени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продължат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80 %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следващ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последния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преходна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обвързана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(3)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28.04.2015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26.02.2016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други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отговарящи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овцете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събитието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наложило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2.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отдел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замяна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40.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източник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ржавния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бюджет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41. (1)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горите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хектар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хектари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2.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.,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01.07.2016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килограм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тютюн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37,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3;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39.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(2)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страниците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hyperlink r:id="rId10" w:history="1">
        <w:r>
          <w:rPr>
            <w:rFonts w:ascii="Verdana" w:eastAsia="Times New Roman" w:hAnsi="Verdana" w:cs="Verdana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Министерството на земеделието, храните и горите</w:t>
        </w:r>
      </w:hyperlink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hyperlink r:id="rId11" w:history="1">
        <w:r>
          <w:rPr>
            <w:rFonts w:ascii="Verdana" w:eastAsia="Times New Roman" w:hAnsi="Verdana" w:cs="Verdana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Държавен фонд "Земеделие"</w:t>
        </w:r>
      </w:hyperlink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42. (1)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Разплащателна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,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която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контролиращите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въвеждат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текущата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въвеждат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която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отнасят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43.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26.02.2016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 (1)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Разплащателна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администрат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ивни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1306/2013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няколко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начини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пълномощници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кампанията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която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3.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физическото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капитала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друго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пълномощник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географска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всички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декларирали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СЕПП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кампанията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която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значително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географска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всички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150 000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кампанията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която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намаление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43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ЗПЗП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(2)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разпореди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1306/2013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географски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1.</w:t>
      </w:r>
    </w:p>
    <w:p w:rsidR="00000000" w:rsidRDefault="00A50ED7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Допълнит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елни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§ 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тази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1.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женско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овцете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родило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веднъж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2.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женско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родило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веднъж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възрас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3.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Месодайни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месеца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4.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Юници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женски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говеда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месеца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още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отелвали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4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Биволи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обвързано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биволи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женски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месеца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5.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Говеда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биците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воловете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юниците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телетата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6.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Биволи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биволските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биц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мъжките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биволи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биволиците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малакините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малачетата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7.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Млечни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месеца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назначение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8.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всички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обекти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ЗВД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9.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завършен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курс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минимум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50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степен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означава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завършен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курс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150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завършено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150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степен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специалности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621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Растениевъдство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3451203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640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Ветеринарна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завършен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курс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150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висше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училище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акредитирано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висшето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актуални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акредитации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минимум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Растениевъдство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",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",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",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Ветеринарна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завършено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150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степен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някоя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институциите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обучават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специалността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която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центровете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лицензираните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ационалната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10.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Контролиращо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§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допълнителната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разпоредба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етикетиране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както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последващ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официален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надзор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върху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контролиращите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11.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26.02.2016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Географска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съпоставка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цифрови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географски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специализиран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Географските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софтуерен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Резултатът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географска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цифрови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географски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буквено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цифр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табличен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показват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териториална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съпоставимост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между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обекта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масиви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цифрова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географска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12.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Планински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землищата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критериите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необлагодетелстваните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териториалния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обхват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ПМС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13.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планинск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всички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обекти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ЗВД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планински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14.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доказан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произход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вързано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развъдните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ИАСРЖ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3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Родословната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книга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15.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Реализация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пазара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20, 21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придвижване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топанството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друг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придвижване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клане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регистрирана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кланица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придвижване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трети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клане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ишлеме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придвижване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клане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кланица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кланичен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пункт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затворен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цикъл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16.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Преработка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ишлеме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млечни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млекопреработвателно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поръчка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произведено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17.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Клане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ишлеме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клане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кланица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негова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поръчка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18.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Затворен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цикъл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преработката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млечни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клане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производител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млекопреработвателно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кланица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клан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пункт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§ 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38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§ 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влиза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ѝ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br/>
      </w:r>
    </w:p>
    <w:p w:rsidR="00000000" w:rsidRDefault="00A50ED7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ПРОИЗВОДИТЕЛИ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28.04.2015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</w:t>
      </w:r>
    </w:p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§ 14.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влиза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ѝ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A50ED7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lastRenderedPageBreak/>
        <w:t>Преходни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СХЕМИТЕ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ДИРЕКТНИ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26.0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</w:t>
      </w:r>
    </w:p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§ 17.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досегашният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§ 18.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влиза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ѝ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A50ED7">
      <w:pPr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УСЛ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ОВИЯТА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СХЕМИТЕ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ДИРЕКТНИ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ПЛАЩАНИЯ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01.07.2016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</w:t>
      </w:r>
    </w:p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§ 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допълнението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37,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изречения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първо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второ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думите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както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диференцирано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различните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ртовите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групи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§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думите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сортови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групи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37,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§ 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влиза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ѝ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ник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A50ED7">
      <w:pPr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СХЕМИТЕ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ДИРЕКТНИ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ПЛАЩАНИЯ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02.09.2016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</w:t>
      </w:r>
    </w:p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§ 6.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влиза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бнародването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ѝ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A50ED7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СХЕМИТЕ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ДИРЕКТНИ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</w:t>
      </w:r>
    </w:p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§ 28.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абревиат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урата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СИРЖ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заменя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A50ED7">
      <w:pPr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СХЕМИТЕ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ДИРЕКТНИ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ПЛАЩАНИЯ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</w:t>
      </w:r>
    </w:p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 xml:space="preserve">§ 35.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влиза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ѝ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A50ED7">
      <w:pPr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СХЕМИТЕ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ДИРЕКТНИ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ПЛАЩАНИЯ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26.09.2017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</w:t>
      </w:r>
    </w:p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§ 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влиза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ѝ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A50ED7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СХЕМИТЕ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ДИРЕКТНИ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ПЛАЩА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НИЯ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22.05.2018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</w:t>
      </w:r>
    </w:p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§ 14.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думите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горите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горите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A50ED7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СХЕМИТЕ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ДИРЕКТНИ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22.05.2018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</w:t>
      </w:r>
    </w:p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§ 15.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22.05.2018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Неприключените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досегаш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31.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§ 19.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влиза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ѝ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A50ED7">
      <w:pPr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ДОПЪЛНЕ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44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ВЕТЕРИНАРНОМЕДИЦИНСКИТЕ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ЖИВОТНОВЪДНИТЕ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ОБЕКТИ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22.05.2018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</w:t>
      </w:r>
    </w:p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§ 8.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влиза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ѝ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A50ED7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РЕДБА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lastRenderedPageBreak/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СХЕМИТЕ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ДИРЕКТНИ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73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04.09.2018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</w:t>
      </w:r>
    </w:p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§ 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влиза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ѝ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A50ED7">
      <w:pPr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СХЕМИТЕ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ДИРЕКТНИ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ПЛАЩАНИЯ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</w:t>
      </w:r>
    </w:p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§ 31.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влиза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ѝ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</w:t>
      </w:r>
    </w:p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Списък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дървесни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кратък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цикъл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ротация</w:t>
      </w:r>
    </w:p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Тополи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(Populus ssp.)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Черна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топола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(Populus nigra)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Бяла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топола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(Populus alba)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Трепетлика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(Populus tremula)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ксимален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цикъл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реколтиране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Върби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(Salix spp.)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Бяла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върба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(S. alba)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Тритичинкова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върба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(S. triandra)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Трошлива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върба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(S. fragilis)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Ракита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(S. purpurea)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(S. caprea)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Максимален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цикъл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реколтиране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Черна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елша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(Aln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us glutinosa)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Максимален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цикъл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реколтиране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Сребролистна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липа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(Tilia tomentosa)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Максимален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цикъл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реколтиране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бряст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(Ulmus minor)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Максимален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цикъл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реколтиране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Леска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(Corylus avellana)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Максимален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цикъл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реколтиране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Източен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чинар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(Platanus orientalis)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Максимален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цикъл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реколтиране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Черница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(Morus spp.)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Максимален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цикъл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реколтиране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br/>
      </w:r>
    </w:p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</w:t>
      </w:r>
    </w:p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0"/>
        <w:gridCol w:w="269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lastRenderedPageBreak/>
              <w:t>Списък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смески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междинни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кул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тури</w:t>
            </w:r>
          </w:p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Група</w:t>
            </w:r>
          </w:p>
          <w:p w:rsidR="00000000" w:rsidRDefault="00A50E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култури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Група</w:t>
            </w:r>
          </w:p>
          <w:p w:rsidR="00000000" w:rsidRDefault="00A50E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Нежитни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култури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ръж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тритикале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ечемик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звездан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пшеница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еспарзета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овес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леща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лимец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фасул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просо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нахут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сорго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бакла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метла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лупина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бурчак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синап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репко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фуражна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ряпа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рапица</w:t>
            </w:r>
          </w:p>
        </w:tc>
      </w:tr>
    </w:tbl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13</w:t>
      </w:r>
    </w:p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Списък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азотфиксиращи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култури</w:t>
      </w:r>
    </w:p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Люцерна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алфалфа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 - Medicago sativa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Боб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обикновен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фасул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фасул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неувивен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фасул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нисък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фасул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пешак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 - Phaseolus spp.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Боб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апсержов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боб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вигна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 - Vigna spp.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Нахут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Cicer spp.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Детелина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Trifolium spp.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Бакла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Vicia faba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Леща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Lens culinaris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Лупина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Lupinus spp.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Грах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Pisum spp.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Vicia spp.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Vicia faba)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Еспарзета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Onobrychis spp.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Звездан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Lotus corniculatus L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Glycine max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Бурчак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Vicia Ervilia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Фъстъци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Arachis Hypogaea.</w:t>
      </w:r>
    </w:p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br/>
      </w:r>
    </w:p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14</w:t>
      </w:r>
    </w:p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22.05.2018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</w:t>
      </w:r>
    </w:p>
    <w:tbl>
      <w:tblPr>
        <w:tblW w:w="9870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37"/>
        <w:gridCol w:w="1846"/>
        <w:gridCol w:w="1413"/>
        <w:gridCol w:w="97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8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57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000000" w:rsidRDefault="00A50ED7">
            <w:pPr>
              <w:spacing w:before="100" w:beforeAutospacing="1" w:after="57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Коефициен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преобразуване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тегловни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коефициенти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ЕНП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Характеристики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Коефициент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преобразуване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Тегловен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коефициент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ЕНП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Угари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плет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обрасла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дървесна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растителност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ивица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редици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дървета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10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орички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дървета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група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 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1,5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Синори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граници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Ивици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допустими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площи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границата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между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обработваеми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производство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Площи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дървесни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култури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кратък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цикъл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ация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0,5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Площи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междинни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култури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зелено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покритие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0,3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0,3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Площи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азотфиксиращи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култури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</w:t>
            </w:r>
          </w:p>
        </w:tc>
      </w:tr>
    </w:tbl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29, 29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, 30, 30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, 30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, 30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31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32</w:t>
      </w:r>
    </w:p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Предишно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29, 30, 31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предишно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29, 29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, 30, 30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31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</w:t>
      </w:r>
    </w:p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87"/>
        <w:gridCol w:w="1543"/>
        <w:gridCol w:w="113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Култури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Добив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кг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ха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Зеленчукови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култури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полско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производство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Домати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jc w:val="right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19 000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Пипер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jc w:val="right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13 400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Краставици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jc w:val="right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20 750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Корнишони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jc w:val="right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19 000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Главесто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зеле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jc w:val="right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17 460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Лук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jc w:val="right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12 450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Патладжан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jc w:val="right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18 980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Морков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jc w:val="right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12 430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Чесън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jc w:val="right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3 510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Картофи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jc w:val="right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19 900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Дини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jc w:val="right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24 870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lastRenderedPageBreak/>
              <w:t>Пъпеши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ind w:firstLine="283"/>
              <w:jc w:val="right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8 450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</w:tbl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87"/>
        <w:gridCol w:w="1543"/>
        <w:gridCol w:w="113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Овощни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култури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десертно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грозде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лодове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):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Добив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кг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ха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jc w:val="both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Ябълки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jc w:val="right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11 914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jc w:val="both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Ягоди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jc w:val="right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4 980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jc w:val="both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Круши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jc w:val="right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5 922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jc w:val="both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Кайсии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зарзали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jc w:val="right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4 970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jc w:val="both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Праскови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нектарини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jc w:val="right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7 500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jc w:val="both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Сливи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jc w:val="right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6 246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jc w:val="both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Череши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jc w:val="right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4 700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jc w:val="both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Вишни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jc w:val="right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3 718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jc w:val="both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Малини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jc w:val="right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3 300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jc w:val="both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Десертно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грозде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jc w:val="right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4 500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</w:tbl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br/>
      </w:r>
    </w:p>
    <w:tbl>
      <w:tblPr>
        <w:tblW w:w="0" w:type="auto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523"/>
        <w:gridCol w:w="1500"/>
        <w:gridCol w:w="141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7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Оранжерийно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производство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зеленчуци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: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7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инимален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добив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кг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ха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7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Среден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добив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кг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7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Домати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оранжерии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7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72 000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7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170 000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7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Пипер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оранжерии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7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45 000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7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85 000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7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Краставици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оранжерии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7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81 000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75" w:type="dxa"/>
              <w:bottom w:w="0" w:type="dxa"/>
            </w:tcMar>
            <w:vAlign w:val="center"/>
          </w:tcPr>
          <w:p w:rsidR="00000000" w:rsidRDefault="00A50ED7">
            <w:pPr>
              <w:spacing w:before="100" w:beforeAutospacing="1" w:after="100" w:afterAutospacing="1" w:line="262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250 000</w:t>
            </w:r>
          </w:p>
        </w:tc>
      </w:tr>
    </w:tbl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19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4</w:t>
      </w:r>
    </w:p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</w:t>
      </w:r>
    </w:p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Списък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застрашените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изчезване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комбинирани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породи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говеда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селекционен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Българско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говедо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Искърско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говедо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Родопско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късорого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говедо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Българско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родопско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говедо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Българско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ервено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говедо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Българско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кафяво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говедо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7.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Млечен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Симентал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</w:t>
      </w:r>
    </w:p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</w:t>
      </w:r>
    </w:p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Списък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автохтонните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породи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селекционен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</w:p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Каракачанска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Копривщенска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Сакарска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Котленска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старозагорска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карнобатска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Тетевенска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адностаропланинска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Брезнишка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Софийска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Елинпелинска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Средностаропланинска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Среднородопска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Медночервена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шуменска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Дъбенска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Реплянска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16.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Бяла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маришка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17.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Вакла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маришка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18.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Калоферска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дългокосместа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19.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дългокосместа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Малашевски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тип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20.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Българска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виторога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дългокосместа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дългокосместа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Списък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млечните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породи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селекционен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Синтетична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популация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Българска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млечн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Плевенска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черноглава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Лакон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Асаф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Аваси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Хиос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Българска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бяла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млечна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Англонубийска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Тогенбургска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Саанска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Алпийска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12.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Тюринген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Списък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породите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ползвани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селекционен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дьо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Франс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Мутон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шароле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Старопланински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Цигай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Родопски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Цигай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Кавказка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тънкорунна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Асканийска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тънкорунна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Североизточна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българска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тънкорунна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Тракийс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тънкорунна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Карнобатска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тънкорунна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Романовска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Боер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12.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Мутон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Вендеен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27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5</w:t>
      </w:r>
    </w:p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предишно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27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08.03.2019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</w:t>
      </w:r>
    </w:p>
    <w:p w:rsidR="00000000" w:rsidRDefault="00A50ED7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48"/>
        <w:gridCol w:w="34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A50E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МЕТОДИКА</w:t>
            </w:r>
          </w:p>
          <w:p w:rsidR="00000000" w:rsidRDefault="00A50ED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превръщане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сурово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мляко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обемни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тегловни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единици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млечните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продукти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мляко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млечен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екви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валент</w:t>
            </w:r>
          </w:p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І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1. 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литър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сурово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краве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козе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биволско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мляко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= 1,03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2. 1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литър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сурово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овче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мляко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= 1,035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ІІ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Необходимо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количество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сурово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мляко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килограми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получаване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килограм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готов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млечен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продукт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краве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козе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мляко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масл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= 22,5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мляко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сметана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= 7,90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мляко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сирене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твърдо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кашкавал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= 10,3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мляко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сирене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саламурено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       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= 6,8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мляко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кисело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мляко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= 1,04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мляко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млечна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извара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= 5,55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мляко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пастьоризирано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мляко</w:t>
            </w:r>
          </w:p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други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сирена</w:t>
            </w:r>
          </w:p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литър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айрян</w:t>
            </w:r>
          </w:p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катък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цедено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мляко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 xml:space="preserve">= 1,02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мляко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= 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мляко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 xml:space="preserve">= 0,55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мляко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= 3,4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мляко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 </w:t>
            </w:r>
          </w:p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 xml:space="preserve">2.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овче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мляко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: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сирене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твърдо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кашкавал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= 7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мляко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сирен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саламурено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      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= 4,8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мляко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кисело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мляко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= 1,06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мляко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пастьоризирано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мляко</w:t>
            </w:r>
          </w:p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други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сирена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= 1,04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мляко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= 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мляко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биволско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мляко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: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сирене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твърдо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кашкавал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      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= 10,1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мляко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сирене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бяло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саламурено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      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= 6,6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мляко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кисело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мляко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= 1,04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мляко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пастьоризирано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мляко</w:t>
            </w:r>
          </w:p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други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сирена</w:t>
            </w:r>
          </w:p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катък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= 1,02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мляко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= 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мляко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A50ED7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= 3,2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мляко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</w:tbl>
    <w:p w:rsidR="00A50ED7" w:rsidRDefault="00A50ED7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sectPr w:rsidR="00A50ED7">
      <w:pgSz w:w="12240" w:h="15840"/>
      <w:pgMar w:top="1080" w:right="1080" w:bottom="1080" w:left="108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C26"/>
    <w:rsid w:val="00A50ED7"/>
    <w:rsid w:val="00F9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07028A06-09AB-4D70-88FF-9E2BF514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mzh/bg/Home.asp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fz.b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zh.government.bg/mzh/bg/Home.aspx" TargetMode="External"/><Relationship Id="rId11" Type="http://schemas.openxmlformats.org/officeDocument/2006/relationships/hyperlink" Target="http://www.dfz.bg/" TargetMode="External"/><Relationship Id="rId5" Type="http://schemas.openxmlformats.org/officeDocument/2006/relationships/hyperlink" Target="http://eur-lex.europa.eu/legal-content/BG/ALL/?uri=OJ:C:2007:304A:TOC" TargetMode="External"/><Relationship Id="rId10" Type="http://schemas.openxmlformats.org/officeDocument/2006/relationships/hyperlink" Target="http://www.mzh.government.bg/mzh/bg/Home.aspx" TargetMode="External"/><Relationship Id="rId4" Type="http://schemas.openxmlformats.org/officeDocument/2006/relationships/hyperlink" Target="http://www.iasas.government.bg/" TargetMode="External"/><Relationship Id="rId9" Type="http://schemas.openxmlformats.org/officeDocument/2006/relationships/hyperlink" Target="http://www.dfz.bg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13211</Words>
  <Characters>75308</Characters>
  <Application>Microsoft Office Word</Application>
  <DocSecurity>0</DocSecurity>
  <Lines>627</Lines>
  <Paragraphs>176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2019-03-08T07:40:00Z</dcterms:created>
  <dcterms:modified xsi:type="dcterms:W3CDTF">2019-03-08T07:40:00Z</dcterms:modified>
</cp:coreProperties>
</file>