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AE" w:rsidRPr="0037056E" w:rsidRDefault="00A304AE" w:rsidP="00D548F3">
      <w:pPr>
        <w:jc w:val="center"/>
        <w:rPr>
          <w:rFonts w:ascii="Times New Roman" w:hAnsi="Times New Roman"/>
          <w:b/>
          <w:spacing w:val="20"/>
          <w:sz w:val="28"/>
          <w:szCs w:val="2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6B78" w:rsidRPr="0037056E" w:rsidRDefault="00A46B78" w:rsidP="00A46B78">
      <w:pPr>
        <w:jc w:val="center"/>
        <w:rPr>
          <w:rFonts w:ascii="Times New Roman" w:hAnsi="Times New Roman"/>
          <w:b/>
          <w:spacing w:val="20"/>
          <w:sz w:val="28"/>
          <w:szCs w:val="2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056E">
        <w:rPr>
          <w:rFonts w:ascii="Times New Roman" w:hAnsi="Times New Roman"/>
          <w:b/>
          <w:spacing w:val="20"/>
          <w:sz w:val="28"/>
          <w:szCs w:val="2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</w:t>
      </w:r>
    </w:p>
    <w:p w:rsidR="00A46B78" w:rsidRDefault="00A46B78" w:rsidP="00A46B78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  <w:r w:rsidRPr="009779CF">
        <w:rPr>
          <w:rFonts w:ascii="Times New Roman" w:hAnsi="Times New Roman"/>
          <w:b/>
          <w:sz w:val="24"/>
          <w:szCs w:val="24"/>
          <w:lang w:val="bg-BG"/>
        </w:rPr>
        <w:t>за разпределение на пасища, мери и ливади от Държавния поземлен фонд  /ДПФ/ за стопанската 20</w:t>
      </w:r>
      <w:r>
        <w:rPr>
          <w:rFonts w:ascii="Times New Roman" w:hAnsi="Times New Roman"/>
          <w:b/>
          <w:sz w:val="24"/>
          <w:szCs w:val="24"/>
          <w:lang w:val="bg-BG"/>
        </w:rPr>
        <w:t>23</w:t>
      </w:r>
      <w:r w:rsidRPr="009779CF">
        <w:rPr>
          <w:rFonts w:ascii="Times New Roman" w:hAnsi="Times New Roman"/>
          <w:b/>
          <w:sz w:val="24"/>
          <w:szCs w:val="24"/>
          <w:lang w:val="bg-BG"/>
        </w:rPr>
        <w:t>-20</w:t>
      </w:r>
      <w:r>
        <w:rPr>
          <w:rFonts w:ascii="Times New Roman" w:hAnsi="Times New Roman"/>
          <w:b/>
          <w:sz w:val="24"/>
          <w:szCs w:val="24"/>
          <w:lang w:val="bg-BG"/>
        </w:rPr>
        <w:t>24</w:t>
      </w:r>
      <w:r w:rsidRPr="009779CF">
        <w:rPr>
          <w:rFonts w:ascii="Times New Roman" w:hAnsi="Times New Roman"/>
          <w:b/>
          <w:sz w:val="24"/>
          <w:szCs w:val="24"/>
          <w:lang w:val="bg-BG"/>
        </w:rPr>
        <w:t xml:space="preserve"> г. за землищата от област Монтана</w:t>
      </w:r>
    </w:p>
    <w:p w:rsidR="00A46B78" w:rsidRPr="00777D10" w:rsidRDefault="00A46B78" w:rsidP="00A46B78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A46B78" w:rsidRPr="009779CF" w:rsidRDefault="00A46B78" w:rsidP="00A46B78">
      <w:pPr>
        <w:spacing w:line="360" w:lineRule="auto"/>
        <w:ind w:right="-61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779CF">
        <w:rPr>
          <w:rFonts w:ascii="Times New Roman" w:hAnsi="Times New Roman"/>
          <w:sz w:val="24"/>
          <w:szCs w:val="24"/>
          <w:lang w:val="bg-BG"/>
        </w:rPr>
        <w:t>Днес</w:t>
      </w:r>
      <w:r>
        <w:rPr>
          <w:rFonts w:ascii="Times New Roman" w:hAnsi="Times New Roman"/>
          <w:sz w:val="24"/>
          <w:szCs w:val="24"/>
        </w:rPr>
        <w:t>,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6A42D1"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>.06.2023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 г., </w:t>
      </w:r>
      <w:r>
        <w:rPr>
          <w:rFonts w:ascii="Times New Roman" w:hAnsi="Times New Roman"/>
          <w:sz w:val="24"/>
          <w:szCs w:val="24"/>
          <w:lang w:val="bg-BG"/>
        </w:rPr>
        <w:t>комисия назначена със Заповед №207/26.06.2023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 г. на директора на Областна дирекция „Земеделие“ – гр. Монтана, в състав:</w:t>
      </w:r>
    </w:p>
    <w:p w:rsidR="00A46B78" w:rsidRPr="00E61999" w:rsidRDefault="00A46B78" w:rsidP="00A46B78">
      <w:pPr>
        <w:spacing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0E5709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hAnsi="Times New Roman"/>
          <w:sz w:val="24"/>
          <w:szCs w:val="24"/>
          <w:lang w:val="bg-BG"/>
        </w:rPr>
        <w:t xml:space="preserve">Галя Дуева </w:t>
      </w:r>
      <w:r w:rsidRPr="00C94CFC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006139">
        <w:rPr>
          <w:rFonts w:ascii="Times New Roman" w:hAnsi="Times New Roman"/>
          <w:sz w:val="24"/>
          <w:szCs w:val="24"/>
          <w:lang w:val="bg-BG"/>
        </w:rPr>
        <w:t>главен експерт в ГД „Аграрно развитие“, Областна дирекция „Земеделие“ – гр. Монтана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46B78" w:rsidRPr="00006139" w:rsidRDefault="00A46B78" w:rsidP="00A46B78">
      <w:pPr>
        <w:spacing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DB643C">
        <w:rPr>
          <w:rFonts w:ascii="Times New Roman" w:hAnsi="Times New Roman"/>
          <w:b/>
          <w:sz w:val="24"/>
          <w:szCs w:val="24"/>
        </w:rPr>
        <w:t>Членове</w:t>
      </w:r>
      <w:proofErr w:type="spellEnd"/>
      <w:r w:rsidRPr="00DB643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DB643C">
        <w:rPr>
          <w:rFonts w:ascii="Times New Roman" w:hAnsi="Times New Roman"/>
          <w:sz w:val="24"/>
          <w:szCs w:val="24"/>
        </w:rPr>
        <w:t xml:space="preserve"> </w:t>
      </w:r>
    </w:p>
    <w:p w:rsidR="00A46B78" w:rsidRDefault="00A46B78" w:rsidP="00A46B78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-612"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Петя Георгиева – главен</w:t>
      </w:r>
      <w:r w:rsidRPr="00006139">
        <w:rPr>
          <w:rFonts w:ascii="Times New Roman" w:hAnsi="Times New Roman"/>
          <w:sz w:val="24"/>
          <w:szCs w:val="24"/>
          <w:lang w:val="bg-BG"/>
        </w:rPr>
        <w:t xml:space="preserve"> юрисконсулт в 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06139">
        <w:rPr>
          <w:rFonts w:ascii="Times New Roman" w:hAnsi="Times New Roman"/>
          <w:sz w:val="24"/>
          <w:szCs w:val="24"/>
          <w:lang w:val="bg-BG"/>
        </w:rPr>
        <w:t>„АПФСДЧР“, Областна дирекция „Земеделие“ – гр. Монтан</w:t>
      </w:r>
      <w:r>
        <w:rPr>
          <w:rFonts w:ascii="Times New Roman" w:hAnsi="Times New Roman"/>
          <w:sz w:val="24"/>
          <w:szCs w:val="24"/>
          <w:lang w:val="bg-BG"/>
        </w:rPr>
        <w:t>а</w:t>
      </w:r>
    </w:p>
    <w:p w:rsidR="00A46B78" w:rsidRDefault="00A46B78" w:rsidP="00A46B78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-612"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Станислав Ценов</w:t>
      </w:r>
      <w:r w:rsidRPr="00006139">
        <w:rPr>
          <w:rFonts w:ascii="Times New Roman" w:hAnsi="Times New Roman"/>
          <w:sz w:val="24"/>
          <w:szCs w:val="24"/>
          <w:lang w:val="bg-BG"/>
        </w:rPr>
        <w:t xml:space="preserve"> – началник на Общинска служба по земеделие –</w:t>
      </w:r>
      <w:r w:rsidR="00ED1A93">
        <w:rPr>
          <w:rFonts w:ascii="Times New Roman" w:hAnsi="Times New Roman"/>
          <w:sz w:val="24"/>
          <w:szCs w:val="24"/>
        </w:rPr>
        <w:t xml:space="preserve"> </w:t>
      </w:r>
      <w:r w:rsidRPr="00006139">
        <w:rPr>
          <w:rFonts w:ascii="Times New Roman" w:hAnsi="Times New Roman"/>
          <w:sz w:val="24"/>
          <w:szCs w:val="24"/>
          <w:lang w:val="bg-BG"/>
        </w:rPr>
        <w:t>гр. Монтана</w:t>
      </w:r>
    </w:p>
    <w:p w:rsidR="00A46B78" w:rsidRDefault="00A46B78" w:rsidP="00A46B78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-612"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Емилия Даракчийска</w:t>
      </w:r>
      <w:r w:rsidRPr="00967882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Pr="00006139">
        <w:rPr>
          <w:rFonts w:ascii="Times New Roman" w:hAnsi="Times New Roman"/>
          <w:sz w:val="24"/>
          <w:szCs w:val="24"/>
          <w:lang w:val="bg-BG"/>
        </w:rPr>
        <w:t>главен експерт в ГД „Аграрно развитие“, Областна дирекция „Земеделие“ – гр. Монтана</w:t>
      </w:r>
    </w:p>
    <w:p w:rsidR="00A46B78" w:rsidRDefault="00A46B78" w:rsidP="00A46B78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-612"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06139">
        <w:rPr>
          <w:rFonts w:ascii="Times New Roman" w:hAnsi="Times New Roman"/>
          <w:sz w:val="24"/>
          <w:szCs w:val="24"/>
          <w:lang w:val="bg-BG"/>
        </w:rPr>
        <w:t>Жанет Попова - главен експерт в ГД „Аграрно развитие“, Областна дирекция „Земеделие“ – гр. Монтана</w:t>
      </w:r>
    </w:p>
    <w:p w:rsidR="00A46B78" w:rsidRDefault="00A46B78" w:rsidP="00A46B78">
      <w:pPr>
        <w:tabs>
          <w:tab w:val="left" w:pos="993"/>
        </w:tabs>
        <w:spacing w:line="360" w:lineRule="auto"/>
        <w:ind w:left="709" w:right="-61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Pr="00006139" w:rsidRDefault="00A46B78" w:rsidP="00A46B78">
      <w:pPr>
        <w:spacing w:line="360" w:lineRule="auto"/>
        <w:ind w:right="-612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06139">
        <w:rPr>
          <w:rFonts w:ascii="Times New Roman" w:hAnsi="Times New Roman"/>
          <w:b/>
          <w:sz w:val="24"/>
          <w:szCs w:val="24"/>
          <w:lang w:val="bg-BG"/>
        </w:rPr>
        <w:t>и резервни членове:</w:t>
      </w:r>
    </w:p>
    <w:p w:rsidR="00A46B78" w:rsidRDefault="00A46B78" w:rsidP="00A46B78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-612"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Анита </w:t>
      </w:r>
      <w:r>
        <w:rPr>
          <w:rFonts w:ascii="Times New Roman" w:hAnsi="Times New Roman"/>
          <w:sz w:val="24"/>
          <w:szCs w:val="24"/>
        </w:rPr>
        <w:t>T</w:t>
      </w:r>
      <w:r w:rsidRPr="00E9490B">
        <w:rPr>
          <w:rFonts w:ascii="Times New Roman" w:hAnsi="Times New Roman"/>
          <w:sz w:val="24"/>
          <w:szCs w:val="24"/>
          <w:lang w:val="bg-BG"/>
        </w:rPr>
        <w:t>рифонова</w:t>
      </w:r>
      <w:r w:rsidRPr="00E9490B">
        <w:rPr>
          <w:rFonts w:ascii="Times New Roman" w:hAnsi="Times New Roman"/>
          <w:sz w:val="24"/>
          <w:szCs w:val="24"/>
          <w:lang w:val="ru-RU"/>
        </w:rPr>
        <w:t>– гл</w:t>
      </w:r>
      <w:r>
        <w:rPr>
          <w:rFonts w:ascii="Times New Roman" w:hAnsi="Times New Roman"/>
          <w:sz w:val="24"/>
          <w:szCs w:val="24"/>
          <w:lang w:val="ru-RU"/>
        </w:rPr>
        <w:t>авен</w:t>
      </w:r>
      <w:r w:rsidRPr="00E9490B">
        <w:rPr>
          <w:rFonts w:ascii="Times New Roman" w:hAnsi="Times New Roman"/>
          <w:sz w:val="24"/>
          <w:szCs w:val="24"/>
          <w:lang w:val="ru-RU"/>
        </w:rPr>
        <w:t xml:space="preserve"> експерт </w:t>
      </w:r>
      <w:r w:rsidRPr="00E9490B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006139">
        <w:rPr>
          <w:rFonts w:ascii="Times New Roman" w:hAnsi="Times New Roman"/>
          <w:sz w:val="24"/>
          <w:szCs w:val="24"/>
          <w:lang w:val="bg-BG"/>
        </w:rPr>
        <w:t>Общинска служба по земеделие 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06139">
        <w:rPr>
          <w:rFonts w:ascii="Times New Roman" w:hAnsi="Times New Roman"/>
          <w:sz w:val="24"/>
          <w:szCs w:val="24"/>
          <w:lang w:val="bg-BG"/>
        </w:rPr>
        <w:t>гр. Монтана</w:t>
      </w:r>
    </w:p>
    <w:p w:rsidR="00A46B78" w:rsidRPr="00006139" w:rsidRDefault="00A46B78" w:rsidP="00A46B78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-612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Анелия Кузманова </w:t>
      </w:r>
      <w:r w:rsidRPr="00C94CFC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006139">
        <w:rPr>
          <w:rFonts w:ascii="Times New Roman" w:hAnsi="Times New Roman"/>
          <w:sz w:val="24"/>
          <w:szCs w:val="24"/>
          <w:lang w:val="bg-BG"/>
        </w:rPr>
        <w:t>главен експерт в ГД „Аграрно развитие“, Областна дирекция „Земеделие“ – гр. Монтана</w:t>
      </w:r>
    </w:p>
    <w:p w:rsidR="00A46B78" w:rsidRDefault="00A46B78" w:rsidP="00A46B78">
      <w:pPr>
        <w:spacing w:after="0" w:line="360" w:lineRule="auto"/>
        <w:ind w:right="-612"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0E5709">
        <w:rPr>
          <w:rFonts w:ascii="Times New Roman" w:hAnsi="Times New Roman"/>
          <w:b/>
          <w:sz w:val="24"/>
          <w:szCs w:val="24"/>
          <w:lang w:val="bg-BG"/>
        </w:rPr>
        <w:t>Със задача</w:t>
      </w:r>
      <w:r w:rsidRPr="000E5709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257B4E">
        <w:rPr>
          <w:rFonts w:ascii="Times New Roman" w:hAnsi="Times New Roman"/>
          <w:sz w:val="24"/>
          <w:szCs w:val="24"/>
          <w:lang w:val="bg-BG"/>
        </w:rPr>
        <w:t xml:space="preserve">да разгледа постъпилите в срока по чл. 37и, ал. 9 от ЗСПЗЗ заявления за допълнително разпределение на пасища, мери и ливади от Държавния поземлен фонд и да </w:t>
      </w:r>
      <w:r>
        <w:rPr>
          <w:rFonts w:ascii="Times New Roman" w:hAnsi="Times New Roman"/>
          <w:sz w:val="24"/>
          <w:szCs w:val="24"/>
          <w:lang w:val="bg-BG"/>
        </w:rPr>
        <w:t>разпредели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257B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по реда на чл. 37и, ал. 4 от ЗСПЗЗ </w:t>
      </w:r>
      <w:r w:rsidRPr="000E5709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допълнително необходимата за всеки кандидат площ</w:t>
      </w:r>
      <w:r w:rsidRPr="00257B4E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FA6A7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съобразно </w:t>
      </w:r>
      <w:r w:rsidRPr="000E5709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FA6A77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данните от протоколите по чл. 100, ал. 3 и ал. 5 от ППЗСПЗЗ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Pr="00257B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в съответното и/или в съседни землища. </w:t>
      </w:r>
    </w:p>
    <w:p w:rsidR="00A46B78" w:rsidRDefault="00A46B78" w:rsidP="00A46B78">
      <w:pPr>
        <w:pStyle w:val="ListParagraph"/>
        <w:spacing w:after="0" w:line="360" w:lineRule="auto"/>
        <w:ind w:left="0" w:right="-612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началото на заседанието, дадено в 11:00 часа председателят провери присъствието на членовете на комисият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bg-BG"/>
        </w:rPr>
        <w:t xml:space="preserve"> и след като установи, че всички са налице, същите попълниха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декларации</w:t>
      </w:r>
      <w:r w:rsidRPr="008B04C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по чл. 100, ал.7, изр. трето, че </w:t>
      </w:r>
      <w:r w:rsidRPr="003C14DF">
        <w:rPr>
          <w:rFonts w:ascii="Times New Roman" w:hAnsi="Times New Roman"/>
          <w:sz w:val="24"/>
          <w:szCs w:val="24"/>
          <w:lang w:val="bg-BG"/>
        </w:rPr>
        <w:t>нямат качеството на свързано лице по смисъла на Търговския закон с участниците в процедурата по разпределение на пасища, мери и ливади от Държавния поземлен фонд за стопанската 20</w:t>
      </w:r>
      <w:r>
        <w:rPr>
          <w:rFonts w:ascii="Times New Roman" w:hAnsi="Times New Roman"/>
          <w:sz w:val="24"/>
          <w:szCs w:val="24"/>
          <w:lang w:val="bg-BG"/>
        </w:rPr>
        <w:t>23</w:t>
      </w:r>
      <w:r w:rsidRPr="003C14DF">
        <w:rPr>
          <w:rFonts w:ascii="Times New Roman" w:hAnsi="Times New Roman"/>
          <w:sz w:val="24"/>
          <w:szCs w:val="24"/>
          <w:lang w:val="bg-BG"/>
        </w:rPr>
        <w:t xml:space="preserve"> – 20</w:t>
      </w:r>
      <w:r>
        <w:rPr>
          <w:rFonts w:ascii="Times New Roman" w:hAnsi="Times New Roman"/>
          <w:sz w:val="24"/>
          <w:szCs w:val="24"/>
          <w:lang w:val="bg-BG"/>
        </w:rPr>
        <w:t>24</w:t>
      </w:r>
      <w:r w:rsidRPr="003C14DF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C94B3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Pr="00C94B31">
        <w:rPr>
          <w:rFonts w:ascii="Times New Roman" w:hAnsi="Times New Roman"/>
          <w:sz w:val="24"/>
          <w:szCs w:val="24"/>
          <w:lang w:val="bg-BG"/>
        </w:rPr>
        <w:t>омисията се запозна с</w:t>
      </w:r>
      <w:r>
        <w:rPr>
          <w:rFonts w:ascii="Times New Roman" w:hAnsi="Times New Roman"/>
          <w:sz w:val="24"/>
          <w:szCs w:val="24"/>
          <w:lang w:val="bg-BG"/>
        </w:rPr>
        <w:t xml:space="preserve"> всички съотносими към процедурата документи,</w:t>
      </w:r>
      <w:r w:rsidRPr="00C94B31">
        <w:rPr>
          <w:rFonts w:ascii="Times New Roman" w:hAnsi="Times New Roman"/>
          <w:sz w:val="24"/>
          <w:szCs w:val="24"/>
          <w:lang w:val="bg-BG"/>
        </w:rPr>
        <w:t xml:space="preserve"> п</w:t>
      </w:r>
      <w:proofErr w:type="spellStart"/>
      <w:r w:rsidRPr="00C94B31">
        <w:rPr>
          <w:rFonts w:ascii="Times New Roman" w:hAnsi="Times New Roman"/>
          <w:sz w:val="24"/>
          <w:szCs w:val="24"/>
        </w:rPr>
        <w:t>редоставени</w:t>
      </w:r>
      <w:proofErr w:type="spellEnd"/>
      <w:r w:rsidRPr="00C94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B31">
        <w:rPr>
          <w:rFonts w:ascii="Times New Roman" w:hAnsi="Times New Roman"/>
          <w:sz w:val="24"/>
          <w:szCs w:val="24"/>
        </w:rPr>
        <w:t>от</w:t>
      </w:r>
      <w:proofErr w:type="spellEnd"/>
      <w:r w:rsidRPr="00C94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B31">
        <w:rPr>
          <w:rFonts w:ascii="Times New Roman" w:hAnsi="Times New Roman"/>
          <w:sz w:val="24"/>
          <w:szCs w:val="24"/>
        </w:rPr>
        <w:t>съответн</w:t>
      </w:r>
      <w:proofErr w:type="spellEnd"/>
      <w:r w:rsidRPr="00C94B31">
        <w:rPr>
          <w:rFonts w:ascii="Times New Roman" w:hAnsi="Times New Roman"/>
          <w:sz w:val="24"/>
          <w:szCs w:val="24"/>
          <w:lang w:val="bg-BG"/>
        </w:rPr>
        <w:t>и</w:t>
      </w:r>
      <w:r w:rsidRPr="00C94B31">
        <w:rPr>
          <w:rFonts w:ascii="Times New Roman" w:hAnsi="Times New Roman"/>
          <w:sz w:val="24"/>
          <w:szCs w:val="24"/>
        </w:rPr>
        <w:t>т</w:t>
      </w:r>
      <w:r w:rsidRPr="00C94B31">
        <w:rPr>
          <w:rFonts w:ascii="Times New Roman" w:hAnsi="Times New Roman"/>
          <w:sz w:val="24"/>
          <w:szCs w:val="24"/>
          <w:lang w:val="bg-BG"/>
        </w:rPr>
        <w:t>е</w:t>
      </w:r>
      <w:r w:rsidRPr="00C94B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B31">
        <w:rPr>
          <w:rFonts w:ascii="Times New Roman" w:hAnsi="Times New Roman"/>
          <w:sz w:val="24"/>
          <w:szCs w:val="24"/>
        </w:rPr>
        <w:t>общин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и на територията на област Монтана, където е извършено допълнително разпределение на пасища, мери и ливади от Общинския поземлен фонд (ОПФ), а именно</w:t>
      </w:r>
      <w:r w:rsidRPr="00CA7010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A46B78" w:rsidRPr="00E84940" w:rsidRDefault="00A46B78" w:rsidP="00A46B78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Протокол от 28.04.2023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 за разпределение на пасища, мери и ливади от ОПФ за стопанската 202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E84940">
        <w:rPr>
          <w:rFonts w:ascii="Times New Roman" w:hAnsi="Times New Roman"/>
          <w:sz w:val="24"/>
          <w:szCs w:val="24"/>
          <w:lang w:val="bg-BG"/>
        </w:rPr>
        <w:t>-202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 за землището на с. </w:t>
      </w:r>
      <w:r>
        <w:rPr>
          <w:rFonts w:ascii="Times New Roman" w:hAnsi="Times New Roman"/>
          <w:sz w:val="24"/>
          <w:szCs w:val="24"/>
          <w:lang w:val="bg-BG"/>
        </w:rPr>
        <w:t>Безденица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, община Монтана на комисията назначена със Заповед № </w:t>
      </w:r>
      <w:r>
        <w:rPr>
          <w:rFonts w:ascii="Times New Roman" w:hAnsi="Times New Roman"/>
          <w:sz w:val="24"/>
          <w:szCs w:val="24"/>
          <w:lang w:val="bg-BG"/>
        </w:rPr>
        <w:t>1038/25.04.2023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 на кмета на община Монтана;</w:t>
      </w:r>
    </w:p>
    <w:p w:rsidR="00A46B78" w:rsidRPr="00E84940" w:rsidRDefault="00A46B78" w:rsidP="00A46B78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r w:rsidRPr="00E84940">
        <w:rPr>
          <w:rFonts w:ascii="Times New Roman" w:hAnsi="Times New Roman"/>
          <w:sz w:val="24"/>
          <w:szCs w:val="24"/>
          <w:lang w:val="bg-BG"/>
        </w:rPr>
        <w:t xml:space="preserve">Протокол от </w:t>
      </w:r>
      <w:r>
        <w:rPr>
          <w:rFonts w:ascii="Times New Roman" w:hAnsi="Times New Roman"/>
          <w:sz w:val="24"/>
          <w:szCs w:val="24"/>
          <w:lang w:val="bg-BG"/>
        </w:rPr>
        <w:t>19.05.2023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 за допълнително разпределение на пасища, мери и ливади от ОПФ за стопанската 202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E84940">
        <w:rPr>
          <w:rFonts w:ascii="Times New Roman" w:hAnsi="Times New Roman"/>
          <w:sz w:val="24"/>
          <w:szCs w:val="24"/>
          <w:lang w:val="bg-BG"/>
        </w:rPr>
        <w:t>-202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 за землището на с. </w:t>
      </w:r>
      <w:r>
        <w:rPr>
          <w:rFonts w:ascii="Times New Roman" w:hAnsi="Times New Roman"/>
          <w:sz w:val="24"/>
          <w:szCs w:val="24"/>
          <w:lang w:val="bg-BG"/>
        </w:rPr>
        <w:t>Безденица,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община Монтана на комисията назначена със Заповед № </w:t>
      </w:r>
      <w:r>
        <w:rPr>
          <w:rFonts w:ascii="Times New Roman" w:hAnsi="Times New Roman"/>
          <w:sz w:val="24"/>
          <w:szCs w:val="24"/>
          <w:lang w:val="bg-BG"/>
        </w:rPr>
        <w:t>1038/25.04.2023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 на кмета на община Монтана;</w:t>
      </w:r>
    </w:p>
    <w:p w:rsidR="00A46B78" w:rsidRPr="00E84940" w:rsidRDefault="00A46B78" w:rsidP="00A46B78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r w:rsidRPr="00E84940">
        <w:rPr>
          <w:rFonts w:ascii="Times New Roman" w:hAnsi="Times New Roman"/>
          <w:sz w:val="24"/>
          <w:szCs w:val="24"/>
          <w:lang w:val="bg-BG"/>
        </w:rPr>
        <w:t xml:space="preserve">Заявление по чл.37и ал.5 от ЗСПЗЗ и чл. 99, ал. 1 от ППЗСПЗЗ от </w:t>
      </w:r>
      <w:r>
        <w:rPr>
          <w:rFonts w:ascii="Times New Roman" w:hAnsi="Times New Roman"/>
          <w:sz w:val="24"/>
          <w:szCs w:val="24"/>
          <w:lang w:val="bg-BG"/>
        </w:rPr>
        <w:t>Веселин Христов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до кмета на община Монтана с вх. № </w:t>
      </w:r>
      <w:r>
        <w:rPr>
          <w:rFonts w:ascii="Times New Roman" w:hAnsi="Times New Roman"/>
          <w:sz w:val="24"/>
          <w:szCs w:val="24"/>
          <w:lang w:val="bg-BG"/>
        </w:rPr>
        <w:t>94-В/233/02.03.2023</w:t>
      </w:r>
      <w:r w:rsidRPr="00E84940">
        <w:rPr>
          <w:rFonts w:ascii="Times New Roman" w:hAnsi="Times New Roman"/>
          <w:sz w:val="24"/>
          <w:szCs w:val="24"/>
          <w:lang w:val="bg-BG"/>
        </w:rPr>
        <w:t>г.;</w:t>
      </w:r>
    </w:p>
    <w:p w:rsidR="00A46B78" w:rsidRDefault="00A46B78" w:rsidP="00A46B78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r w:rsidRPr="00E84940">
        <w:rPr>
          <w:rFonts w:ascii="Times New Roman" w:hAnsi="Times New Roman"/>
          <w:sz w:val="24"/>
          <w:szCs w:val="24"/>
          <w:lang w:val="bg-BG"/>
        </w:rPr>
        <w:t xml:space="preserve">Заявление за допълнително разпределение на площи от ДПФ с вх. № </w:t>
      </w:r>
      <w:r>
        <w:rPr>
          <w:rFonts w:ascii="Times New Roman" w:hAnsi="Times New Roman"/>
          <w:sz w:val="24"/>
          <w:szCs w:val="24"/>
          <w:lang w:val="bg-BG"/>
        </w:rPr>
        <w:t>94-В-565/06.06.2023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г. на </w:t>
      </w:r>
      <w:r>
        <w:rPr>
          <w:rFonts w:ascii="Times New Roman" w:hAnsi="Times New Roman"/>
          <w:sz w:val="24"/>
          <w:szCs w:val="24"/>
          <w:lang w:val="bg-BG"/>
        </w:rPr>
        <w:t>Веселин Христов</w:t>
      </w:r>
      <w:r w:rsidRPr="00E84940">
        <w:rPr>
          <w:rFonts w:ascii="Times New Roman" w:hAnsi="Times New Roman"/>
          <w:sz w:val="24"/>
          <w:szCs w:val="24"/>
          <w:lang w:val="bg-BG"/>
        </w:rPr>
        <w:t>, постъпило в ОД „Земеделие“ – Монтана с писмо с вх. № РД-</w:t>
      </w:r>
      <w:r>
        <w:rPr>
          <w:rFonts w:ascii="Times New Roman" w:hAnsi="Times New Roman"/>
          <w:sz w:val="24"/>
          <w:szCs w:val="24"/>
          <w:lang w:val="bg-BG"/>
        </w:rPr>
        <w:t>2844/09.06.2023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г.;</w:t>
      </w:r>
    </w:p>
    <w:p w:rsidR="00532C24" w:rsidRDefault="00532C24" w:rsidP="00A46B78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Писмо изх. № 1220/1/30.05.2023 г. на община Якимово;</w:t>
      </w:r>
    </w:p>
    <w:p w:rsidR="00532C24" w:rsidRPr="00CA7010" w:rsidRDefault="00532C24" w:rsidP="00A46B78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Писмо изх. № 36-70-211/06.06.2023 г. на община Медковец;</w:t>
      </w:r>
    </w:p>
    <w:p w:rsidR="00A46B78" w:rsidRPr="00E84940" w:rsidRDefault="00A46B78" w:rsidP="00A46B78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r w:rsidRPr="00E84940">
        <w:rPr>
          <w:rFonts w:ascii="Times New Roman" w:hAnsi="Times New Roman"/>
          <w:sz w:val="24"/>
          <w:szCs w:val="24"/>
          <w:lang w:val="bg-BG"/>
        </w:rPr>
        <w:t xml:space="preserve">Протокол от </w:t>
      </w:r>
      <w:r>
        <w:rPr>
          <w:rFonts w:ascii="Times New Roman" w:hAnsi="Times New Roman"/>
          <w:sz w:val="24"/>
          <w:szCs w:val="24"/>
          <w:lang w:val="bg-BG"/>
        </w:rPr>
        <w:t>28.04.2023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 за разпределение на пасища, мери и ливади от ОПФ за стопанската 202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E84940">
        <w:rPr>
          <w:rFonts w:ascii="Times New Roman" w:hAnsi="Times New Roman"/>
          <w:sz w:val="24"/>
          <w:szCs w:val="24"/>
          <w:lang w:val="bg-BG"/>
        </w:rPr>
        <w:t>-202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 за землището на с. Габровница, община Монтана на комисията назначена със Заповед № </w:t>
      </w:r>
      <w:r>
        <w:rPr>
          <w:rFonts w:ascii="Times New Roman" w:hAnsi="Times New Roman"/>
          <w:sz w:val="24"/>
          <w:szCs w:val="24"/>
          <w:lang w:val="bg-BG"/>
        </w:rPr>
        <w:t>1038/25.04.2023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 на кмета на община Монтана;</w:t>
      </w:r>
    </w:p>
    <w:p w:rsidR="00A46B78" w:rsidRPr="00E84940" w:rsidRDefault="00A46B78" w:rsidP="00A46B78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r w:rsidRPr="00E84940">
        <w:rPr>
          <w:rFonts w:ascii="Times New Roman" w:hAnsi="Times New Roman"/>
          <w:sz w:val="24"/>
          <w:szCs w:val="24"/>
          <w:lang w:val="bg-BG"/>
        </w:rPr>
        <w:t xml:space="preserve">Протокол от </w:t>
      </w:r>
      <w:r>
        <w:rPr>
          <w:rFonts w:ascii="Times New Roman" w:hAnsi="Times New Roman"/>
          <w:sz w:val="24"/>
          <w:szCs w:val="24"/>
          <w:lang w:val="bg-BG"/>
        </w:rPr>
        <w:t>19.05.2023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 за допълнително разпределение на пасища, мери и ливади от ОПФ за стопанската 202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E84940">
        <w:rPr>
          <w:rFonts w:ascii="Times New Roman" w:hAnsi="Times New Roman"/>
          <w:sz w:val="24"/>
          <w:szCs w:val="24"/>
          <w:lang w:val="bg-BG"/>
        </w:rPr>
        <w:t>-202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 за землището на с. </w:t>
      </w:r>
      <w:r>
        <w:rPr>
          <w:rFonts w:ascii="Times New Roman" w:hAnsi="Times New Roman"/>
          <w:sz w:val="24"/>
          <w:szCs w:val="24"/>
          <w:lang w:val="bg-BG"/>
        </w:rPr>
        <w:t>Вирове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, община Монтана на комисията назначена със Заповед № </w:t>
      </w:r>
      <w:r>
        <w:rPr>
          <w:rFonts w:ascii="Times New Roman" w:hAnsi="Times New Roman"/>
          <w:sz w:val="24"/>
          <w:szCs w:val="24"/>
          <w:lang w:val="bg-BG"/>
        </w:rPr>
        <w:t>1038/25.04.2023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 на кмета на община Монтана;</w:t>
      </w:r>
    </w:p>
    <w:p w:rsidR="00A46B78" w:rsidRPr="00E84940" w:rsidRDefault="00A46B78" w:rsidP="00A46B78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r w:rsidRPr="00E84940">
        <w:rPr>
          <w:rFonts w:ascii="Times New Roman" w:hAnsi="Times New Roman"/>
          <w:sz w:val="24"/>
          <w:szCs w:val="24"/>
          <w:lang w:val="bg-BG"/>
        </w:rPr>
        <w:t>Заявление по чл об</w:t>
      </w:r>
      <w:r w:rsidR="00FF4213" w:rsidRPr="00E84940">
        <w:rPr>
          <w:rFonts w:ascii="Times New Roman" w:hAnsi="Times New Roman"/>
          <w:sz w:val="24"/>
          <w:szCs w:val="24"/>
          <w:lang w:val="bg-BG"/>
        </w:rPr>
        <w:t xml:space="preserve">.37и ал.5 от ЗСПЗЗ и чл. 99, ал. 1 от ППЗСПЗЗ от Валтер Борисов до кмета на </w:t>
      </w:r>
      <w:r w:rsidRPr="00E84940">
        <w:rPr>
          <w:rFonts w:ascii="Times New Roman" w:hAnsi="Times New Roman"/>
          <w:sz w:val="24"/>
          <w:szCs w:val="24"/>
          <w:lang w:val="bg-BG"/>
        </w:rPr>
        <w:t>щина Монтана с вх. № 94-В-</w:t>
      </w:r>
      <w:r>
        <w:rPr>
          <w:rFonts w:ascii="Times New Roman" w:hAnsi="Times New Roman"/>
          <w:sz w:val="24"/>
          <w:szCs w:val="24"/>
          <w:lang w:val="bg-BG"/>
        </w:rPr>
        <w:t>247/07.03.2023</w:t>
      </w:r>
      <w:r w:rsidRPr="00E84940">
        <w:rPr>
          <w:rFonts w:ascii="Times New Roman" w:hAnsi="Times New Roman"/>
          <w:sz w:val="24"/>
          <w:szCs w:val="24"/>
          <w:lang w:val="bg-BG"/>
        </w:rPr>
        <w:t>г.;</w:t>
      </w:r>
    </w:p>
    <w:p w:rsidR="00A46B78" w:rsidRDefault="00A46B78" w:rsidP="00A46B78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r w:rsidRPr="00E84940">
        <w:rPr>
          <w:rFonts w:ascii="Times New Roman" w:hAnsi="Times New Roman"/>
          <w:sz w:val="24"/>
          <w:szCs w:val="24"/>
          <w:lang w:val="bg-BG"/>
        </w:rPr>
        <w:t>Заявление за допълнително разпределение на площи от ДПФ с вх. № 94-В-</w:t>
      </w:r>
      <w:r>
        <w:rPr>
          <w:rFonts w:ascii="Times New Roman" w:hAnsi="Times New Roman"/>
          <w:sz w:val="24"/>
          <w:szCs w:val="24"/>
          <w:lang w:val="bg-BG"/>
        </w:rPr>
        <w:t>559</w:t>
      </w:r>
      <w:r w:rsidRPr="00E84940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06.06.2023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 на Валтер Борисов, постъпило в ОД „Земеделие“ – Монтана с писмо с вх. № РД-</w:t>
      </w:r>
      <w:r>
        <w:rPr>
          <w:rFonts w:ascii="Times New Roman" w:hAnsi="Times New Roman"/>
          <w:sz w:val="24"/>
          <w:szCs w:val="24"/>
          <w:lang w:val="bg-BG"/>
        </w:rPr>
        <w:t>2844/09.06.2023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г.;</w:t>
      </w:r>
    </w:p>
    <w:p w:rsidR="00532C24" w:rsidRDefault="00532C24" w:rsidP="00A46B78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Писмо изх. № 1220/1/30.05.2023 г. на община Якимово;</w:t>
      </w:r>
    </w:p>
    <w:p w:rsidR="00532C24" w:rsidRPr="00E84940" w:rsidRDefault="00532C24" w:rsidP="00A46B78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Писмо изх. № К-1305/1/19.05.2023 г. на община Бойчиновци;</w:t>
      </w:r>
    </w:p>
    <w:p w:rsidR="00ED1A93" w:rsidRDefault="00ED1A93" w:rsidP="00A46B78">
      <w:pPr>
        <w:pStyle w:val="ListParagraph"/>
        <w:spacing w:line="360" w:lineRule="auto"/>
        <w:ind w:left="0" w:right="-61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D1A93" w:rsidRDefault="00ED1A93" w:rsidP="00A46B78">
      <w:pPr>
        <w:pStyle w:val="ListParagraph"/>
        <w:spacing w:line="360" w:lineRule="auto"/>
        <w:ind w:left="0" w:right="-61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46B78" w:rsidRPr="00CA7010" w:rsidRDefault="00A46B78" w:rsidP="00A46B78">
      <w:pPr>
        <w:pStyle w:val="ListParagraph"/>
        <w:spacing w:line="360" w:lineRule="auto"/>
        <w:ind w:left="0" w:right="-612"/>
        <w:jc w:val="both"/>
        <w:rPr>
          <w:rFonts w:ascii="Times New Roman" w:hAnsi="Times New Roman"/>
          <w:sz w:val="24"/>
          <w:szCs w:val="24"/>
          <w:lang w:val="bg-BG"/>
        </w:rPr>
      </w:pPr>
      <w:r w:rsidRPr="00CA7010">
        <w:rPr>
          <w:rFonts w:ascii="Times New Roman" w:hAnsi="Times New Roman"/>
          <w:b/>
          <w:sz w:val="24"/>
          <w:szCs w:val="24"/>
          <w:lang w:val="bg-BG"/>
        </w:rPr>
        <w:lastRenderedPageBreak/>
        <w:t>В тази връзка комисията констатира</w:t>
      </w:r>
      <w:r w:rsidRPr="00CA7010">
        <w:rPr>
          <w:rFonts w:ascii="Times New Roman" w:hAnsi="Times New Roman"/>
          <w:sz w:val="24"/>
          <w:szCs w:val="24"/>
          <w:lang w:val="bg-BG"/>
        </w:rPr>
        <w:t>:</w:t>
      </w:r>
    </w:p>
    <w:p w:rsidR="00A46B78" w:rsidRDefault="00A46B78" w:rsidP="00A46B78">
      <w:pPr>
        <w:pStyle w:val="ListParagraph"/>
        <w:numPr>
          <w:ilvl w:val="0"/>
          <w:numId w:val="4"/>
        </w:numPr>
        <w:tabs>
          <w:tab w:val="left" w:pos="851"/>
        </w:tabs>
        <w:spacing w:line="360" w:lineRule="auto"/>
        <w:ind w:left="0" w:right="-612"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BA0B3C">
        <w:rPr>
          <w:rFonts w:ascii="Times New Roman" w:hAnsi="Times New Roman"/>
          <w:sz w:val="24"/>
          <w:szCs w:val="24"/>
          <w:lang w:val="bg-BG"/>
        </w:rPr>
        <w:t xml:space="preserve">одадени </w:t>
      </w:r>
      <w:r>
        <w:rPr>
          <w:rFonts w:ascii="Times New Roman" w:hAnsi="Times New Roman"/>
          <w:sz w:val="24"/>
          <w:szCs w:val="24"/>
          <w:lang w:val="bg-BG"/>
        </w:rPr>
        <w:t>са 2</w:t>
      </w:r>
      <w:r w:rsidRPr="00BA0B3C">
        <w:rPr>
          <w:rFonts w:ascii="Times New Roman" w:hAnsi="Times New Roman"/>
          <w:sz w:val="24"/>
          <w:szCs w:val="24"/>
          <w:lang w:val="bg-BG"/>
        </w:rPr>
        <w:t xml:space="preserve"> броя заявления за допълнително разпределение на пасища, мери и ливади от Държавния поземлен фонд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A0B3C">
        <w:rPr>
          <w:rFonts w:ascii="Times New Roman" w:hAnsi="Times New Roman"/>
          <w:sz w:val="24"/>
          <w:szCs w:val="24"/>
          <w:lang w:val="bg-BG"/>
        </w:rPr>
        <w:t>както следва:</w:t>
      </w:r>
    </w:p>
    <w:p w:rsidR="00A46B78" w:rsidRDefault="00A46B78" w:rsidP="00A46B78">
      <w:pPr>
        <w:pStyle w:val="ListParagraph"/>
        <w:numPr>
          <w:ilvl w:val="0"/>
          <w:numId w:val="16"/>
        </w:numPr>
        <w:spacing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r w:rsidRPr="009779CF">
        <w:rPr>
          <w:rFonts w:ascii="Times New Roman" w:hAnsi="Times New Roman"/>
          <w:sz w:val="24"/>
          <w:szCs w:val="24"/>
          <w:lang w:val="bg-BG"/>
        </w:rPr>
        <w:t xml:space="preserve">Заявление </w:t>
      </w:r>
      <w:r>
        <w:rPr>
          <w:rFonts w:ascii="Times New Roman" w:hAnsi="Times New Roman"/>
          <w:sz w:val="24"/>
          <w:szCs w:val="24"/>
          <w:lang w:val="bg-BG"/>
        </w:rPr>
        <w:t>с вх. № 94-В-565/06.06.2023</w:t>
      </w:r>
      <w:r w:rsidRPr="00CA701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г. на общ. Монтана 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sz w:val="24"/>
          <w:szCs w:val="24"/>
          <w:lang w:val="bg-BG"/>
        </w:rPr>
        <w:t>ВЕСЕЛИН ХРИСТОВ</w:t>
      </w:r>
      <w:r w:rsidRPr="009779CF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ED1A93">
        <w:rPr>
          <w:rFonts w:ascii="Times New Roman" w:eastAsia="Times New Roman" w:hAnsi="Times New Roman"/>
          <w:sz w:val="24"/>
          <w:szCs w:val="24"/>
          <w:lang w:eastAsia="bg-BG"/>
        </w:rPr>
        <w:t>**********</w:t>
      </w:r>
      <w:r w:rsidRPr="009779CF">
        <w:rPr>
          <w:rFonts w:ascii="Times New Roman" w:hAnsi="Times New Roman"/>
          <w:sz w:val="24"/>
          <w:szCs w:val="24"/>
          <w:lang w:val="bg-BG"/>
        </w:rPr>
        <w:t>, с постоянен адрес: гр. М</w:t>
      </w:r>
      <w:r w:rsidR="00ED1A93">
        <w:rPr>
          <w:rFonts w:ascii="Times New Roman" w:hAnsi="Times New Roman"/>
          <w:sz w:val="24"/>
          <w:szCs w:val="24"/>
        </w:rPr>
        <w:t>.***************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, собственик на животновъден обект с пасищни селскостопански </w:t>
      </w:r>
      <w:proofErr w:type="spellStart"/>
      <w:r w:rsidRPr="00EA260E">
        <w:rPr>
          <w:rFonts w:ascii="Times New Roman" w:hAnsi="Times New Roman"/>
          <w:sz w:val="24"/>
          <w:szCs w:val="24"/>
        </w:rPr>
        <w:t>животни</w:t>
      </w:r>
      <w:proofErr w:type="spellEnd"/>
      <w:r w:rsidRPr="00EA260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2B12">
        <w:rPr>
          <w:rFonts w:ascii="Times New Roman" w:hAnsi="Times New Roman"/>
          <w:sz w:val="24"/>
          <w:szCs w:val="24"/>
        </w:rPr>
        <w:t>0320100014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2B12">
        <w:rPr>
          <w:rFonts w:ascii="Times New Roman" w:hAnsi="Times New Roman"/>
          <w:sz w:val="24"/>
          <w:szCs w:val="24"/>
        </w:rPr>
        <w:t>/</w:t>
      </w:r>
      <w:proofErr w:type="spellStart"/>
      <w:r w:rsidRPr="00E42B12">
        <w:rPr>
          <w:rFonts w:ascii="Times New Roman" w:hAnsi="Times New Roman"/>
          <w:sz w:val="24"/>
          <w:szCs w:val="24"/>
        </w:rPr>
        <w:t>стар</w:t>
      </w:r>
      <w:proofErr w:type="spellEnd"/>
      <w:r w:rsidRPr="00E42B12">
        <w:rPr>
          <w:rFonts w:ascii="Times New Roman" w:hAnsi="Times New Roman"/>
          <w:sz w:val="24"/>
          <w:szCs w:val="24"/>
        </w:rPr>
        <w:t> 3454-0163/</w:t>
      </w:r>
      <w:r w:rsidRPr="00EA2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60E">
        <w:rPr>
          <w:rFonts w:ascii="Times New Roman" w:hAnsi="Times New Roman"/>
          <w:sz w:val="24"/>
          <w:szCs w:val="24"/>
        </w:rPr>
        <w:t>находящ</w:t>
      </w:r>
      <w:proofErr w:type="spellEnd"/>
      <w:r w:rsidRPr="00EA2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60E">
        <w:rPr>
          <w:rFonts w:ascii="Times New Roman" w:hAnsi="Times New Roman"/>
          <w:sz w:val="24"/>
          <w:szCs w:val="24"/>
        </w:rPr>
        <w:t>се</w:t>
      </w:r>
      <w:proofErr w:type="spellEnd"/>
      <w:r w:rsidRPr="00EA260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A260E">
        <w:rPr>
          <w:rFonts w:ascii="Times New Roman" w:hAnsi="Times New Roman"/>
          <w:sz w:val="24"/>
          <w:szCs w:val="24"/>
        </w:rPr>
        <w:t>землището</w:t>
      </w:r>
      <w:proofErr w:type="spellEnd"/>
      <w:r w:rsidRPr="00EA2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60E">
        <w:rPr>
          <w:rFonts w:ascii="Times New Roman" w:hAnsi="Times New Roman"/>
          <w:sz w:val="24"/>
          <w:szCs w:val="24"/>
        </w:rPr>
        <w:t>на</w:t>
      </w:r>
      <w:proofErr w:type="spellEnd"/>
      <w:r w:rsidRPr="00EA260E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  <w:lang w:val="bg-BG"/>
        </w:rPr>
        <w:t>Безденица</w:t>
      </w:r>
      <w:r w:rsidRPr="00EA2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60E">
        <w:rPr>
          <w:rFonts w:ascii="Times New Roman" w:hAnsi="Times New Roman"/>
          <w:sz w:val="24"/>
          <w:szCs w:val="24"/>
        </w:rPr>
        <w:t>общ</w:t>
      </w:r>
      <w:proofErr w:type="spellEnd"/>
      <w:r w:rsidRPr="00EA26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Монтана;</w:t>
      </w:r>
    </w:p>
    <w:p w:rsidR="00A46B78" w:rsidRDefault="00A46B78" w:rsidP="00A46B78">
      <w:pPr>
        <w:pStyle w:val="ListParagraph"/>
        <w:numPr>
          <w:ilvl w:val="0"/>
          <w:numId w:val="16"/>
        </w:numPr>
        <w:spacing w:line="360" w:lineRule="auto"/>
        <w:ind w:right="-612"/>
        <w:jc w:val="both"/>
        <w:rPr>
          <w:rFonts w:ascii="Times New Roman" w:hAnsi="Times New Roman"/>
          <w:sz w:val="24"/>
          <w:szCs w:val="24"/>
          <w:lang w:val="bg-BG"/>
        </w:rPr>
      </w:pPr>
      <w:r w:rsidRPr="009779CF">
        <w:rPr>
          <w:rFonts w:ascii="Times New Roman" w:hAnsi="Times New Roman"/>
          <w:sz w:val="24"/>
          <w:szCs w:val="24"/>
          <w:lang w:val="bg-BG"/>
        </w:rPr>
        <w:t>Заявление</w:t>
      </w:r>
      <w:r>
        <w:rPr>
          <w:rFonts w:ascii="Times New Roman" w:hAnsi="Times New Roman"/>
          <w:sz w:val="24"/>
          <w:szCs w:val="24"/>
          <w:lang w:val="bg-BG"/>
        </w:rPr>
        <w:t xml:space="preserve"> с вх. №</w:t>
      </w:r>
      <w:r w:rsidRPr="007C7C3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84940">
        <w:rPr>
          <w:rFonts w:ascii="Times New Roman" w:hAnsi="Times New Roman"/>
          <w:sz w:val="24"/>
          <w:szCs w:val="24"/>
          <w:lang w:val="bg-BG"/>
        </w:rPr>
        <w:t>94-В-</w:t>
      </w:r>
      <w:r>
        <w:rPr>
          <w:rFonts w:ascii="Times New Roman" w:hAnsi="Times New Roman"/>
          <w:sz w:val="24"/>
          <w:szCs w:val="24"/>
          <w:lang w:val="bg-BG"/>
        </w:rPr>
        <w:t>559</w:t>
      </w:r>
      <w:r w:rsidRPr="00E84940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06</w:t>
      </w:r>
      <w:r w:rsidRPr="00E84940">
        <w:rPr>
          <w:rFonts w:ascii="Times New Roman" w:hAnsi="Times New Roman"/>
          <w:sz w:val="24"/>
          <w:szCs w:val="24"/>
          <w:lang w:val="bg-BG"/>
        </w:rPr>
        <w:t>.06.202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E84940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общ. Монтана 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ВАЛТЕР БОРИСОВ</w:t>
      </w:r>
      <w:r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ED1A93">
        <w:rPr>
          <w:rFonts w:ascii="Times New Roman" w:hAnsi="Times New Roman"/>
          <w:sz w:val="24"/>
          <w:szCs w:val="24"/>
        </w:rPr>
        <w:t>**********</w:t>
      </w:r>
      <w:r>
        <w:rPr>
          <w:rFonts w:ascii="Times New Roman" w:hAnsi="Times New Roman"/>
          <w:sz w:val="24"/>
          <w:szCs w:val="24"/>
          <w:lang w:val="bg-BG"/>
        </w:rPr>
        <w:t>, с постоянен адрес  с. Г</w:t>
      </w:r>
      <w:r w:rsidR="00ED1A93">
        <w:rPr>
          <w:rFonts w:ascii="Times New Roman" w:hAnsi="Times New Roman"/>
          <w:sz w:val="24"/>
          <w:szCs w:val="24"/>
        </w:rPr>
        <w:t>.********************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собственик на животновъден обект с пасищни селскостопански животни </w:t>
      </w:r>
      <w:r w:rsidRPr="00F21B1C">
        <w:rPr>
          <w:rFonts w:ascii="Times New Roman" w:hAnsi="Times New Roman"/>
          <w:sz w:val="24"/>
          <w:szCs w:val="24"/>
        </w:rPr>
        <w:t>№1418070022 /</w:t>
      </w:r>
      <w:proofErr w:type="spellStart"/>
      <w:r w:rsidRPr="00F21B1C">
        <w:rPr>
          <w:rFonts w:ascii="Times New Roman" w:hAnsi="Times New Roman"/>
          <w:sz w:val="24"/>
          <w:szCs w:val="24"/>
        </w:rPr>
        <w:t>стар</w:t>
      </w:r>
      <w:proofErr w:type="spellEnd"/>
      <w:r w:rsidRPr="00F21B1C">
        <w:rPr>
          <w:rFonts w:ascii="Times New Roman" w:hAnsi="Times New Roman"/>
          <w:sz w:val="24"/>
          <w:szCs w:val="24"/>
        </w:rPr>
        <w:t xml:space="preserve"> 3453-0303/, </w:t>
      </w:r>
      <w:proofErr w:type="spellStart"/>
      <w:r w:rsidRPr="00F21B1C">
        <w:rPr>
          <w:rFonts w:ascii="Times New Roman" w:hAnsi="Times New Roman"/>
          <w:sz w:val="24"/>
          <w:szCs w:val="24"/>
        </w:rPr>
        <w:t>находящ</w:t>
      </w:r>
      <w:proofErr w:type="spellEnd"/>
      <w:r w:rsidRPr="00F21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B1C">
        <w:rPr>
          <w:rFonts w:ascii="Times New Roman" w:hAnsi="Times New Roman"/>
          <w:sz w:val="24"/>
          <w:szCs w:val="24"/>
        </w:rPr>
        <w:t>се</w:t>
      </w:r>
      <w:proofErr w:type="spellEnd"/>
      <w:r w:rsidRPr="00F21B1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1B1C">
        <w:rPr>
          <w:rFonts w:ascii="Times New Roman" w:hAnsi="Times New Roman"/>
          <w:sz w:val="24"/>
          <w:szCs w:val="24"/>
        </w:rPr>
        <w:t>землището</w:t>
      </w:r>
      <w:proofErr w:type="spellEnd"/>
      <w:r w:rsidRPr="00F21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1B1C">
        <w:rPr>
          <w:rFonts w:ascii="Times New Roman" w:hAnsi="Times New Roman"/>
          <w:sz w:val="24"/>
          <w:szCs w:val="24"/>
        </w:rPr>
        <w:t>на</w:t>
      </w:r>
      <w:proofErr w:type="spellEnd"/>
      <w:r w:rsidRPr="00F21B1C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  <w:lang w:val="bg-BG"/>
        </w:rPr>
        <w:t>Габровница</w:t>
      </w:r>
      <w:r w:rsidRPr="00F21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B1C">
        <w:rPr>
          <w:rFonts w:ascii="Times New Roman" w:hAnsi="Times New Roman"/>
          <w:sz w:val="24"/>
          <w:szCs w:val="24"/>
        </w:rPr>
        <w:t>общ</w:t>
      </w:r>
      <w:proofErr w:type="spellEnd"/>
      <w:r w:rsidRPr="00F21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Монтана;</w:t>
      </w:r>
    </w:p>
    <w:p w:rsidR="00851869" w:rsidRDefault="00851869" w:rsidP="00851869">
      <w:pPr>
        <w:pStyle w:val="ListParagraph"/>
        <w:spacing w:line="360" w:lineRule="auto"/>
        <w:ind w:left="0" w:right="-612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1869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С оглед разпоредбите на чл. 37и, ал. 1 от ЗСПЗЗ</w:t>
      </w:r>
      <w:r w:rsidRPr="0085186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обстоятелствата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r w:rsidRPr="00851869">
        <w:rPr>
          <w:rFonts w:ascii="Times New Roman" w:hAnsi="Times New Roman"/>
          <w:bCs/>
          <w:sz w:val="24"/>
          <w:szCs w:val="24"/>
          <w:lang w:val="bg-BG"/>
        </w:rPr>
        <w:t xml:space="preserve">за допускане до участие в </w:t>
      </w:r>
      <w:r w:rsidRPr="00851869">
        <w:rPr>
          <w:rFonts w:ascii="Times New Roman" w:hAnsi="Times New Roman"/>
          <w:sz w:val="24"/>
          <w:szCs w:val="24"/>
          <w:lang w:val="bg-BG"/>
        </w:rPr>
        <w:t>допълнително разпределение на пасища, мери и ливади от Държавния поземлен фонд</w:t>
      </w:r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удостоверени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служебно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чрез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справки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съответните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публични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регистри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както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чрез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информация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изискана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получена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служебен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път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съответната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администрация</w:t>
      </w:r>
      <w:proofErr w:type="spellEnd"/>
      <w:r w:rsidRPr="00851869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bg-BG"/>
        </w:rPr>
        <w:t>С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прямо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r w:rsidRPr="00851869">
        <w:rPr>
          <w:rFonts w:ascii="Times New Roman" w:hAnsi="Times New Roman"/>
          <w:bCs/>
          <w:sz w:val="24"/>
          <w:szCs w:val="24"/>
          <w:lang w:val="bg-BG"/>
        </w:rPr>
        <w:t xml:space="preserve">заявителите за участие в </w:t>
      </w:r>
      <w:r w:rsidRPr="00851869">
        <w:rPr>
          <w:rFonts w:ascii="Times New Roman" w:hAnsi="Times New Roman"/>
          <w:sz w:val="24"/>
          <w:szCs w:val="24"/>
          <w:lang w:val="bg-BG"/>
        </w:rPr>
        <w:t>допълнително разпределение на пасища, мери и ливади от Държавния поземлен фонд</w:t>
      </w:r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се установи, че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налице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всички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bCs/>
          <w:sz w:val="24"/>
          <w:szCs w:val="24"/>
        </w:rPr>
        <w:t>условия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8518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sz w:val="24"/>
          <w:szCs w:val="24"/>
        </w:rPr>
        <w:t>допуска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не и</w:t>
      </w:r>
      <w:r w:rsidRPr="008518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1869">
        <w:rPr>
          <w:rFonts w:ascii="Times New Roman" w:hAnsi="Times New Roman"/>
          <w:sz w:val="24"/>
          <w:szCs w:val="24"/>
        </w:rPr>
        <w:t>разглеждане</w:t>
      </w:r>
      <w:proofErr w:type="spellEnd"/>
      <w:r w:rsidRPr="00851869">
        <w:rPr>
          <w:rFonts w:ascii="Times New Roman" w:hAnsi="Times New Roman"/>
          <w:sz w:val="24"/>
          <w:szCs w:val="24"/>
        </w:rPr>
        <w:t xml:space="preserve"> </w:t>
      </w:r>
      <w:r w:rsidRPr="00851869">
        <w:rPr>
          <w:rFonts w:ascii="Times New Roman" w:hAnsi="Times New Roman"/>
          <w:sz w:val="24"/>
          <w:szCs w:val="24"/>
          <w:lang w:val="bg-BG"/>
        </w:rPr>
        <w:t>на постъпилите заявления</w:t>
      </w:r>
      <w:r w:rsidRPr="00851869">
        <w:rPr>
          <w:rFonts w:ascii="Times New Roman" w:hAnsi="Times New Roman"/>
          <w:sz w:val="24"/>
          <w:szCs w:val="24"/>
        </w:rPr>
        <w:t>.</w:t>
      </w:r>
    </w:p>
    <w:p w:rsidR="00372BFD" w:rsidRDefault="00A46B78" w:rsidP="00372BFD">
      <w:pPr>
        <w:pStyle w:val="ListParagraph"/>
        <w:spacing w:line="360" w:lineRule="auto"/>
        <w:ind w:left="0" w:right="-612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След като разгледа </w:t>
      </w:r>
      <w:r w:rsidRPr="00257B4E">
        <w:rPr>
          <w:rFonts w:ascii="Times New Roman" w:hAnsi="Times New Roman"/>
          <w:sz w:val="24"/>
          <w:szCs w:val="24"/>
          <w:lang w:val="bg-BG"/>
        </w:rPr>
        <w:t>постъпилите в срока по чл. 37и, ал. 9 от ЗСПЗЗ заявления за допълнително разпределение на пасища, мери и ливади от Държавния поземлен фонд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ведно със съотносимите към процедурата документи и съобразно заявените животински единици и стопанисвани (наети и собствени) пасища, мери и ливади, както и разпределените площи пасища, мери и ливади от общинския поземлен фонд, 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съгласно</w:t>
      </w:r>
      <w:r w:rsidRPr="00FA6A77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FA6A77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данните от протоколите по чл. 100, ал. 3 и ал. 5 от ППЗСПЗЗ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, комисията </w:t>
      </w:r>
      <w:r w:rsidRPr="009779CF">
        <w:rPr>
          <w:rFonts w:ascii="Times New Roman" w:hAnsi="Times New Roman"/>
          <w:sz w:val="24"/>
          <w:szCs w:val="24"/>
          <w:lang w:val="bg-BG"/>
        </w:rPr>
        <w:t>определи допълнително необходимата площ за разпределение от държавния поземлен фонд по ползватели</w:t>
      </w:r>
      <w:r w:rsidR="00372BFD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72BFD" w:rsidRPr="00372BFD" w:rsidRDefault="00372BFD" w:rsidP="00372BFD">
      <w:pPr>
        <w:pStyle w:val="ListParagraph"/>
        <w:spacing w:line="360" w:lineRule="auto"/>
        <w:ind w:left="0" w:right="-612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72BFD">
        <w:rPr>
          <w:rFonts w:ascii="Times New Roman" w:hAnsi="Times New Roman"/>
          <w:sz w:val="24"/>
          <w:szCs w:val="24"/>
          <w:lang w:val="bg-BG"/>
        </w:rPr>
        <w:t>При разглеждане на заявлени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="00590E1F">
        <w:rPr>
          <w:rFonts w:ascii="Times New Roman" w:hAnsi="Times New Roman"/>
          <w:sz w:val="24"/>
          <w:szCs w:val="24"/>
          <w:lang w:val="bg-BG"/>
        </w:rPr>
        <w:t>та</w:t>
      </w:r>
      <w:r w:rsidRPr="00372BFD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, комисията установи следното:</w:t>
      </w:r>
    </w:p>
    <w:p w:rsidR="00372BFD" w:rsidRDefault="00372BFD" w:rsidP="00372BFD">
      <w:pPr>
        <w:pStyle w:val="ListParagraph"/>
        <w:spacing w:line="360" w:lineRule="auto"/>
        <w:ind w:left="0" w:right="-612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 w:rsidRPr="00372BFD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От представените документи от община Монтана е видно, че</w:t>
      </w:r>
      <w:r w:rsidR="00A35ADE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в</w:t>
      </w:r>
      <w:r w:rsidRPr="00372BFD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="00A35ADE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община Бойчиновци, община Медковец и община Якимово нямат свободни пасища, мери и ливади за допълнително разпределение по чл. 100, ал. 5 от ППЗСПЗЗ, </w:t>
      </w:r>
      <w:r w:rsidRPr="00372BFD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имайки предвид, че съседни землища на </w:t>
      </w:r>
      <w:r w:rsidR="00D90321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                           </w:t>
      </w:r>
      <w:r w:rsidR="00A35ADE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с. Безденица и </w:t>
      </w:r>
      <w:r w:rsidRPr="00372BFD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с. Габровница,</w:t>
      </w:r>
      <w:r w:rsidR="00A35ADE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Pr="00372BFD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община Монтана са: с. </w:t>
      </w:r>
      <w:r w:rsidR="00A35ADE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Медковец и с. Сливовик – община Медковец</w:t>
      </w:r>
      <w:r w:rsidRPr="00372BFD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, с. Мърчево и с. Ерден – община Бойчиновци, с. Дългоделци и с. Долно Церовене – община Якимово.</w:t>
      </w:r>
    </w:p>
    <w:p w:rsidR="008B138B" w:rsidRDefault="008B138B" w:rsidP="00372BFD">
      <w:pPr>
        <w:pStyle w:val="ListParagraph"/>
        <w:spacing w:line="360" w:lineRule="auto"/>
        <w:ind w:left="0" w:right="-612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От горецитираните документи, се установява следното:</w:t>
      </w:r>
    </w:p>
    <w:tbl>
      <w:tblPr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276"/>
        <w:gridCol w:w="709"/>
        <w:gridCol w:w="709"/>
        <w:gridCol w:w="850"/>
        <w:gridCol w:w="851"/>
        <w:gridCol w:w="850"/>
        <w:gridCol w:w="851"/>
        <w:gridCol w:w="736"/>
      </w:tblGrid>
      <w:tr w:rsidR="00A46B78" w:rsidRPr="00736954" w:rsidTr="00BB18F5">
        <w:trPr>
          <w:trHeight w:val="18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8" w:rsidRPr="00736954" w:rsidRDefault="00A46B78" w:rsidP="00F938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3695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Заявител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8" w:rsidRPr="00736954" w:rsidRDefault="00A46B78" w:rsidP="00F938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36954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  <w:proofErr w:type="spellEnd"/>
            <w:r w:rsidRPr="0073695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36954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proofErr w:type="spellEnd"/>
            <w:r w:rsidRPr="0073695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36954">
              <w:rPr>
                <w:rFonts w:ascii="Times New Roman" w:hAnsi="Times New Roman"/>
                <w:b/>
                <w:sz w:val="16"/>
                <w:szCs w:val="16"/>
              </w:rPr>
              <w:t>животновъ-ден</w:t>
            </w:r>
            <w:proofErr w:type="spellEnd"/>
            <w:r w:rsidRPr="0073695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36954">
              <w:rPr>
                <w:rFonts w:ascii="Times New Roman" w:hAnsi="Times New Roman"/>
                <w:b/>
                <w:sz w:val="16"/>
                <w:szCs w:val="16"/>
              </w:rPr>
              <w:t>обект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8" w:rsidRPr="00736954" w:rsidRDefault="00A46B78" w:rsidP="00F938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36954">
              <w:rPr>
                <w:rFonts w:ascii="Times New Roman" w:hAnsi="Times New Roman"/>
                <w:b/>
                <w:sz w:val="16"/>
                <w:szCs w:val="16"/>
              </w:rPr>
              <w:t>Местонахож-дение</w:t>
            </w:r>
            <w:proofErr w:type="spellEnd"/>
            <w:r w:rsidRPr="0073695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36954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proofErr w:type="spellEnd"/>
            <w:r w:rsidRPr="0073695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36954">
              <w:rPr>
                <w:rFonts w:ascii="Times New Roman" w:hAnsi="Times New Roman"/>
                <w:b/>
                <w:sz w:val="16"/>
                <w:szCs w:val="16"/>
              </w:rPr>
              <w:t>обекта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Вид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категория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животните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Брой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животни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Брой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ЖЕ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ЖЕ х 15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дка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/                   ЖЕ х 20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Наети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арендувани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собствени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площи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ПМЛ (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дка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Полагащи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се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площи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от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ОПФ</w:t>
            </w:r>
            <w:r w:rsidRPr="0073695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bg-BG"/>
              </w:rPr>
              <w:t>/ ДПФ</w:t>
            </w:r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разпределение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разпределена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площ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от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ОПФ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Необходима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площ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ДПФ</w:t>
            </w:r>
          </w:p>
        </w:tc>
      </w:tr>
      <w:tr w:rsidR="00A46B78" w:rsidRPr="007A771E" w:rsidTr="00BB18F5">
        <w:trPr>
          <w:trHeight w:val="3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78" w:rsidRPr="007A771E" w:rsidRDefault="008A61E2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A77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78" w:rsidRPr="007A771E" w:rsidRDefault="008A61E2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</w:rPr>
            </w:pPr>
            <w:r w:rsidRPr="007A771E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78" w:rsidRPr="007A771E" w:rsidRDefault="008A61E2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</w:rPr>
            </w:pPr>
            <w:r w:rsidRPr="007A771E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78" w:rsidRPr="007A771E" w:rsidRDefault="008A61E2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</w:rPr>
            </w:pPr>
            <w:r w:rsidRPr="007A771E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78" w:rsidRPr="007A771E" w:rsidRDefault="008A61E2" w:rsidP="008A61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A77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78" w:rsidRPr="007A771E" w:rsidRDefault="008A61E2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A77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78" w:rsidRPr="007A771E" w:rsidRDefault="008A61E2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A77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78" w:rsidRPr="007A771E" w:rsidRDefault="008A61E2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A77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78" w:rsidRPr="007A771E" w:rsidRDefault="008A61E2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A77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78" w:rsidRPr="007A771E" w:rsidRDefault="008A61E2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A77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B78" w:rsidRPr="007A771E" w:rsidRDefault="008A61E2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7A771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</w:tr>
      <w:tr w:rsidR="008A61E2" w:rsidRPr="00736954" w:rsidTr="00BB18F5">
        <w:trPr>
          <w:trHeight w:val="4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ED1A93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Веселин</w:t>
            </w:r>
            <w:proofErr w:type="spellEnd"/>
            <w:r w:rsidR="008A61E2" w:rsidRPr="008A61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A61E2" w:rsidRPr="008A61E2">
              <w:rPr>
                <w:rFonts w:ascii="Times New Roman" w:hAnsi="Times New Roman"/>
                <w:sz w:val="16"/>
                <w:szCs w:val="16"/>
              </w:rPr>
              <w:t>Христов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0320100014          /</w:t>
            </w: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стар</w:t>
            </w:r>
            <w:proofErr w:type="spellEnd"/>
            <w:r w:rsidRPr="008A61E2">
              <w:rPr>
                <w:rFonts w:ascii="Times New Roman" w:hAnsi="Times New Roman"/>
                <w:sz w:val="16"/>
                <w:szCs w:val="16"/>
              </w:rPr>
              <w:t xml:space="preserve"> 3454-0163/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Безденица</w:t>
            </w:r>
            <w:proofErr w:type="spellEnd"/>
            <w:r w:rsidRPr="008A61E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общ</w:t>
            </w:r>
            <w:proofErr w:type="spellEnd"/>
            <w:r w:rsidRPr="008A61E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Монтана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Овце</w:t>
            </w:r>
            <w:proofErr w:type="spellEnd"/>
            <w:r w:rsidRPr="008A61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над</w:t>
            </w:r>
            <w:proofErr w:type="spellEnd"/>
            <w:r w:rsidRPr="008A61E2">
              <w:rPr>
                <w:rFonts w:ascii="Times New Roman" w:hAnsi="Times New Roman"/>
                <w:sz w:val="16"/>
                <w:szCs w:val="16"/>
              </w:rPr>
              <w:t xml:space="preserve"> 12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41,55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623,250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304,042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1084,958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255,113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829,845</w:t>
            </w:r>
          </w:p>
        </w:tc>
      </w:tr>
      <w:tr w:rsidR="008A61E2" w:rsidRPr="00736954" w:rsidTr="00BB18F5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Овце</w:t>
            </w:r>
            <w:proofErr w:type="spellEnd"/>
            <w:r w:rsidRPr="008A61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над</w:t>
            </w:r>
            <w:proofErr w:type="spellEnd"/>
            <w:r w:rsidRPr="008A61E2">
              <w:rPr>
                <w:rFonts w:ascii="Times New Roman" w:hAnsi="Times New Roman"/>
                <w:sz w:val="16"/>
                <w:szCs w:val="16"/>
              </w:rPr>
              <w:t xml:space="preserve"> 12 м., </w:t>
            </w: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автохтонни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32,10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642,000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1E2" w:rsidRPr="00736954" w:rsidTr="00BB18F5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Кози</w:t>
            </w:r>
            <w:proofErr w:type="spellEnd"/>
            <w:r w:rsidRPr="008A61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над</w:t>
            </w:r>
            <w:proofErr w:type="spellEnd"/>
            <w:r w:rsidRPr="008A61E2">
              <w:rPr>
                <w:rFonts w:ascii="Times New Roman" w:hAnsi="Times New Roman"/>
                <w:sz w:val="16"/>
                <w:szCs w:val="16"/>
              </w:rPr>
              <w:t xml:space="preserve"> 12м.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78,750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1E2" w:rsidRPr="00736954" w:rsidTr="00BB18F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Коне</w:t>
            </w:r>
            <w:proofErr w:type="spellEnd"/>
            <w:r w:rsidRPr="008A61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над</w:t>
            </w:r>
            <w:proofErr w:type="spellEnd"/>
            <w:r w:rsidRPr="008A61E2">
              <w:rPr>
                <w:rFonts w:ascii="Times New Roman" w:hAnsi="Times New Roman"/>
                <w:sz w:val="16"/>
                <w:szCs w:val="16"/>
              </w:rPr>
              <w:t xml:space="preserve"> 6м.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45,000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1E2" w:rsidRPr="008A61E2" w:rsidTr="00BB18F5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7A771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A61E2">
              <w:rPr>
                <w:rFonts w:ascii="Times New Roman" w:hAnsi="Times New Roman"/>
                <w:b/>
                <w:sz w:val="16"/>
                <w:szCs w:val="16"/>
              </w:rPr>
              <w:t>Общо</w:t>
            </w:r>
            <w:proofErr w:type="spellEnd"/>
            <w:r w:rsidRPr="008A61E2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61E2">
              <w:rPr>
                <w:rFonts w:ascii="Times New Roman" w:hAnsi="Times New Roman"/>
                <w:b/>
                <w:sz w:val="16"/>
                <w:szCs w:val="16"/>
              </w:rPr>
              <w:t>81,90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61E2">
              <w:rPr>
                <w:rFonts w:ascii="Times New Roman" w:hAnsi="Times New Roman"/>
                <w:b/>
                <w:sz w:val="16"/>
                <w:szCs w:val="16"/>
              </w:rPr>
              <w:t>1389,000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61E2">
              <w:rPr>
                <w:rFonts w:ascii="Times New Roman" w:hAnsi="Times New Roman"/>
                <w:b/>
                <w:sz w:val="16"/>
                <w:szCs w:val="16"/>
              </w:rPr>
              <w:t>304,042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61E2">
              <w:rPr>
                <w:rFonts w:ascii="Times New Roman" w:hAnsi="Times New Roman"/>
                <w:b/>
                <w:sz w:val="16"/>
                <w:szCs w:val="16"/>
              </w:rPr>
              <w:t>1084,958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61E2">
              <w:rPr>
                <w:rFonts w:ascii="Times New Roman" w:hAnsi="Times New Roman"/>
                <w:b/>
                <w:sz w:val="16"/>
                <w:szCs w:val="16"/>
              </w:rPr>
              <w:t>255,113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61E2">
              <w:rPr>
                <w:rFonts w:ascii="Times New Roman" w:hAnsi="Times New Roman"/>
                <w:b/>
                <w:sz w:val="16"/>
                <w:szCs w:val="16"/>
              </w:rPr>
              <w:t>829,845</w:t>
            </w:r>
          </w:p>
        </w:tc>
      </w:tr>
      <w:tr w:rsidR="008A61E2" w:rsidRPr="00736954" w:rsidTr="00BB18F5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1E2" w:rsidRPr="008A61E2" w:rsidRDefault="008A61E2" w:rsidP="00ED1A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Валтер</w:t>
            </w:r>
            <w:proofErr w:type="spellEnd"/>
            <w:r w:rsidRPr="008A61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Борисов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1418070022            /</w:t>
            </w: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стар</w:t>
            </w:r>
            <w:proofErr w:type="spellEnd"/>
            <w:r w:rsidRPr="008A61E2">
              <w:rPr>
                <w:rFonts w:ascii="Times New Roman" w:hAnsi="Times New Roman"/>
                <w:sz w:val="16"/>
                <w:szCs w:val="16"/>
              </w:rPr>
              <w:t xml:space="preserve"> 3453-0303/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Габровница</w:t>
            </w:r>
            <w:proofErr w:type="spellEnd"/>
            <w:r w:rsidRPr="008A61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общ</w:t>
            </w:r>
            <w:proofErr w:type="spellEnd"/>
            <w:r w:rsidRPr="008A61E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Монтана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A61E2">
              <w:rPr>
                <w:rFonts w:ascii="Times New Roman" w:hAnsi="Times New Roman"/>
                <w:sz w:val="16"/>
                <w:szCs w:val="16"/>
              </w:rPr>
              <w:t>Говеда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52,933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547,067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7,693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1E2" w:rsidRPr="008A61E2" w:rsidRDefault="008A61E2" w:rsidP="008A61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61E2">
              <w:rPr>
                <w:rFonts w:ascii="Times New Roman" w:hAnsi="Times New Roman"/>
                <w:sz w:val="16"/>
                <w:szCs w:val="16"/>
              </w:rPr>
              <w:t>539,374</w:t>
            </w:r>
          </w:p>
        </w:tc>
      </w:tr>
      <w:tr w:rsidR="00A46B78" w:rsidRPr="00736954" w:rsidTr="00BB18F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Общо</w:t>
            </w:r>
            <w:proofErr w:type="spellEnd"/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52,933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547,067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7,693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B78" w:rsidRPr="00E42B12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42B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539,374</w:t>
            </w:r>
          </w:p>
        </w:tc>
      </w:tr>
    </w:tbl>
    <w:p w:rsidR="00A46B78" w:rsidRDefault="00A46B78" w:rsidP="00A46B7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Default="00A46B78" w:rsidP="00A46B7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Необходимата площ от ДПФ за допълнително разпределение (колона 11) комисията определи като разлика между общия размер на полагащите се площи пасища, мери и ливади (колона 9) и разпределените площи от ОПФ (колона 10). От своя страна полагащите се площи от ОПФ/ДПФ за разпределение (колона 9) са формирани въз основа на заявените животински единици (ЖЕ) умножени с минималната полагаема се площ на 1 животинска единица (съгл. чл. 37и, ал.4 ЗСПЗЗ), минус наетите и собствени ПМЛ.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6B78" w:rsidRPr="009779CF" w:rsidRDefault="00A46B78" w:rsidP="00A46B7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като определи допълнително полагаемата се площ от ДПФ на всеки кандидат, комисията</w:t>
      </w:r>
    </w:p>
    <w:p w:rsidR="00A46B78" w:rsidRPr="00E60819" w:rsidRDefault="00A46B78" w:rsidP="00A46B78">
      <w:pPr>
        <w:pStyle w:val="ListParagraph"/>
        <w:ind w:left="0"/>
        <w:jc w:val="center"/>
        <w:rPr>
          <w:rFonts w:ascii="Times New Roman" w:hAnsi="Times New Roman"/>
          <w:b/>
          <w:spacing w:val="20"/>
          <w:sz w:val="16"/>
          <w:szCs w:val="16"/>
          <w:lang w:val="bg-BG"/>
        </w:rPr>
      </w:pPr>
    </w:p>
    <w:p w:rsidR="00A46B78" w:rsidRDefault="00A46B78" w:rsidP="00A46B78">
      <w:pPr>
        <w:pStyle w:val="ListParagraph"/>
        <w:ind w:left="0"/>
        <w:jc w:val="center"/>
        <w:rPr>
          <w:rFonts w:ascii="Times New Roman" w:hAnsi="Times New Roman"/>
          <w:b/>
          <w:spacing w:val="20"/>
          <w:sz w:val="28"/>
          <w:szCs w:val="24"/>
          <w:lang w:val="bg-BG"/>
        </w:rPr>
      </w:pPr>
      <w:r w:rsidRPr="00BA0B3C">
        <w:rPr>
          <w:rFonts w:ascii="Times New Roman" w:hAnsi="Times New Roman"/>
          <w:b/>
          <w:spacing w:val="20"/>
          <w:sz w:val="28"/>
          <w:szCs w:val="24"/>
          <w:lang w:val="bg-BG"/>
        </w:rPr>
        <w:t>РЕШИ:</w:t>
      </w:r>
    </w:p>
    <w:p w:rsidR="00A46B78" w:rsidRDefault="00A46B78" w:rsidP="00A46B7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Pr="00E60819" w:rsidRDefault="00A46B78" w:rsidP="00A46B78">
      <w:pPr>
        <w:pStyle w:val="ListParagraph"/>
        <w:ind w:left="0" w:firstLine="72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A46B78" w:rsidRDefault="00A46B78" w:rsidP="00A46B7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Необходимата площ на всеки кандидат се разпределя по местонахождение на животновъдния обект, при спазване на разпоредбите на чл. 37и, ал. 10 и чл. 100, ал. 8 от ППЗСПЗЗ, а именно:</w:t>
      </w:r>
    </w:p>
    <w:p w:rsidR="00A46B78" w:rsidRDefault="00A46B78" w:rsidP="00A46B7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разпределението предимство имат кандидати, които до датата на разпределението са ползвали съответните имоти по договори с изтекъл срок. В тази връзка комисията констатира, че от подалите заявления за допълнително разпределение на земи от ДПФ за област Монтана кандидати, няма такива, попадащи в тази хипотеза.</w:t>
      </w:r>
    </w:p>
    <w:p w:rsidR="00A46B78" w:rsidRPr="00D61B97" w:rsidRDefault="00A46B78" w:rsidP="00A46B7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Комисията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разпределя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допълнително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необходимата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за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всеки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кандидат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площ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съобразно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данните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от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протоколите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по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565A21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чл. 100,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ал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. 3 и 5 </w:t>
      </w:r>
      <w:r w:rsidRPr="00565A21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ППЗСПЗЗ </w:t>
      </w:r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в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съответното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и/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или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съседни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землища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като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разпределението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се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извършва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последователно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в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съседно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землище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територията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същата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община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друга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съседна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община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в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lastRenderedPageBreak/>
        <w:t>същата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област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или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съседна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община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в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друга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област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. В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случаите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когато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разпределението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площите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се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извършва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в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съседно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землище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намиращо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се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територията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друга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област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разпределението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565A21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следва да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се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извърш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и</w:t>
      </w:r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от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съответната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комисия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по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местонахождението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имотите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която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служебно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се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изпращат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копия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от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документите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заявителя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с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данни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от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протоколите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за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разпределената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му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площ</w:t>
      </w:r>
      <w:proofErr w:type="spellEnd"/>
      <w:r w:rsidRPr="00565A21">
        <w:rPr>
          <w:rFonts w:ascii="Times New Roman" w:hAnsi="Times New Roman"/>
          <w:sz w:val="24"/>
          <w:szCs w:val="24"/>
          <w:shd w:val="clear" w:color="auto" w:fill="FEFEFE"/>
        </w:rPr>
        <w:t>.</w:t>
      </w:r>
    </w:p>
    <w:p w:rsidR="00A46B78" w:rsidRPr="00565A21" w:rsidRDefault="00A46B78" w:rsidP="00A46B78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Default="00A46B78" w:rsidP="00A46B7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779CF">
        <w:rPr>
          <w:rFonts w:ascii="Times New Roman" w:hAnsi="Times New Roman"/>
          <w:sz w:val="24"/>
          <w:szCs w:val="24"/>
          <w:lang w:val="bg-BG"/>
        </w:rPr>
        <w:t>На основание чл. 37и,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79CF">
        <w:rPr>
          <w:rFonts w:ascii="Times New Roman" w:hAnsi="Times New Roman"/>
          <w:sz w:val="24"/>
          <w:szCs w:val="24"/>
          <w:lang w:val="bg-BG"/>
        </w:rPr>
        <w:t>4 и ал.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10 от ЗСПЗЗ и чл. 100, ал. 8 от ППЗСПЗЗ </w:t>
      </w:r>
      <w:r>
        <w:rPr>
          <w:rFonts w:ascii="Times New Roman" w:hAnsi="Times New Roman"/>
          <w:sz w:val="24"/>
          <w:szCs w:val="24"/>
          <w:lang w:val="bg-BG"/>
        </w:rPr>
        <w:t xml:space="preserve">и с оглед взетите решения по т. 1, 2 и 3, </w:t>
      </w:r>
      <w:r w:rsidRPr="009779CF">
        <w:rPr>
          <w:rFonts w:ascii="Times New Roman" w:hAnsi="Times New Roman"/>
          <w:sz w:val="24"/>
          <w:szCs w:val="24"/>
          <w:lang w:val="bg-BG"/>
        </w:rPr>
        <w:t>разпредел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 следните площи по местонахождение на животновъдния обект </w:t>
      </w:r>
      <w:r>
        <w:rPr>
          <w:rFonts w:ascii="Times New Roman" w:hAnsi="Times New Roman"/>
          <w:sz w:val="24"/>
          <w:szCs w:val="24"/>
          <w:lang w:val="bg-BG"/>
        </w:rPr>
        <w:t xml:space="preserve">по ползватели, </w:t>
      </w:r>
      <w:r w:rsidRPr="009779CF">
        <w:rPr>
          <w:rFonts w:ascii="Times New Roman" w:hAnsi="Times New Roman"/>
          <w:sz w:val="24"/>
          <w:szCs w:val="24"/>
          <w:lang w:val="bg-BG"/>
        </w:rPr>
        <w:t>както следва:</w:t>
      </w:r>
    </w:p>
    <w:p w:rsidR="00A46B78" w:rsidRDefault="00A46B78" w:rsidP="00A46B78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Pr="009779CF" w:rsidRDefault="00A46B78" w:rsidP="00A46B78">
      <w:pPr>
        <w:pStyle w:val="ListParagraph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Разпределя на </w:t>
      </w:r>
      <w:r>
        <w:rPr>
          <w:rFonts w:ascii="Times New Roman" w:hAnsi="Times New Roman"/>
          <w:b/>
          <w:sz w:val="24"/>
          <w:szCs w:val="24"/>
          <w:lang w:val="bg-BG"/>
        </w:rPr>
        <w:t>ВЕСЕЛИН ХРИСТОВ</w:t>
      </w:r>
      <w:r w:rsidRPr="009779CF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79CF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ED1A93">
        <w:rPr>
          <w:rFonts w:ascii="Times New Roman" w:eastAsia="Times New Roman" w:hAnsi="Times New Roman"/>
          <w:sz w:val="24"/>
          <w:szCs w:val="24"/>
          <w:lang w:eastAsia="bg-BG"/>
        </w:rPr>
        <w:t>**********</w:t>
      </w:r>
      <w:r>
        <w:rPr>
          <w:rFonts w:ascii="Times New Roman" w:hAnsi="Times New Roman"/>
          <w:sz w:val="24"/>
          <w:szCs w:val="24"/>
          <w:lang w:val="bg-BG"/>
        </w:rPr>
        <w:t xml:space="preserve"> за ползване </w:t>
      </w:r>
      <w:r>
        <w:rPr>
          <w:rFonts w:ascii="Times New Roman" w:hAnsi="Times New Roman"/>
          <w:b/>
          <w:sz w:val="24"/>
          <w:szCs w:val="24"/>
          <w:lang w:val="bg-BG"/>
        </w:rPr>
        <w:t>313,211</w:t>
      </w:r>
      <w:r w:rsidRPr="003A53F0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>
        <w:rPr>
          <w:rFonts w:ascii="Times New Roman" w:hAnsi="Times New Roman"/>
          <w:sz w:val="24"/>
          <w:szCs w:val="24"/>
          <w:lang w:val="bg-BG"/>
        </w:rPr>
        <w:t xml:space="preserve"> пасища, мери и ливади от Държавния поземлен фонд</w:t>
      </w:r>
      <w:r w:rsidRPr="00AF277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 1 до 7 категория,</w:t>
      </w:r>
      <w:r w:rsidRPr="00EE66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79CF">
        <w:rPr>
          <w:rFonts w:ascii="Times New Roman" w:hAnsi="Times New Roman"/>
          <w:sz w:val="24"/>
          <w:szCs w:val="24"/>
          <w:lang w:val="bg-BG"/>
        </w:rPr>
        <w:t>индивидуализирани по имоти както следва:</w:t>
      </w:r>
    </w:p>
    <w:tbl>
      <w:tblPr>
        <w:tblW w:w="94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705"/>
        <w:gridCol w:w="1701"/>
        <w:gridCol w:w="1443"/>
        <w:gridCol w:w="1068"/>
        <w:gridCol w:w="1800"/>
        <w:gridCol w:w="1177"/>
      </w:tblGrid>
      <w:tr w:rsidR="00A46B78" w:rsidRPr="003A53F0" w:rsidTr="00F9383E">
        <w:trPr>
          <w:trHeight w:val="660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Община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Землище</w:t>
            </w:r>
            <w:proofErr w:type="spellEnd"/>
          </w:p>
        </w:tc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Имот</w:t>
            </w:r>
            <w:proofErr w:type="spellEnd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№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Площ</w:t>
            </w:r>
            <w:proofErr w:type="spellEnd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дка</w:t>
            </w:r>
            <w:proofErr w:type="spellEnd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НТП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Катего-рия</w:t>
            </w:r>
            <w:proofErr w:type="spellEnd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3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имота</w:t>
            </w:r>
            <w:proofErr w:type="spellEnd"/>
          </w:p>
        </w:tc>
      </w:tr>
      <w:tr w:rsidR="00A46B78" w:rsidRPr="003A53F0" w:rsidTr="00F9383E">
        <w:trPr>
          <w:trHeight w:val="495"/>
        </w:trPr>
        <w:tc>
          <w:tcPr>
            <w:tcW w:w="578" w:type="dxa"/>
            <w:vMerge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6B78" w:rsidRPr="00725703" w:rsidTr="00F9383E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46B78" w:rsidRPr="00725703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725703">
              <w:rPr>
                <w:rFonts w:ascii="Times New Roman" w:eastAsia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A46B78" w:rsidRPr="00725703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725703">
              <w:rPr>
                <w:rFonts w:ascii="Times New Roman" w:eastAsia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6B78" w:rsidRPr="00725703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725703">
              <w:rPr>
                <w:rFonts w:ascii="Times New Roman" w:eastAsia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A46B78" w:rsidRPr="00725703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725703">
              <w:rPr>
                <w:rFonts w:ascii="Times New Roman" w:eastAsia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A46B78" w:rsidRPr="00725703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725703">
              <w:rPr>
                <w:rFonts w:ascii="Times New Roman" w:eastAsia="Times New Roman" w:hAnsi="Times New Roman"/>
                <w:b/>
                <w:i/>
                <w:color w:val="000000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46B78" w:rsidRPr="00725703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725703">
              <w:rPr>
                <w:rFonts w:ascii="Times New Roman" w:eastAsia="Times New Roman" w:hAnsi="Times New Roman"/>
                <w:b/>
                <w:i/>
                <w:color w:val="000000"/>
              </w:rPr>
              <w:t>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A46B78" w:rsidRPr="00725703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725703">
              <w:rPr>
                <w:rFonts w:ascii="Times New Roman" w:eastAsia="Times New Roman" w:hAnsi="Times New Roman"/>
                <w:b/>
                <w:i/>
                <w:color w:val="000000"/>
              </w:rPr>
              <w:t>7</w:t>
            </w:r>
          </w:p>
        </w:tc>
      </w:tr>
      <w:tr w:rsidR="00A46B78" w:rsidRPr="008B57D4" w:rsidTr="00F9383E">
        <w:trPr>
          <w:trHeight w:val="295"/>
        </w:trPr>
        <w:tc>
          <w:tcPr>
            <w:tcW w:w="578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B57D4">
              <w:rPr>
                <w:rFonts w:ascii="Times New Roman" w:eastAsia="Times New Roman" w:hAnsi="Times New Roman"/>
                <w:bCs/>
                <w:lang w:val="bg-BG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Медковец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Сливовик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67386.243.85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4,747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3,5</w:t>
            </w:r>
          </w:p>
        </w:tc>
      </w:tr>
      <w:tr w:rsidR="00A46B78" w:rsidRPr="008B57D4" w:rsidTr="00F9383E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g-BG"/>
              </w:rPr>
            </w:pPr>
            <w:r w:rsidRPr="008B57D4">
              <w:rPr>
                <w:rFonts w:ascii="Times New Roman" w:eastAsia="Times New Roman" w:hAnsi="Times New Roman"/>
                <w:bCs/>
                <w:lang w:val="bg-BG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Монтана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Безденица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03201.105.7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10,202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ливада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6</w:t>
            </w:r>
          </w:p>
        </w:tc>
      </w:tr>
      <w:tr w:rsidR="00A46B78" w:rsidRPr="008B57D4" w:rsidTr="00F9383E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g-BG"/>
              </w:rPr>
            </w:pPr>
            <w:r w:rsidRPr="008B57D4">
              <w:rPr>
                <w:rFonts w:ascii="Times New Roman" w:eastAsia="Times New Roman" w:hAnsi="Times New Roman"/>
                <w:bCs/>
                <w:lang w:val="bg-BG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Монтана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Безденица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03201.138.1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31,360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6</w:t>
            </w:r>
          </w:p>
        </w:tc>
      </w:tr>
      <w:tr w:rsidR="00A46B78" w:rsidRPr="008B57D4" w:rsidTr="00F9383E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g-BG"/>
              </w:rPr>
            </w:pPr>
            <w:r w:rsidRPr="008B57D4">
              <w:rPr>
                <w:rFonts w:ascii="Times New Roman" w:eastAsia="Times New Roman" w:hAnsi="Times New Roman"/>
                <w:bCs/>
                <w:lang w:val="bg-BG"/>
              </w:rPr>
              <w:t>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Монтана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Безденица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03201.154.1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36,443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ливада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6</w:t>
            </w:r>
          </w:p>
        </w:tc>
      </w:tr>
      <w:tr w:rsidR="00A46B78" w:rsidRPr="008B57D4" w:rsidTr="00F9383E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g-BG"/>
              </w:rPr>
            </w:pPr>
            <w:r w:rsidRPr="008B57D4">
              <w:rPr>
                <w:rFonts w:ascii="Times New Roman" w:eastAsia="Times New Roman" w:hAnsi="Times New Roman"/>
                <w:bCs/>
                <w:lang w:val="bg-BG"/>
              </w:rPr>
              <w:t>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Монтана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Безденица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03201.154.2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10,977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ливада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6</w:t>
            </w:r>
          </w:p>
        </w:tc>
      </w:tr>
      <w:tr w:rsidR="00A46B78" w:rsidRPr="008B57D4" w:rsidTr="00F9383E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g-BG"/>
              </w:rPr>
            </w:pPr>
            <w:r w:rsidRPr="008B57D4">
              <w:rPr>
                <w:rFonts w:ascii="Times New Roman" w:eastAsia="Times New Roman" w:hAnsi="Times New Roman"/>
                <w:bCs/>
                <w:lang w:val="bg-BG"/>
              </w:rPr>
              <w:t>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Монтана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Безденица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03201.161.36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219,482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6</w:t>
            </w:r>
          </w:p>
        </w:tc>
      </w:tr>
      <w:tr w:rsidR="00A46B78" w:rsidRPr="003A53F0" w:rsidTr="00F9383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46B78" w:rsidRPr="003A53F0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A46B78" w:rsidRPr="003A53F0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6B78" w:rsidRPr="003A53F0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A46B78" w:rsidRPr="003A53F0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A53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A46B78" w:rsidRPr="00A618D6" w:rsidRDefault="00A46B78" w:rsidP="00F93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313,211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A46B78" w:rsidRPr="003A53F0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6B78" w:rsidRDefault="00A46B78" w:rsidP="00A46B78">
      <w:pPr>
        <w:pStyle w:val="ListParagraph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Pr="009779CF" w:rsidRDefault="00A46B78" w:rsidP="00A46B78">
      <w:pPr>
        <w:pStyle w:val="ListParagraph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2.Разпределя на 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ВАЛТЕР БОРИСОВ</w:t>
      </w:r>
      <w:r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ED1A93">
        <w:rPr>
          <w:rFonts w:ascii="Times New Roman" w:hAnsi="Times New Roman"/>
          <w:sz w:val="24"/>
          <w:szCs w:val="24"/>
        </w:rPr>
        <w:t>**********</w:t>
      </w:r>
      <w:r>
        <w:rPr>
          <w:rFonts w:ascii="Times New Roman" w:hAnsi="Times New Roman"/>
          <w:sz w:val="24"/>
          <w:szCs w:val="24"/>
          <w:lang w:val="bg-BG"/>
        </w:rPr>
        <w:t xml:space="preserve">, за ползване </w:t>
      </w:r>
      <w:r>
        <w:rPr>
          <w:rFonts w:ascii="Times New Roman" w:hAnsi="Times New Roman"/>
          <w:b/>
          <w:sz w:val="24"/>
          <w:szCs w:val="24"/>
          <w:lang w:val="bg-BG"/>
        </w:rPr>
        <w:t>42,726</w:t>
      </w:r>
      <w:r w:rsidRPr="003A53F0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>
        <w:rPr>
          <w:rFonts w:ascii="Times New Roman" w:hAnsi="Times New Roman"/>
          <w:sz w:val="24"/>
          <w:szCs w:val="24"/>
          <w:lang w:val="bg-BG"/>
        </w:rPr>
        <w:t xml:space="preserve"> пасища, мери и ливади от Държавния поземлен фонд</w:t>
      </w:r>
      <w:r w:rsidRPr="00AF277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 1 до 7 категория,</w:t>
      </w:r>
      <w:r w:rsidRPr="00EE66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79CF">
        <w:rPr>
          <w:rFonts w:ascii="Times New Roman" w:hAnsi="Times New Roman"/>
          <w:sz w:val="24"/>
          <w:szCs w:val="24"/>
          <w:lang w:val="bg-BG"/>
        </w:rPr>
        <w:t>индивидуализирани по имоти както следва: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706"/>
        <w:gridCol w:w="1559"/>
        <w:gridCol w:w="1417"/>
        <w:gridCol w:w="1116"/>
        <w:gridCol w:w="1781"/>
        <w:gridCol w:w="1072"/>
      </w:tblGrid>
      <w:tr w:rsidR="00A46B78" w:rsidRPr="00F61415" w:rsidTr="00F9383E">
        <w:trPr>
          <w:trHeight w:val="660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Община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Землище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Имот</w:t>
            </w:r>
            <w:proofErr w:type="spellEnd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№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Площ</w:t>
            </w:r>
            <w:proofErr w:type="spellEnd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дка</w:t>
            </w:r>
            <w:proofErr w:type="spellEnd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Катего-рия</w:t>
            </w:r>
            <w:proofErr w:type="spellEnd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7D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имота</w:t>
            </w:r>
            <w:proofErr w:type="spellEnd"/>
          </w:p>
        </w:tc>
      </w:tr>
      <w:tr w:rsidR="00A46B78" w:rsidRPr="00F61415" w:rsidTr="00F9383E">
        <w:trPr>
          <w:trHeight w:val="495"/>
        </w:trPr>
        <w:tc>
          <w:tcPr>
            <w:tcW w:w="578" w:type="dxa"/>
            <w:vMerge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6B78" w:rsidRPr="00725703" w:rsidTr="00F9383E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B57D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B57D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B57D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B57D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B57D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B57D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B57D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7</w:t>
            </w:r>
          </w:p>
        </w:tc>
      </w:tr>
      <w:tr w:rsidR="00A46B78" w:rsidRPr="008B57D4" w:rsidTr="00F9383E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B57D4">
              <w:rPr>
                <w:rFonts w:ascii="Times New Roman" w:eastAsia="Times New Roman" w:hAnsi="Times New Roman"/>
                <w:bCs/>
                <w:lang w:val="bg-BG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Бойчиновци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Мърчево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49607.63.4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15,702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ливада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5</w:t>
            </w:r>
          </w:p>
        </w:tc>
      </w:tr>
      <w:tr w:rsidR="00A46B78" w:rsidRPr="008B57D4" w:rsidTr="00F9383E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g-BG"/>
              </w:rPr>
            </w:pPr>
            <w:r w:rsidRPr="008B57D4">
              <w:rPr>
                <w:rFonts w:ascii="Times New Roman" w:eastAsia="Times New Roman" w:hAnsi="Times New Roman"/>
                <w:bCs/>
                <w:lang w:val="bg-BG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Якимово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Долно</w:t>
            </w:r>
            <w:proofErr w:type="spellEnd"/>
            <w:r w:rsidRPr="008B57D4">
              <w:rPr>
                <w:rFonts w:ascii="Times New Roman" w:hAnsi="Times New Roman"/>
              </w:rPr>
              <w:t xml:space="preserve"> </w:t>
            </w:r>
            <w:proofErr w:type="spellStart"/>
            <w:r w:rsidRPr="008B57D4">
              <w:rPr>
                <w:rFonts w:ascii="Times New Roman" w:hAnsi="Times New Roman"/>
              </w:rPr>
              <w:t>Церовене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22873.26.3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0,498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3</w:t>
            </w:r>
          </w:p>
        </w:tc>
      </w:tr>
      <w:tr w:rsidR="00A46B78" w:rsidRPr="008B57D4" w:rsidTr="00F9383E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g-BG"/>
              </w:rPr>
            </w:pPr>
            <w:r w:rsidRPr="008B57D4">
              <w:rPr>
                <w:rFonts w:ascii="Times New Roman" w:eastAsia="Times New Roman" w:hAnsi="Times New Roman"/>
                <w:bCs/>
                <w:lang w:val="bg-BG"/>
              </w:rPr>
              <w:lastRenderedPageBreak/>
              <w:t>3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Якимово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Долно</w:t>
            </w:r>
            <w:proofErr w:type="spellEnd"/>
            <w:r w:rsidRPr="008B57D4">
              <w:rPr>
                <w:rFonts w:ascii="Times New Roman" w:hAnsi="Times New Roman"/>
              </w:rPr>
              <w:t xml:space="preserve"> </w:t>
            </w:r>
            <w:proofErr w:type="spellStart"/>
            <w:r w:rsidRPr="008B57D4">
              <w:rPr>
                <w:rFonts w:ascii="Times New Roman" w:hAnsi="Times New Roman"/>
              </w:rPr>
              <w:t>Церовене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22873.69.2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3,014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3</w:t>
            </w:r>
          </w:p>
        </w:tc>
      </w:tr>
      <w:tr w:rsidR="00A46B78" w:rsidRPr="008B57D4" w:rsidTr="00F9383E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g-BG"/>
              </w:rPr>
            </w:pPr>
            <w:r w:rsidRPr="008B57D4">
              <w:rPr>
                <w:rFonts w:ascii="Times New Roman" w:eastAsia="Times New Roman" w:hAnsi="Times New Roman"/>
                <w:bCs/>
                <w:lang w:val="bg-BG"/>
              </w:rPr>
              <w:t>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Якимово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Долно</w:t>
            </w:r>
            <w:proofErr w:type="spellEnd"/>
            <w:r w:rsidRPr="008B57D4">
              <w:rPr>
                <w:rFonts w:ascii="Times New Roman" w:hAnsi="Times New Roman"/>
              </w:rPr>
              <w:t xml:space="preserve"> </w:t>
            </w:r>
            <w:proofErr w:type="spellStart"/>
            <w:r w:rsidRPr="008B57D4">
              <w:rPr>
                <w:rFonts w:ascii="Times New Roman" w:hAnsi="Times New Roman"/>
              </w:rPr>
              <w:t>Церовене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22873.71.4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0,921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3</w:t>
            </w:r>
          </w:p>
        </w:tc>
      </w:tr>
      <w:tr w:rsidR="00A46B78" w:rsidRPr="008B57D4" w:rsidTr="00F9383E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g-BG"/>
              </w:rPr>
            </w:pPr>
            <w:r w:rsidRPr="008B57D4">
              <w:rPr>
                <w:rFonts w:ascii="Times New Roman" w:eastAsia="Times New Roman" w:hAnsi="Times New Roman"/>
                <w:bCs/>
                <w:lang w:val="bg-BG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Якимово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Долно</w:t>
            </w:r>
            <w:proofErr w:type="spellEnd"/>
            <w:r w:rsidRPr="008B57D4">
              <w:rPr>
                <w:rFonts w:ascii="Times New Roman" w:hAnsi="Times New Roman"/>
              </w:rPr>
              <w:t xml:space="preserve"> </w:t>
            </w:r>
            <w:proofErr w:type="spellStart"/>
            <w:r w:rsidRPr="008B57D4">
              <w:rPr>
                <w:rFonts w:ascii="Times New Roman" w:hAnsi="Times New Roman"/>
              </w:rPr>
              <w:t>Церовене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22873.72.1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3,086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3</w:t>
            </w:r>
          </w:p>
        </w:tc>
      </w:tr>
      <w:tr w:rsidR="00A46B78" w:rsidRPr="008B57D4" w:rsidTr="00F9383E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g-BG"/>
              </w:rPr>
            </w:pPr>
            <w:r w:rsidRPr="008B57D4">
              <w:rPr>
                <w:rFonts w:ascii="Times New Roman" w:eastAsia="Times New Roman" w:hAnsi="Times New Roman"/>
                <w:bCs/>
                <w:lang w:val="bg-BG"/>
              </w:rPr>
              <w:t>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Якимово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Долно</w:t>
            </w:r>
            <w:proofErr w:type="spellEnd"/>
            <w:r w:rsidRPr="008B57D4">
              <w:rPr>
                <w:rFonts w:ascii="Times New Roman" w:hAnsi="Times New Roman"/>
              </w:rPr>
              <w:t xml:space="preserve"> </w:t>
            </w:r>
            <w:proofErr w:type="spellStart"/>
            <w:r w:rsidRPr="008B57D4">
              <w:rPr>
                <w:rFonts w:ascii="Times New Roman" w:hAnsi="Times New Roman"/>
              </w:rPr>
              <w:t>Церовене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22873.81.4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4,624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3</w:t>
            </w:r>
          </w:p>
        </w:tc>
      </w:tr>
      <w:tr w:rsidR="00A46B78" w:rsidRPr="008B57D4" w:rsidTr="00F9383E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g-BG"/>
              </w:rPr>
            </w:pPr>
            <w:r w:rsidRPr="008B57D4">
              <w:rPr>
                <w:rFonts w:ascii="Times New Roman" w:eastAsia="Times New Roman" w:hAnsi="Times New Roman"/>
                <w:bCs/>
                <w:lang w:val="bg-BG"/>
              </w:rPr>
              <w:t>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Якимово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Долно</w:t>
            </w:r>
            <w:proofErr w:type="spellEnd"/>
            <w:r w:rsidRPr="008B57D4">
              <w:rPr>
                <w:rFonts w:ascii="Times New Roman" w:hAnsi="Times New Roman"/>
              </w:rPr>
              <w:t xml:space="preserve"> </w:t>
            </w:r>
            <w:proofErr w:type="spellStart"/>
            <w:r w:rsidRPr="008B57D4">
              <w:rPr>
                <w:rFonts w:ascii="Times New Roman" w:hAnsi="Times New Roman"/>
              </w:rPr>
              <w:t>Церовене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22873.81.5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3,221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3</w:t>
            </w:r>
          </w:p>
        </w:tc>
      </w:tr>
      <w:tr w:rsidR="00A46B78" w:rsidRPr="008B57D4" w:rsidTr="00F9383E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A46B78" w:rsidRPr="008B57D4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bg-BG"/>
              </w:rPr>
            </w:pPr>
            <w:r w:rsidRPr="008B57D4">
              <w:rPr>
                <w:rFonts w:ascii="Times New Roman" w:eastAsia="Times New Roman" w:hAnsi="Times New Roman"/>
                <w:bCs/>
                <w:lang w:val="bg-BG"/>
              </w:rPr>
              <w:t>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Якимово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Долно</w:t>
            </w:r>
            <w:proofErr w:type="spellEnd"/>
            <w:r w:rsidRPr="008B57D4">
              <w:rPr>
                <w:rFonts w:ascii="Times New Roman" w:hAnsi="Times New Roman"/>
              </w:rPr>
              <w:t xml:space="preserve"> </w:t>
            </w:r>
            <w:proofErr w:type="spellStart"/>
            <w:r w:rsidRPr="008B57D4">
              <w:rPr>
                <w:rFonts w:ascii="Times New Roman" w:hAnsi="Times New Roman"/>
              </w:rPr>
              <w:t>Церовене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22873.87.2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11,660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57D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:rsidR="00A46B78" w:rsidRPr="008B57D4" w:rsidRDefault="00A46B78" w:rsidP="00F9383E">
            <w:pPr>
              <w:jc w:val="center"/>
              <w:rPr>
                <w:rFonts w:ascii="Times New Roman" w:hAnsi="Times New Roman"/>
              </w:rPr>
            </w:pPr>
            <w:r w:rsidRPr="008B57D4">
              <w:rPr>
                <w:rFonts w:ascii="Times New Roman" w:hAnsi="Times New Roman"/>
              </w:rPr>
              <w:t>3</w:t>
            </w:r>
          </w:p>
        </w:tc>
      </w:tr>
      <w:tr w:rsidR="00A46B78" w:rsidRPr="00F61415" w:rsidTr="00F9383E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A46B78" w:rsidRPr="00F61415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:rsidR="00A46B78" w:rsidRPr="00F61415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46B78" w:rsidRPr="00F61415" w:rsidRDefault="00A46B78" w:rsidP="00F938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46B78" w:rsidRPr="00F61415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53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46B78" w:rsidRPr="00A618D6" w:rsidRDefault="00A46B78" w:rsidP="00F93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42,726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A46B78" w:rsidRPr="00F61415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A46B78" w:rsidRPr="00F61415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6B78" w:rsidRPr="004F06D3" w:rsidRDefault="00A46B78" w:rsidP="00A46B7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Default="00A46B78" w:rsidP="00A46B78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Въз основа на извършеното разпределение по реда на чл. 37и, ал.10 от ЗСПЗЗ, комисията изчисли какъв е недостига на свободни площи от ДПФ и обобщи данните по заявители в следната таблица:</w:t>
      </w:r>
    </w:p>
    <w:tbl>
      <w:tblPr>
        <w:tblpPr w:leftFromText="180" w:rightFromText="180" w:vertAnchor="text" w:horzAnchor="margin" w:tblpY="47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1388"/>
        <w:gridCol w:w="1250"/>
        <w:gridCol w:w="1555"/>
        <w:gridCol w:w="1389"/>
        <w:gridCol w:w="1555"/>
      </w:tblGrid>
      <w:tr w:rsidR="00A46B78" w:rsidRPr="00222E6E" w:rsidTr="00F9383E">
        <w:trPr>
          <w:trHeight w:val="1692"/>
        </w:trPr>
        <w:tc>
          <w:tcPr>
            <w:tcW w:w="2376" w:type="dxa"/>
            <w:shd w:val="clear" w:color="auto" w:fill="FFFFFF"/>
            <w:vAlign w:val="center"/>
            <w:hideMark/>
          </w:tcPr>
          <w:p w:rsidR="00A46B78" w:rsidRPr="00222E6E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/>
              </w:rPr>
            </w:pPr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/>
              </w:rPr>
              <w:t>Заявител</w:t>
            </w: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:rsidR="00A46B78" w:rsidRPr="00222E6E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Полагащи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площи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разпределе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/>
              </w:rPr>
              <w:t>-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0" w:type="dxa"/>
            <w:shd w:val="clear" w:color="auto" w:fill="FFFFFF"/>
            <w:vAlign w:val="center"/>
            <w:hideMark/>
          </w:tcPr>
          <w:p w:rsidR="00A46B78" w:rsidRPr="00222E6E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Общо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разпреде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/>
              </w:rPr>
              <w:t>-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лена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площ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ОПФ (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FFFFFF"/>
            <w:vAlign w:val="center"/>
            <w:hideMark/>
          </w:tcPr>
          <w:p w:rsidR="00A46B78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Необходима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площ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допълнително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разпределение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ДПФ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46B78" w:rsidRPr="00222E6E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A46B78" w:rsidRPr="00222E6E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Разпределе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/>
              </w:rPr>
              <w:t>-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площ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 от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 </w:t>
            </w:r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ДПФ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Монтана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5" w:type="dxa"/>
            <w:shd w:val="clear" w:color="auto" w:fill="FFFFFF"/>
            <w:vAlign w:val="center"/>
            <w:hideMark/>
          </w:tcPr>
          <w:p w:rsidR="00A46B78" w:rsidRPr="00222E6E" w:rsidRDefault="00A46B78" w:rsidP="00F93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Недостиг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площи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допълнително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разпределение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дка</w:t>
            </w:r>
            <w:proofErr w:type="spellEnd"/>
            <w:r w:rsidRPr="00222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6B78" w:rsidRPr="00222E6E" w:rsidTr="00F9383E">
        <w:trPr>
          <w:trHeight w:val="533"/>
        </w:trPr>
        <w:tc>
          <w:tcPr>
            <w:tcW w:w="2376" w:type="dxa"/>
            <w:shd w:val="clear" w:color="auto" w:fill="FFFFFF"/>
            <w:noWrap/>
            <w:vAlign w:val="center"/>
            <w:hideMark/>
          </w:tcPr>
          <w:p w:rsidR="00A46B78" w:rsidRPr="003F638B" w:rsidRDefault="00A46B78" w:rsidP="00ED1A93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F638B">
              <w:rPr>
                <w:rFonts w:ascii="Times New Roman" w:hAnsi="Times New Roman"/>
                <w:color w:val="000000"/>
                <w:lang w:val="bg-BG"/>
              </w:rPr>
              <w:t>Веселин Христов</w:t>
            </w:r>
          </w:p>
        </w:tc>
        <w:tc>
          <w:tcPr>
            <w:tcW w:w="1388" w:type="dxa"/>
            <w:shd w:val="clear" w:color="auto" w:fill="FFFFFF"/>
            <w:noWrap/>
            <w:vAlign w:val="center"/>
            <w:hideMark/>
          </w:tcPr>
          <w:p w:rsidR="00A46B78" w:rsidRPr="003F638B" w:rsidRDefault="00A46B78" w:rsidP="00F93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38B">
              <w:rPr>
                <w:rFonts w:ascii="Times New Roman" w:hAnsi="Times New Roman"/>
                <w:color w:val="000000"/>
                <w:sz w:val="20"/>
                <w:szCs w:val="20"/>
              </w:rPr>
              <w:t>1084,958</w:t>
            </w:r>
          </w:p>
        </w:tc>
        <w:tc>
          <w:tcPr>
            <w:tcW w:w="1250" w:type="dxa"/>
            <w:shd w:val="clear" w:color="auto" w:fill="FFFFFF"/>
            <w:noWrap/>
            <w:vAlign w:val="center"/>
            <w:hideMark/>
          </w:tcPr>
          <w:p w:rsidR="00A46B78" w:rsidRPr="003F638B" w:rsidRDefault="00A46B78" w:rsidP="00F93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38B">
              <w:rPr>
                <w:rFonts w:ascii="Times New Roman" w:hAnsi="Times New Roman"/>
                <w:color w:val="000000"/>
                <w:sz w:val="20"/>
                <w:szCs w:val="20"/>
              </w:rPr>
              <w:t>255,113</w:t>
            </w:r>
          </w:p>
        </w:tc>
        <w:tc>
          <w:tcPr>
            <w:tcW w:w="1555" w:type="dxa"/>
            <w:shd w:val="clear" w:color="auto" w:fill="FFFFFF"/>
            <w:noWrap/>
            <w:vAlign w:val="center"/>
            <w:hideMark/>
          </w:tcPr>
          <w:p w:rsidR="00A46B78" w:rsidRPr="003F638B" w:rsidRDefault="00A46B78" w:rsidP="00F93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38B">
              <w:rPr>
                <w:rFonts w:ascii="Times New Roman" w:hAnsi="Times New Roman"/>
                <w:color w:val="000000"/>
                <w:sz w:val="20"/>
                <w:szCs w:val="20"/>
              </w:rPr>
              <w:t>829,845</w:t>
            </w:r>
          </w:p>
        </w:tc>
        <w:tc>
          <w:tcPr>
            <w:tcW w:w="1389" w:type="dxa"/>
            <w:shd w:val="clear" w:color="auto" w:fill="FFFFFF"/>
            <w:noWrap/>
            <w:vAlign w:val="center"/>
            <w:hideMark/>
          </w:tcPr>
          <w:p w:rsidR="00A46B78" w:rsidRPr="003F638B" w:rsidRDefault="00A46B78" w:rsidP="00F938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313,211</w:t>
            </w:r>
          </w:p>
        </w:tc>
        <w:tc>
          <w:tcPr>
            <w:tcW w:w="1555" w:type="dxa"/>
            <w:shd w:val="clear" w:color="auto" w:fill="FFFFFF"/>
            <w:noWrap/>
            <w:vAlign w:val="center"/>
            <w:hideMark/>
          </w:tcPr>
          <w:p w:rsidR="00A46B78" w:rsidRPr="003F638B" w:rsidRDefault="00A46B78" w:rsidP="00F93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38B">
              <w:rPr>
                <w:rFonts w:ascii="Times New Roman" w:hAnsi="Times New Roman"/>
                <w:color w:val="000000"/>
                <w:sz w:val="20"/>
                <w:szCs w:val="20"/>
              </w:rPr>
              <w:t>516,634</w:t>
            </w:r>
          </w:p>
        </w:tc>
      </w:tr>
      <w:tr w:rsidR="00A46B78" w:rsidRPr="00222E6E" w:rsidTr="00F9383E">
        <w:trPr>
          <w:trHeight w:val="533"/>
        </w:trPr>
        <w:tc>
          <w:tcPr>
            <w:tcW w:w="2376" w:type="dxa"/>
            <w:shd w:val="clear" w:color="auto" w:fill="FFFFFF"/>
            <w:noWrap/>
            <w:vAlign w:val="center"/>
            <w:hideMark/>
          </w:tcPr>
          <w:p w:rsidR="00A46B78" w:rsidRPr="003F638B" w:rsidRDefault="00A46B78" w:rsidP="00ED1A93">
            <w:pPr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3F638B">
              <w:rPr>
                <w:rFonts w:ascii="Times New Roman" w:hAnsi="Times New Roman"/>
                <w:color w:val="000000"/>
                <w:lang w:val="bg-BG"/>
              </w:rPr>
              <w:t>Валтер Борисов</w:t>
            </w:r>
          </w:p>
        </w:tc>
        <w:tc>
          <w:tcPr>
            <w:tcW w:w="1388" w:type="dxa"/>
            <w:shd w:val="clear" w:color="auto" w:fill="FFFFFF"/>
            <w:noWrap/>
            <w:vAlign w:val="center"/>
            <w:hideMark/>
          </w:tcPr>
          <w:p w:rsidR="00A46B78" w:rsidRPr="003F638B" w:rsidRDefault="00A46B78" w:rsidP="00F93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38B">
              <w:rPr>
                <w:rFonts w:ascii="Times New Roman" w:hAnsi="Times New Roman"/>
                <w:color w:val="000000"/>
                <w:sz w:val="20"/>
                <w:szCs w:val="20"/>
              </w:rPr>
              <w:t>547,067</w:t>
            </w:r>
          </w:p>
        </w:tc>
        <w:tc>
          <w:tcPr>
            <w:tcW w:w="1250" w:type="dxa"/>
            <w:shd w:val="clear" w:color="auto" w:fill="FFFFFF"/>
            <w:noWrap/>
            <w:vAlign w:val="center"/>
            <w:hideMark/>
          </w:tcPr>
          <w:p w:rsidR="00A46B78" w:rsidRPr="003F638B" w:rsidRDefault="00A46B78" w:rsidP="00F93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38B">
              <w:rPr>
                <w:rFonts w:ascii="Times New Roman" w:hAnsi="Times New Roman"/>
                <w:color w:val="000000"/>
                <w:sz w:val="20"/>
                <w:szCs w:val="20"/>
              </w:rPr>
              <w:t>7,693</w:t>
            </w:r>
          </w:p>
        </w:tc>
        <w:tc>
          <w:tcPr>
            <w:tcW w:w="1555" w:type="dxa"/>
            <w:shd w:val="clear" w:color="auto" w:fill="FFFFFF"/>
            <w:noWrap/>
            <w:vAlign w:val="center"/>
            <w:hideMark/>
          </w:tcPr>
          <w:p w:rsidR="00A46B78" w:rsidRPr="003F638B" w:rsidRDefault="00A46B78" w:rsidP="00F93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38B">
              <w:rPr>
                <w:rFonts w:ascii="Times New Roman" w:hAnsi="Times New Roman"/>
                <w:color w:val="000000"/>
                <w:sz w:val="20"/>
                <w:szCs w:val="20"/>
              </w:rPr>
              <w:t>539,374</w:t>
            </w:r>
          </w:p>
        </w:tc>
        <w:tc>
          <w:tcPr>
            <w:tcW w:w="1389" w:type="dxa"/>
            <w:shd w:val="clear" w:color="auto" w:fill="FFFFFF"/>
            <w:noWrap/>
            <w:vAlign w:val="center"/>
            <w:hideMark/>
          </w:tcPr>
          <w:p w:rsidR="00A46B78" w:rsidRPr="003F638B" w:rsidRDefault="00A46B78" w:rsidP="00F938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42,726</w:t>
            </w:r>
          </w:p>
        </w:tc>
        <w:tc>
          <w:tcPr>
            <w:tcW w:w="1555" w:type="dxa"/>
            <w:shd w:val="clear" w:color="auto" w:fill="FFFFFF"/>
            <w:noWrap/>
            <w:vAlign w:val="center"/>
            <w:hideMark/>
          </w:tcPr>
          <w:p w:rsidR="00A46B78" w:rsidRPr="003F638B" w:rsidRDefault="00A46B78" w:rsidP="00F938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38B">
              <w:rPr>
                <w:rFonts w:ascii="Times New Roman" w:hAnsi="Times New Roman"/>
                <w:color w:val="000000"/>
                <w:sz w:val="20"/>
                <w:szCs w:val="20"/>
              </w:rPr>
              <w:t>496,648</w:t>
            </w:r>
          </w:p>
        </w:tc>
      </w:tr>
    </w:tbl>
    <w:p w:rsidR="00A46B78" w:rsidRDefault="00A46B78" w:rsidP="00A46B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Default="00A46B78" w:rsidP="009720E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Настоящият протокол да се обяви в съответните кметства и общински служби по земеделие, както и да се публикува на интернет страниците на общините и Областна дирекция „Земеделие“ – гр. Монтана.</w:t>
      </w:r>
    </w:p>
    <w:p w:rsidR="00A46B78" w:rsidRDefault="00A46B78" w:rsidP="009720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Протоколът може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не разпореди друго.</w:t>
      </w:r>
    </w:p>
    <w:p w:rsidR="00A46B78" w:rsidRDefault="00A46B78" w:rsidP="009720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Въз основа на настоящия протокол директорът на Областна дирекция „Земеделие“ – гр. Монтана сключва договор за наем или аренда по цена, определена по пазарен механизъм. Минималният срок на договора е пет стопански години, считано от стопанската 2023-2024 година.</w:t>
      </w:r>
    </w:p>
    <w:p w:rsidR="00A46B78" w:rsidRDefault="00A46B78" w:rsidP="009720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Настоящият протокол се състави в два еднообразни екземпляра – един за комисията и един за Областна дирекция „Земеделие“ – гр. Монтана. При поискване на заинтересованите лица се предоставя заверено копие.</w:t>
      </w: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Pr="006A723D" w:rsidRDefault="00A46B78" w:rsidP="00A46B7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A723D">
        <w:rPr>
          <w:rFonts w:ascii="Times New Roman" w:hAnsi="Times New Roman"/>
          <w:b/>
          <w:sz w:val="24"/>
          <w:szCs w:val="24"/>
          <w:lang w:val="bg-BG"/>
        </w:rPr>
        <w:t>К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723D"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723D">
        <w:rPr>
          <w:rFonts w:ascii="Times New Roman" w:hAnsi="Times New Roman"/>
          <w:b/>
          <w:sz w:val="24"/>
          <w:szCs w:val="24"/>
          <w:lang w:val="bg-BG"/>
        </w:rPr>
        <w:t>М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723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723D"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723D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723D">
        <w:rPr>
          <w:rFonts w:ascii="Times New Roman" w:hAnsi="Times New Roman"/>
          <w:b/>
          <w:sz w:val="24"/>
          <w:szCs w:val="24"/>
          <w:lang w:val="bg-BG"/>
        </w:rPr>
        <w:t>Я:</w:t>
      </w: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A723D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.........</w:t>
      </w:r>
      <w:r w:rsidR="009720EE">
        <w:rPr>
          <w:rFonts w:ascii="Times New Roman" w:hAnsi="Times New Roman"/>
          <w:sz w:val="24"/>
          <w:szCs w:val="24"/>
        </w:rPr>
        <w:t>/</w:t>
      </w:r>
      <w:r w:rsidR="009720EE">
        <w:rPr>
          <w:rFonts w:ascii="Times New Roman" w:hAnsi="Times New Roman"/>
          <w:sz w:val="24"/>
          <w:szCs w:val="24"/>
          <w:lang w:val="bg-BG"/>
        </w:rPr>
        <w:t>П/</w:t>
      </w:r>
      <w:r>
        <w:rPr>
          <w:rFonts w:ascii="Times New Roman" w:hAnsi="Times New Roman"/>
          <w:sz w:val="24"/>
          <w:szCs w:val="24"/>
          <w:lang w:val="bg-BG"/>
        </w:rPr>
        <w:t>...................</w:t>
      </w: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/ Галя Дуева /</w:t>
      </w: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A723D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  <w:r>
        <w:rPr>
          <w:rFonts w:ascii="Times New Roman" w:hAnsi="Times New Roman"/>
          <w:sz w:val="24"/>
          <w:szCs w:val="24"/>
          <w:lang w:val="bg-BG"/>
        </w:rPr>
        <w:t xml:space="preserve"> 1. ...........</w:t>
      </w:r>
      <w:r w:rsidR="009720EE">
        <w:rPr>
          <w:rFonts w:ascii="Times New Roman" w:hAnsi="Times New Roman"/>
          <w:sz w:val="24"/>
          <w:szCs w:val="24"/>
          <w:lang w:val="bg-BG"/>
        </w:rPr>
        <w:t>/П/</w:t>
      </w:r>
      <w:r>
        <w:rPr>
          <w:rFonts w:ascii="Times New Roman" w:hAnsi="Times New Roman"/>
          <w:sz w:val="24"/>
          <w:szCs w:val="24"/>
          <w:lang w:val="bg-BG"/>
        </w:rPr>
        <w:t>.......................                         2. ............</w:t>
      </w:r>
      <w:r w:rsidR="000641B0">
        <w:rPr>
          <w:rFonts w:ascii="Times New Roman" w:hAnsi="Times New Roman"/>
          <w:sz w:val="24"/>
          <w:szCs w:val="24"/>
          <w:lang w:val="bg-BG"/>
        </w:rPr>
        <w:t>/П/</w:t>
      </w:r>
      <w:r>
        <w:rPr>
          <w:rFonts w:ascii="Times New Roman" w:hAnsi="Times New Roman"/>
          <w:sz w:val="24"/>
          <w:szCs w:val="24"/>
          <w:lang w:val="bg-BG"/>
        </w:rPr>
        <w:t>.....................</w:t>
      </w: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/ Петя Георгиева /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/Станислав Ценов/</w:t>
      </w: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Default="00A46B78" w:rsidP="00A46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6B78" w:rsidRDefault="00A46B78" w:rsidP="00A46B7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23D">
        <w:rPr>
          <w:rFonts w:ascii="Times New Roman" w:hAnsi="Times New Roman"/>
          <w:sz w:val="24"/>
          <w:szCs w:val="24"/>
          <w:lang w:val="bg-BG"/>
        </w:rPr>
        <w:t>3.</w:t>
      </w:r>
      <w:r>
        <w:rPr>
          <w:rFonts w:ascii="Times New Roman" w:hAnsi="Times New Roman"/>
          <w:sz w:val="24"/>
          <w:szCs w:val="24"/>
          <w:lang w:val="bg-BG"/>
        </w:rPr>
        <w:t xml:space="preserve"> .............</w:t>
      </w:r>
      <w:r w:rsidR="000641B0">
        <w:rPr>
          <w:rFonts w:ascii="Times New Roman" w:hAnsi="Times New Roman"/>
          <w:sz w:val="24"/>
          <w:szCs w:val="24"/>
          <w:lang w:val="bg-BG"/>
        </w:rPr>
        <w:t>/П/</w:t>
      </w:r>
      <w:r>
        <w:rPr>
          <w:rFonts w:ascii="Times New Roman" w:hAnsi="Times New Roman"/>
          <w:sz w:val="24"/>
          <w:szCs w:val="24"/>
          <w:lang w:val="bg-BG"/>
        </w:rPr>
        <w:t>........................</w:t>
      </w:r>
      <w:r w:rsidR="000641B0">
        <w:rPr>
          <w:rFonts w:ascii="Times New Roman" w:hAnsi="Times New Roman"/>
          <w:sz w:val="24"/>
          <w:szCs w:val="24"/>
          <w:lang w:val="bg-BG"/>
        </w:rPr>
        <w:tab/>
      </w:r>
      <w:r w:rsidR="000641B0">
        <w:rPr>
          <w:rFonts w:ascii="Times New Roman" w:hAnsi="Times New Roman"/>
          <w:sz w:val="24"/>
          <w:szCs w:val="24"/>
          <w:lang w:val="bg-BG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 xml:space="preserve"> 4. ............</w:t>
      </w:r>
      <w:r w:rsidR="000641B0">
        <w:rPr>
          <w:rFonts w:ascii="Times New Roman" w:hAnsi="Times New Roman"/>
          <w:sz w:val="24"/>
          <w:szCs w:val="24"/>
          <w:lang w:val="bg-BG"/>
        </w:rPr>
        <w:t>/П/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.....................</w:t>
      </w:r>
    </w:p>
    <w:p w:rsidR="006A723D" w:rsidRPr="005A548D" w:rsidRDefault="00663B3D" w:rsidP="00663B3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  <w:r w:rsidR="00A46B78">
        <w:rPr>
          <w:rFonts w:ascii="Times New Roman" w:hAnsi="Times New Roman"/>
          <w:sz w:val="24"/>
          <w:szCs w:val="24"/>
          <w:lang w:val="bg-BG"/>
        </w:rPr>
        <w:t>/ Е</w:t>
      </w:r>
      <w:r>
        <w:rPr>
          <w:rFonts w:ascii="Times New Roman" w:hAnsi="Times New Roman"/>
          <w:sz w:val="24"/>
          <w:szCs w:val="24"/>
          <w:lang w:val="bg-BG"/>
        </w:rPr>
        <w:t>милия Даракчийска /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          </w:t>
      </w:r>
      <w:r w:rsidR="00A46B78">
        <w:rPr>
          <w:rFonts w:ascii="Times New Roman" w:hAnsi="Times New Roman"/>
          <w:sz w:val="24"/>
          <w:szCs w:val="24"/>
          <w:lang w:val="bg-BG"/>
        </w:rPr>
        <w:t>/ Жанет Попова /</w:t>
      </w:r>
    </w:p>
    <w:sectPr w:rsidR="006A723D" w:rsidRPr="005A548D" w:rsidSect="00A46B78"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0C" w:rsidRDefault="0044560C" w:rsidP="00DA0C57">
      <w:pPr>
        <w:spacing w:after="0" w:line="240" w:lineRule="auto"/>
      </w:pPr>
      <w:r>
        <w:separator/>
      </w:r>
    </w:p>
  </w:endnote>
  <w:endnote w:type="continuationSeparator" w:id="0">
    <w:p w:rsidR="0044560C" w:rsidRDefault="0044560C" w:rsidP="00DA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9A" w:rsidRPr="00AA61FB" w:rsidRDefault="0065509A">
    <w:pPr>
      <w:pStyle w:val="Footer"/>
      <w:jc w:val="center"/>
      <w:rPr>
        <w:rFonts w:ascii="Times New Roman" w:hAnsi="Times New Roman"/>
      </w:rPr>
    </w:pPr>
    <w:r w:rsidRPr="00AA61FB">
      <w:rPr>
        <w:rFonts w:ascii="Times New Roman" w:hAnsi="Times New Roman"/>
      </w:rPr>
      <w:fldChar w:fldCharType="begin"/>
    </w:r>
    <w:r w:rsidRPr="00AA61FB">
      <w:rPr>
        <w:rFonts w:ascii="Times New Roman" w:hAnsi="Times New Roman"/>
      </w:rPr>
      <w:instrText xml:space="preserve"> PAGE   \* MERGEFORMAT </w:instrText>
    </w:r>
    <w:r w:rsidRPr="00AA61FB">
      <w:rPr>
        <w:rFonts w:ascii="Times New Roman" w:hAnsi="Times New Roman"/>
      </w:rPr>
      <w:fldChar w:fldCharType="separate"/>
    </w:r>
    <w:r w:rsidR="000641B0">
      <w:rPr>
        <w:rFonts w:ascii="Times New Roman" w:hAnsi="Times New Roman"/>
        <w:noProof/>
      </w:rPr>
      <w:t>6</w:t>
    </w:r>
    <w:r w:rsidRPr="00AA61FB">
      <w:rPr>
        <w:rFonts w:ascii="Times New Roman" w:hAnsi="Times New Roman"/>
        <w:noProof/>
      </w:rPr>
      <w:fldChar w:fldCharType="end"/>
    </w:r>
  </w:p>
  <w:p w:rsidR="0065509A" w:rsidRDefault="00655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9A" w:rsidRPr="00AA61FB" w:rsidRDefault="0065509A" w:rsidP="00AA61F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sz w:val="20"/>
        <w:szCs w:val="20"/>
        <w:lang w:val="bg-BG"/>
      </w:rPr>
    </w:pPr>
    <w:r w:rsidRPr="00AA61FB">
      <w:rPr>
        <w:rFonts w:ascii="Times New Roman" w:eastAsia="Times New Roman" w:hAnsi="Times New Roman"/>
        <w:sz w:val="20"/>
        <w:szCs w:val="20"/>
        <w:lang w:val="bg-BG"/>
      </w:rPr>
      <w:t>3400 Монтана, ул.Ген.Столетов № 1, ет.1,</w:t>
    </w:r>
    <w:r w:rsidRPr="00AA61FB">
      <w:rPr>
        <w:rFonts w:ascii="Times New Roman" w:eastAsia="Times New Roman" w:hAnsi="Times New Roman"/>
        <w:sz w:val="20"/>
        <w:szCs w:val="20"/>
        <w:lang w:val="ru-RU"/>
      </w:rPr>
      <w:t xml:space="preserve"> </w:t>
    </w:r>
    <w:r w:rsidRPr="00AA61FB">
      <w:rPr>
        <w:rFonts w:ascii="Times New Roman" w:eastAsia="Times New Roman" w:hAnsi="Times New Roman"/>
        <w:sz w:val="20"/>
        <w:szCs w:val="20"/>
        <w:lang w:val="bg-BG"/>
      </w:rPr>
      <w:t>тел. факс: 096/ 300728</w:t>
    </w:r>
    <w:r w:rsidRPr="00AA61FB">
      <w:rPr>
        <w:rFonts w:ascii="Times New Roman" w:eastAsia="Times New Roman" w:hAnsi="Times New Roman"/>
        <w:sz w:val="20"/>
        <w:szCs w:val="20"/>
        <w:lang w:val="ru-RU"/>
      </w:rPr>
      <w:t xml:space="preserve">, </w:t>
    </w:r>
    <w:r w:rsidRPr="00AA61FB">
      <w:rPr>
        <w:rFonts w:ascii="Times New Roman" w:eastAsia="Times New Roman" w:hAnsi="Times New Roman"/>
        <w:sz w:val="20"/>
        <w:szCs w:val="20"/>
        <w:lang w:val="bg-BG"/>
      </w:rPr>
      <w:t>300718, 300738, 300031</w:t>
    </w:r>
  </w:p>
  <w:p w:rsidR="0065509A" w:rsidRDefault="0065509A" w:rsidP="00AA61F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/>
        <w:sz w:val="20"/>
        <w:szCs w:val="20"/>
        <w:u w:val="single"/>
      </w:rPr>
    </w:pPr>
    <w:proofErr w:type="gramStart"/>
    <w:r w:rsidRPr="00AA61FB">
      <w:rPr>
        <w:rFonts w:ascii="Times New Roman" w:eastAsia="Times New Roman" w:hAnsi="Times New Roman"/>
        <w:sz w:val="20"/>
        <w:szCs w:val="20"/>
      </w:rPr>
      <w:t>web</w:t>
    </w:r>
    <w:proofErr w:type="gramEnd"/>
    <w:r w:rsidRPr="00AA61FB">
      <w:rPr>
        <w:rFonts w:ascii="Times New Roman" w:eastAsia="Times New Roman" w:hAnsi="Times New Roman"/>
        <w:sz w:val="20"/>
        <w:szCs w:val="20"/>
      </w:rPr>
      <w:t xml:space="preserve"> site: </w:t>
    </w:r>
    <w:hyperlink r:id="rId1" w:history="1"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</w:rPr>
        <w:t>http://www.mzh.government.bg/ODZ-Montana/bg/Home.aspx</w:t>
      </w:r>
    </w:hyperlink>
    <w:r w:rsidRPr="00AA61FB">
      <w:rPr>
        <w:rFonts w:ascii="Times New Roman" w:eastAsia="Times New Roman" w:hAnsi="Times New Roman"/>
        <w:sz w:val="20"/>
        <w:szCs w:val="20"/>
      </w:rPr>
      <w:t xml:space="preserve"> , e</w:t>
    </w:r>
    <w:r w:rsidRPr="00AA61FB">
      <w:rPr>
        <w:rFonts w:ascii="Times New Roman" w:eastAsia="Times New Roman" w:hAnsi="Times New Roman"/>
        <w:sz w:val="20"/>
        <w:szCs w:val="20"/>
        <w:lang w:val="ru-RU"/>
      </w:rPr>
      <w:t>-</w:t>
    </w:r>
    <w:r w:rsidRPr="00AA61FB">
      <w:rPr>
        <w:rFonts w:ascii="Times New Roman" w:eastAsia="Times New Roman" w:hAnsi="Times New Roman"/>
        <w:sz w:val="20"/>
        <w:szCs w:val="20"/>
      </w:rPr>
      <w:t>mail</w:t>
    </w:r>
    <w:r w:rsidRPr="00AA61FB">
      <w:rPr>
        <w:rFonts w:ascii="Times New Roman" w:eastAsia="Times New Roman" w:hAnsi="Times New Roman"/>
        <w:sz w:val="20"/>
        <w:szCs w:val="20"/>
        <w:lang w:val="ru-RU"/>
      </w:rPr>
      <w:t xml:space="preserve">: </w:t>
    </w:r>
    <w:hyperlink r:id="rId2" w:history="1"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</w:rPr>
        <w:t>odzg</w:t>
      </w:r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  <w:lang w:val="ru-RU"/>
        </w:rPr>
        <w:t>@</w:t>
      </w:r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</w:rPr>
        <w:t>net</w:t>
      </w:r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  <w:lang w:val="ru-RU"/>
        </w:rPr>
        <w:t>-</w:t>
      </w:r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</w:rPr>
        <w:t>surf</w:t>
      </w:r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  <w:lang w:val="ru-RU"/>
        </w:rPr>
        <w:t>.</w:t>
      </w:r>
      <w:r w:rsidRPr="00AA61FB">
        <w:rPr>
          <w:rFonts w:ascii="Times New Roman" w:eastAsia="Times New Roman" w:hAnsi="Times New Roman"/>
          <w:color w:val="0000FF"/>
          <w:sz w:val="20"/>
          <w:szCs w:val="20"/>
          <w:u w:val="single"/>
        </w:rPr>
        <w:t>net</w:t>
      </w:r>
    </w:hyperlink>
  </w:p>
  <w:p w:rsidR="0065509A" w:rsidRPr="00AA61FB" w:rsidRDefault="0065509A" w:rsidP="00AA61FB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Times New Roman" w:hAnsi="Verdana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0C" w:rsidRDefault="0044560C" w:rsidP="00DA0C57">
      <w:pPr>
        <w:spacing w:after="0" w:line="240" w:lineRule="auto"/>
      </w:pPr>
      <w:r>
        <w:separator/>
      </w:r>
    </w:p>
  </w:footnote>
  <w:footnote w:type="continuationSeparator" w:id="0">
    <w:p w:rsidR="0044560C" w:rsidRDefault="0044560C" w:rsidP="00DA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9A" w:rsidRPr="00085895" w:rsidRDefault="00B86CD4" w:rsidP="00023197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509A" w:rsidRPr="00085895" w:rsidRDefault="0037056E" w:rsidP="00DE6760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F11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zhyLQR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65509A" w:rsidRPr="00085895">
      <w:rPr>
        <w:rFonts w:ascii="Times New Roman" w:hAnsi="Times New Roman"/>
        <w:spacing w:val="40"/>
        <w:szCs w:val="24"/>
      </w:rPr>
      <w:t>РЕПУБЛИКА БЪЛГАРИЯ</w:t>
    </w:r>
  </w:p>
  <w:p w:rsidR="0065509A" w:rsidRPr="00085895" w:rsidRDefault="0065509A" w:rsidP="0002319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085895">
      <w:rPr>
        <w:rFonts w:ascii="Times New Roman" w:hAnsi="Times New Roman"/>
        <w:b w:val="0"/>
        <w:spacing w:val="40"/>
        <w:szCs w:val="24"/>
      </w:rPr>
      <w:t>Министерство на земеделието</w:t>
    </w:r>
    <w:r>
      <w:rPr>
        <w:rFonts w:ascii="Times New Roman" w:hAnsi="Times New Roman"/>
        <w:b w:val="0"/>
        <w:spacing w:val="40"/>
        <w:szCs w:val="24"/>
      </w:rPr>
      <w:t xml:space="preserve"> и храните</w:t>
    </w:r>
  </w:p>
  <w:p w:rsidR="0065509A" w:rsidRPr="00023197" w:rsidRDefault="0065509A" w:rsidP="00DE6760">
    <w:pPr>
      <w:rPr>
        <w:rFonts w:ascii="Times New Roman" w:hAnsi="Times New Roman"/>
        <w:spacing w:val="40"/>
        <w:sz w:val="24"/>
        <w:szCs w:val="24"/>
      </w:rPr>
    </w:pPr>
    <w:r w:rsidRPr="00085895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Pr="00085895">
      <w:rPr>
        <w:rFonts w:ascii="Times New Roman" w:hAnsi="Times New Roman"/>
        <w:spacing w:val="40"/>
        <w:sz w:val="24"/>
        <w:szCs w:val="24"/>
      </w:rPr>
      <w:t>“</w:t>
    </w:r>
    <w:r w:rsidRPr="00085895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Pr="00085895">
      <w:rPr>
        <w:rFonts w:ascii="Times New Roman" w:hAnsi="Times New Roman"/>
        <w:spacing w:val="40"/>
        <w:sz w:val="24"/>
        <w:szCs w:val="24"/>
      </w:rPr>
      <w:t>”</w:t>
    </w:r>
    <w:r w:rsidRPr="00085895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55D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02AD"/>
    <w:multiLevelType w:val="hybridMultilevel"/>
    <w:tmpl w:val="B3B6C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0E3AC2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44996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668A"/>
    <w:multiLevelType w:val="hybridMultilevel"/>
    <w:tmpl w:val="60540DE6"/>
    <w:lvl w:ilvl="0" w:tplc="4246D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6505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E2AC4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6F42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E3955"/>
    <w:multiLevelType w:val="hybridMultilevel"/>
    <w:tmpl w:val="855ED64A"/>
    <w:lvl w:ilvl="0" w:tplc="DE8E9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1186D"/>
    <w:multiLevelType w:val="hybridMultilevel"/>
    <w:tmpl w:val="1B12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71A57"/>
    <w:multiLevelType w:val="hybridMultilevel"/>
    <w:tmpl w:val="49A6C310"/>
    <w:lvl w:ilvl="0" w:tplc="4246D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A15D5"/>
    <w:multiLevelType w:val="hybridMultilevel"/>
    <w:tmpl w:val="4BB8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527A"/>
    <w:multiLevelType w:val="hybridMultilevel"/>
    <w:tmpl w:val="4E7083CE"/>
    <w:lvl w:ilvl="0" w:tplc="DE8E9B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6761088"/>
    <w:multiLevelType w:val="hybridMultilevel"/>
    <w:tmpl w:val="B0DA269C"/>
    <w:lvl w:ilvl="0" w:tplc="F94C8E46">
      <w:start w:val="2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C6E37"/>
    <w:multiLevelType w:val="hybridMultilevel"/>
    <w:tmpl w:val="24B8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0655A"/>
    <w:multiLevelType w:val="hybridMultilevel"/>
    <w:tmpl w:val="0748B9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6"/>
  </w:num>
  <w:num w:numId="13">
    <w:abstractNumId w:val="5"/>
  </w:num>
  <w:num w:numId="14">
    <w:abstractNumId w:val="7"/>
  </w:num>
  <w:num w:numId="15">
    <w:abstractNumId w:val="8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F5"/>
    <w:rsid w:val="00005C3C"/>
    <w:rsid w:val="00023197"/>
    <w:rsid w:val="00026134"/>
    <w:rsid w:val="00031B13"/>
    <w:rsid w:val="00044AEB"/>
    <w:rsid w:val="00061825"/>
    <w:rsid w:val="000641B0"/>
    <w:rsid w:val="00076406"/>
    <w:rsid w:val="000916ED"/>
    <w:rsid w:val="000A1A7B"/>
    <w:rsid w:val="000A30C8"/>
    <w:rsid w:val="000A43A9"/>
    <w:rsid w:val="000C5726"/>
    <w:rsid w:val="000E28D4"/>
    <w:rsid w:val="000F6A87"/>
    <w:rsid w:val="001018FA"/>
    <w:rsid w:val="00107E71"/>
    <w:rsid w:val="00117860"/>
    <w:rsid w:val="00127BD6"/>
    <w:rsid w:val="00133A4E"/>
    <w:rsid w:val="00136F79"/>
    <w:rsid w:val="00142978"/>
    <w:rsid w:val="0014711B"/>
    <w:rsid w:val="00153C98"/>
    <w:rsid w:val="00167553"/>
    <w:rsid w:val="001850BE"/>
    <w:rsid w:val="001E072A"/>
    <w:rsid w:val="001F2DA7"/>
    <w:rsid w:val="001F3FCF"/>
    <w:rsid w:val="001F5002"/>
    <w:rsid w:val="00204BE6"/>
    <w:rsid w:val="00212D9B"/>
    <w:rsid w:val="00216C24"/>
    <w:rsid w:val="00221288"/>
    <w:rsid w:val="00222E6E"/>
    <w:rsid w:val="0022554E"/>
    <w:rsid w:val="002350CB"/>
    <w:rsid w:val="00247963"/>
    <w:rsid w:val="002609FA"/>
    <w:rsid w:val="00270830"/>
    <w:rsid w:val="0028087C"/>
    <w:rsid w:val="002917E7"/>
    <w:rsid w:val="002936F5"/>
    <w:rsid w:val="002A033C"/>
    <w:rsid w:val="002B1575"/>
    <w:rsid w:val="002C149C"/>
    <w:rsid w:val="002D28E7"/>
    <w:rsid w:val="002D37EB"/>
    <w:rsid w:val="002F43F0"/>
    <w:rsid w:val="00336FAE"/>
    <w:rsid w:val="00340529"/>
    <w:rsid w:val="00344A68"/>
    <w:rsid w:val="0034715F"/>
    <w:rsid w:val="00357A7C"/>
    <w:rsid w:val="0036670E"/>
    <w:rsid w:val="0037056E"/>
    <w:rsid w:val="00372BFD"/>
    <w:rsid w:val="00384258"/>
    <w:rsid w:val="00393187"/>
    <w:rsid w:val="003940B2"/>
    <w:rsid w:val="003A1941"/>
    <w:rsid w:val="003A40F4"/>
    <w:rsid w:val="003A53F0"/>
    <w:rsid w:val="003B1070"/>
    <w:rsid w:val="003C1BFD"/>
    <w:rsid w:val="003D221A"/>
    <w:rsid w:val="003E306A"/>
    <w:rsid w:val="003F3E1B"/>
    <w:rsid w:val="00414670"/>
    <w:rsid w:val="00414D4B"/>
    <w:rsid w:val="00435C5A"/>
    <w:rsid w:val="0043624E"/>
    <w:rsid w:val="004446D4"/>
    <w:rsid w:val="0044560C"/>
    <w:rsid w:val="00472859"/>
    <w:rsid w:val="00477E7D"/>
    <w:rsid w:val="004856C0"/>
    <w:rsid w:val="004A10E1"/>
    <w:rsid w:val="004C3D60"/>
    <w:rsid w:val="004C4237"/>
    <w:rsid w:val="004C6957"/>
    <w:rsid w:val="004E3D87"/>
    <w:rsid w:val="004E5900"/>
    <w:rsid w:val="004F06D3"/>
    <w:rsid w:val="005150E4"/>
    <w:rsid w:val="0051548C"/>
    <w:rsid w:val="00532C24"/>
    <w:rsid w:val="005356B6"/>
    <w:rsid w:val="0054536B"/>
    <w:rsid w:val="00554089"/>
    <w:rsid w:val="00565A21"/>
    <w:rsid w:val="00565AEE"/>
    <w:rsid w:val="00571356"/>
    <w:rsid w:val="00576B82"/>
    <w:rsid w:val="005817AA"/>
    <w:rsid w:val="00590E1F"/>
    <w:rsid w:val="0059335E"/>
    <w:rsid w:val="005A4C99"/>
    <w:rsid w:val="005A548D"/>
    <w:rsid w:val="005B5984"/>
    <w:rsid w:val="005E0666"/>
    <w:rsid w:val="005F1ED0"/>
    <w:rsid w:val="005F2150"/>
    <w:rsid w:val="00600669"/>
    <w:rsid w:val="00606BFC"/>
    <w:rsid w:val="006077D5"/>
    <w:rsid w:val="00631D7B"/>
    <w:rsid w:val="0063224F"/>
    <w:rsid w:val="006334BA"/>
    <w:rsid w:val="00647416"/>
    <w:rsid w:val="006545B1"/>
    <w:rsid w:val="0065509A"/>
    <w:rsid w:val="00660119"/>
    <w:rsid w:val="00663B3D"/>
    <w:rsid w:val="0067155F"/>
    <w:rsid w:val="00674507"/>
    <w:rsid w:val="00676B57"/>
    <w:rsid w:val="00681A78"/>
    <w:rsid w:val="00683D0E"/>
    <w:rsid w:val="00684BDA"/>
    <w:rsid w:val="006A1A12"/>
    <w:rsid w:val="006A42D1"/>
    <w:rsid w:val="006A4E73"/>
    <w:rsid w:val="006A723D"/>
    <w:rsid w:val="006B36A0"/>
    <w:rsid w:val="006F3D39"/>
    <w:rsid w:val="007034AB"/>
    <w:rsid w:val="007203DF"/>
    <w:rsid w:val="00725703"/>
    <w:rsid w:val="007277A2"/>
    <w:rsid w:val="00731BA6"/>
    <w:rsid w:val="00733CA8"/>
    <w:rsid w:val="00750803"/>
    <w:rsid w:val="00755C9B"/>
    <w:rsid w:val="00757B89"/>
    <w:rsid w:val="0077031A"/>
    <w:rsid w:val="00777D10"/>
    <w:rsid w:val="00796A4D"/>
    <w:rsid w:val="007A0CF9"/>
    <w:rsid w:val="007A771E"/>
    <w:rsid w:val="007C50B1"/>
    <w:rsid w:val="007C7C3E"/>
    <w:rsid w:val="007D30B6"/>
    <w:rsid w:val="007E3C2F"/>
    <w:rsid w:val="007F4E89"/>
    <w:rsid w:val="008015D9"/>
    <w:rsid w:val="00802DA1"/>
    <w:rsid w:val="008036C7"/>
    <w:rsid w:val="00826472"/>
    <w:rsid w:val="00827143"/>
    <w:rsid w:val="00841A5C"/>
    <w:rsid w:val="00844022"/>
    <w:rsid w:val="00851869"/>
    <w:rsid w:val="00870035"/>
    <w:rsid w:val="00876983"/>
    <w:rsid w:val="00887413"/>
    <w:rsid w:val="008930DB"/>
    <w:rsid w:val="008A61E2"/>
    <w:rsid w:val="008B138B"/>
    <w:rsid w:val="008C582C"/>
    <w:rsid w:val="008C63A1"/>
    <w:rsid w:val="008E6ABA"/>
    <w:rsid w:val="009032C0"/>
    <w:rsid w:val="00906D86"/>
    <w:rsid w:val="009145D9"/>
    <w:rsid w:val="0092501C"/>
    <w:rsid w:val="00941FD0"/>
    <w:rsid w:val="009519BA"/>
    <w:rsid w:val="009542C0"/>
    <w:rsid w:val="0096180F"/>
    <w:rsid w:val="00965E81"/>
    <w:rsid w:val="009720EE"/>
    <w:rsid w:val="009779CF"/>
    <w:rsid w:val="00983544"/>
    <w:rsid w:val="00983A28"/>
    <w:rsid w:val="00987D45"/>
    <w:rsid w:val="00991181"/>
    <w:rsid w:val="00995018"/>
    <w:rsid w:val="009A124A"/>
    <w:rsid w:val="009B12C4"/>
    <w:rsid w:val="009B7F48"/>
    <w:rsid w:val="009F6439"/>
    <w:rsid w:val="00A22246"/>
    <w:rsid w:val="00A304AE"/>
    <w:rsid w:val="00A35ADE"/>
    <w:rsid w:val="00A46B78"/>
    <w:rsid w:val="00A46E33"/>
    <w:rsid w:val="00A53221"/>
    <w:rsid w:val="00A6178E"/>
    <w:rsid w:val="00A618D6"/>
    <w:rsid w:val="00A70094"/>
    <w:rsid w:val="00A8319E"/>
    <w:rsid w:val="00A92AA6"/>
    <w:rsid w:val="00AA61FB"/>
    <w:rsid w:val="00AB7D31"/>
    <w:rsid w:val="00AD4EF5"/>
    <w:rsid w:val="00AE303F"/>
    <w:rsid w:val="00AE7F5D"/>
    <w:rsid w:val="00AF1E84"/>
    <w:rsid w:val="00AF2770"/>
    <w:rsid w:val="00AF4088"/>
    <w:rsid w:val="00B02AE3"/>
    <w:rsid w:val="00B303E6"/>
    <w:rsid w:val="00B361AB"/>
    <w:rsid w:val="00B3721D"/>
    <w:rsid w:val="00B52283"/>
    <w:rsid w:val="00B672C9"/>
    <w:rsid w:val="00B8186F"/>
    <w:rsid w:val="00B86CD4"/>
    <w:rsid w:val="00B96919"/>
    <w:rsid w:val="00B96EF5"/>
    <w:rsid w:val="00BA0B3C"/>
    <w:rsid w:val="00BB18F5"/>
    <w:rsid w:val="00BC08A9"/>
    <w:rsid w:val="00BC160A"/>
    <w:rsid w:val="00BD2439"/>
    <w:rsid w:val="00BD4245"/>
    <w:rsid w:val="00BF25B7"/>
    <w:rsid w:val="00BF5750"/>
    <w:rsid w:val="00C06591"/>
    <w:rsid w:val="00C26D51"/>
    <w:rsid w:val="00C47EF0"/>
    <w:rsid w:val="00C5114B"/>
    <w:rsid w:val="00C60B30"/>
    <w:rsid w:val="00C66746"/>
    <w:rsid w:val="00C7192C"/>
    <w:rsid w:val="00C73A0B"/>
    <w:rsid w:val="00C821A6"/>
    <w:rsid w:val="00C92576"/>
    <w:rsid w:val="00CA7010"/>
    <w:rsid w:val="00CB0CBB"/>
    <w:rsid w:val="00CF77C4"/>
    <w:rsid w:val="00D00EA8"/>
    <w:rsid w:val="00D217FD"/>
    <w:rsid w:val="00D2729B"/>
    <w:rsid w:val="00D3728E"/>
    <w:rsid w:val="00D40A10"/>
    <w:rsid w:val="00D454D6"/>
    <w:rsid w:val="00D548F3"/>
    <w:rsid w:val="00D56497"/>
    <w:rsid w:val="00D61B97"/>
    <w:rsid w:val="00D62466"/>
    <w:rsid w:val="00D62A38"/>
    <w:rsid w:val="00D7298C"/>
    <w:rsid w:val="00D85EDF"/>
    <w:rsid w:val="00D90321"/>
    <w:rsid w:val="00DA0C57"/>
    <w:rsid w:val="00DD58AD"/>
    <w:rsid w:val="00DE6760"/>
    <w:rsid w:val="00E317BD"/>
    <w:rsid w:val="00E362DA"/>
    <w:rsid w:val="00E53F87"/>
    <w:rsid w:val="00E56824"/>
    <w:rsid w:val="00E57DCF"/>
    <w:rsid w:val="00E60819"/>
    <w:rsid w:val="00E81AD7"/>
    <w:rsid w:val="00E83C15"/>
    <w:rsid w:val="00E84940"/>
    <w:rsid w:val="00EA260E"/>
    <w:rsid w:val="00EC488C"/>
    <w:rsid w:val="00EC75E1"/>
    <w:rsid w:val="00ED1A93"/>
    <w:rsid w:val="00ED4AF2"/>
    <w:rsid w:val="00ED56BA"/>
    <w:rsid w:val="00EE5AB5"/>
    <w:rsid w:val="00EE66AB"/>
    <w:rsid w:val="00F07CB2"/>
    <w:rsid w:val="00F17E7B"/>
    <w:rsid w:val="00F21B1C"/>
    <w:rsid w:val="00F2200A"/>
    <w:rsid w:val="00F441C4"/>
    <w:rsid w:val="00F448DC"/>
    <w:rsid w:val="00F61415"/>
    <w:rsid w:val="00F70AF5"/>
    <w:rsid w:val="00F7570C"/>
    <w:rsid w:val="00F82AE6"/>
    <w:rsid w:val="00F83CD0"/>
    <w:rsid w:val="00F9383E"/>
    <w:rsid w:val="00F95281"/>
    <w:rsid w:val="00F96C82"/>
    <w:rsid w:val="00F973D1"/>
    <w:rsid w:val="00FC31CF"/>
    <w:rsid w:val="00FC5DA2"/>
    <w:rsid w:val="00FD233F"/>
    <w:rsid w:val="00FD6FE2"/>
    <w:rsid w:val="00FE351F"/>
    <w:rsid w:val="00FE5C23"/>
    <w:rsid w:val="00FF4213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26FE4"/>
  <w15:docId w15:val="{B53253AD-6E8B-4740-8C4B-74214AC6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A0C57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DA0C57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/>
      <w:sz w:val="20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C5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A0C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0C5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A0C57"/>
    <w:rPr>
      <w:sz w:val="22"/>
      <w:szCs w:val="22"/>
    </w:rPr>
  </w:style>
  <w:style w:type="character" w:customStyle="1" w:styleId="Heading1Char">
    <w:name w:val="Heading 1 Char"/>
    <w:link w:val="Heading1"/>
    <w:rsid w:val="00DA0C57"/>
    <w:rPr>
      <w:rFonts w:ascii="Bookman Old Style" w:eastAsia="Times New Roman" w:hAnsi="Bookman Old Style"/>
      <w:b/>
      <w:spacing w:val="30"/>
      <w:sz w:val="24"/>
      <w:lang w:val="bg-BG"/>
    </w:rPr>
  </w:style>
  <w:style w:type="character" w:customStyle="1" w:styleId="Heading2Char">
    <w:name w:val="Heading 2 Char"/>
    <w:link w:val="Heading2"/>
    <w:rsid w:val="00DA0C57"/>
    <w:rPr>
      <w:rFonts w:ascii="Times New Roman" w:eastAsia="Times New Roman" w:hAnsi="Times New Roman"/>
      <w:u w:val="single"/>
      <w:lang w:val="bg-BG"/>
    </w:rPr>
  </w:style>
  <w:style w:type="character" w:styleId="Emphasis">
    <w:name w:val="Emphasis"/>
    <w:qFormat/>
    <w:rsid w:val="00DA0C57"/>
    <w:rPr>
      <w:rFonts w:cs="Times New Roman"/>
      <w:i/>
      <w:iCs/>
    </w:rPr>
  </w:style>
  <w:style w:type="paragraph" w:customStyle="1" w:styleId="a">
    <w:name w:val="Знак"/>
    <w:basedOn w:val="Normal"/>
    <w:rsid w:val="00DA0C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4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2AA4-7E96-4AD8-90B6-1EDFCF26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ODZ-MON-04</cp:lastModifiedBy>
  <cp:revision>10</cp:revision>
  <cp:lastPrinted>2022-06-21T14:10:00Z</cp:lastPrinted>
  <dcterms:created xsi:type="dcterms:W3CDTF">2023-06-29T13:41:00Z</dcterms:created>
  <dcterms:modified xsi:type="dcterms:W3CDTF">2023-06-29T13:50:00Z</dcterms:modified>
</cp:coreProperties>
</file>