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A" w:rsidRPr="003E76B4" w:rsidRDefault="00CA0F6A" w:rsidP="00CA0F6A">
      <w:pPr>
        <w:tabs>
          <w:tab w:val="center" w:pos="4153"/>
          <w:tab w:val="right" w:pos="830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i/>
          <w:sz w:val="24"/>
          <w:szCs w:val="24"/>
          <w:lang w:val="ru-RU" w:eastAsia="bg-BG"/>
        </w:rPr>
      </w:pPr>
      <w:r w:rsidRPr="007F4240">
        <w:rPr>
          <w:rFonts w:ascii="Times New Roman" w:hAnsi="Times New Roman"/>
          <w:b/>
          <w:i/>
          <w:sz w:val="24"/>
          <w:szCs w:val="24"/>
          <w:lang w:val="bg-BG" w:eastAsia="bg-BG"/>
        </w:rPr>
        <w:t>Приложение № 10</w:t>
      </w:r>
    </w:p>
    <w:p w:rsidR="00CA0F6A" w:rsidRPr="007F4240" w:rsidRDefault="00CA0F6A" w:rsidP="00CA0F6A">
      <w:pPr>
        <w:tabs>
          <w:tab w:val="center" w:pos="4153"/>
          <w:tab w:val="right" w:pos="830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</w:p>
    <w:p w:rsidR="00CA0F6A" w:rsidRPr="007F4240" w:rsidRDefault="00CA0F6A" w:rsidP="00CA0F6A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ru-RU" w:eastAsia="bg-BG"/>
        </w:rPr>
        <w:t>ТЕХНИЧЕСКО ПРЕДЛОЖЕНИЕ ЗА ИЗПЪЛНЕНИЕ НА ПОРЪЧКАТА</w:t>
      </w:r>
    </w:p>
    <w:p w:rsidR="00CA0F6A" w:rsidRPr="007F4240" w:rsidRDefault="00CA0F6A" w:rsidP="00CA0F6A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7F4240">
        <w:rPr>
          <w:rFonts w:ascii="Times New Roman" w:hAnsi="Times New Roman"/>
          <w:sz w:val="24"/>
          <w:szCs w:val="24"/>
          <w:lang w:val="ru-RU" w:eastAsia="bg-BG"/>
        </w:rPr>
        <w:t>за участие в  процедура с предмет:</w:t>
      </w:r>
    </w:p>
    <w:p w:rsidR="000F4750" w:rsidRPr="00FC3B3E" w:rsidRDefault="00CA0F6A" w:rsidP="000F475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F4750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чрез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закупуване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гориво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моторни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превозни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собственост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Областна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дирекция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“ -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Кюстендил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Общинските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служби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територията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4750" w:rsidRPr="000F4750">
        <w:rPr>
          <w:rFonts w:ascii="Times New Roman" w:hAnsi="Times New Roman"/>
          <w:b/>
          <w:sz w:val="24"/>
          <w:szCs w:val="24"/>
        </w:rPr>
        <w:t>Кюстендил</w:t>
      </w:r>
      <w:proofErr w:type="spellEnd"/>
      <w:r w:rsidR="000F4750" w:rsidRPr="000F4750">
        <w:rPr>
          <w:rFonts w:ascii="Times New Roman" w:hAnsi="Times New Roman"/>
          <w:b/>
          <w:sz w:val="24"/>
          <w:szCs w:val="24"/>
        </w:rPr>
        <w:t>.</w:t>
      </w:r>
      <w:r w:rsidR="00FC3B3E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0F4750" w:rsidRPr="000F4750" w:rsidRDefault="000F4750" w:rsidP="000F47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0F6A" w:rsidRPr="007F4240" w:rsidRDefault="00CA0F6A" w:rsidP="00CA0F6A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A0F6A" w:rsidRPr="007F4240" w:rsidRDefault="00CA0F6A" w:rsidP="00CA0F6A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7F4240">
        <w:rPr>
          <w:rFonts w:ascii="Times New Roman" w:hAnsi="Times New Roman"/>
          <w:sz w:val="16"/>
          <w:szCs w:val="16"/>
          <w:lang w:val="ru-RU" w:eastAsia="bg-BG"/>
        </w:rPr>
        <w:t>/изписва се името на участника/</w:t>
      </w:r>
    </w:p>
    <w:p w:rsidR="00CA0F6A" w:rsidRPr="007F4240" w:rsidRDefault="00CA0F6A" w:rsidP="00CA0F6A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7F4240">
        <w:rPr>
          <w:rFonts w:ascii="Times New Roman" w:hAnsi="Times New Roman"/>
          <w:sz w:val="16"/>
          <w:szCs w:val="16"/>
          <w:lang w:val="ru-RU" w:eastAsia="bg-BG"/>
        </w:rPr>
        <w:t>/номер по Търговския регистър, ЕИК/</w:t>
      </w:r>
    </w:p>
    <w:p w:rsidR="00CA0F6A" w:rsidRPr="007F4240" w:rsidRDefault="00CA0F6A" w:rsidP="00CA0F6A">
      <w:pPr>
        <w:pBdr>
          <w:bottom w:val="dotted" w:sz="4" w:space="1" w:color="auto"/>
        </w:pBdr>
        <w:overflowPunct/>
        <w:autoSpaceDE/>
        <w:autoSpaceDN/>
        <w:adjustRightInd/>
        <w:spacing w:before="1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CA0F6A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  <w:r w:rsidRPr="007F4240">
        <w:rPr>
          <w:rFonts w:ascii="Times New Roman" w:hAnsi="Times New Roman"/>
          <w:sz w:val="16"/>
          <w:szCs w:val="16"/>
          <w:lang w:val="ru-RU" w:eastAsia="bg-BG"/>
        </w:rPr>
        <w:t>/адрес по регистрация/</w:t>
      </w:r>
    </w:p>
    <w:p w:rsidR="00CA0F6A" w:rsidRDefault="00CA0F6A" w:rsidP="00CA0F6A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CA0F6A" w:rsidRDefault="00CA0F6A" w:rsidP="00CA0F6A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CA0F6A" w:rsidRPr="00124253" w:rsidRDefault="00CA0F6A" w:rsidP="00CA0F6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24253">
        <w:rPr>
          <w:rFonts w:ascii="Times New Roman" w:hAnsi="Times New Roman"/>
          <w:b/>
          <w:sz w:val="24"/>
          <w:szCs w:val="24"/>
        </w:rPr>
        <w:t xml:space="preserve">УВАЖАЕМИ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24253">
        <w:rPr>
          <w:rFonts w:ascii="Times New Roman" w:hAnsi="Times New Roman"/>
          <w:b/>
          <w:sz w:val="24"/>
          <w:szCs w:val="24"/>
        </w:rPr>
        <w:t>ГОСПОДИН</w:t>
      </w:r>
      <w:proofErr w:type="gramEnd"/>
      <w:r w:rsidRPr="001242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24253">
        <w:rPr>
          <w:rFonts w:ascii="Times New Roman" w:hAnsi="Times New Roman"/>
          <w:b/>
          <w:sz w:val="24"/>
          <w:szCs w:val="24"/>
        </w:rPr>
        <w:t>ДИРЕКТОР,</w:t>
      </w:r>
    </w:p>
    <w:p w:rsidR="00CA0F6A" w:rsidRPr="00124253" w:rsidRDefault="00CA0F6A" w:rsidP="00CA0F6A">
      <w:pPr>
        <w:tabs>
          <w:tab w:val="left" w:pos="851"/>
          <w:tab w:val="left" w:pos="2835"/>
          <w:tab w:val="left" w:pos="3969"/>
          <w:tab w:val="left" w:pos="5387"/>
          <w:tab w:val="left" w:pos="5954"/>
          <w:tab w:val="left" w:pos="6379"/>
          <w:tab w:val="left" w:pos="6946"/>
          <w:tab w:val="left" w:pos="8640"/>
          <w:tab w:val="left" w:pos="8789"/>
        </w:tabs>
        <w:jc w:val="both"/>
        <w:rPr>
          <w:rFonts w:ascii="Times New Roman" w:hAnsi="Times New Roman"/>
          <w:sz w:val="24"/>
          <w:szCs w:val="24"/>
        </w:rPr>
      </w:pPr>
      <w:r w:rsidRPr="00124253">
        <w:rPr>
          <w:rFonts w:ascii="Times New Roman" w:hAnsi="Times New Roman"/>
          <w:sz w:val="24"/>
          <w:szCs w:val="24"/>
        </w:rPr>
        <w:tab/>
      </w:r>
    </w:p>
    <w:p w:rsidR="00CA0F6A" w:rsidRPr="005C1453" w:rsidRDefault="00CA0F6A" w:rsidP="00CA0F6A">
      <w:pPr>
        <w:tabs>
          <w:tab w:val="left" w:pos="851"/>
          <w:tab w:val="left" w:pos="2835"/>
          <w:tab w:val="left" w:pos="3969"/>
          <w:tab w:val="left" w:pos="5387"/>
          <w:tab w:val="left" w:pos="5954"/>
          <w:tab w:val="left" w:pos="6379"/>
          <w:tab w:val="left" w:pos="6946"/>
          <w:tab w:val="left" w:pos="8640"/>
          <w:tab w:val="left" w:pos="8789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124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Pr="00124253">
        <w:rPr>
          <w:rFonts w:ascii="Times New Roman" w:hAnsi="Times New Roman"/>
          <w:sz w:val="24"/>
          <w:szCs w:val="24"/>
        </w:rPr>
        <w:t>ъв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връзка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24253">
        <w:rPr>
          <w:rFonts w:ascii="Times New Roman" w:hAnsi="Times New Roman"/>
          <w:sz w:val="24"/>
          <w:szCs w:val="24"/>
        </w:rPr>
        <w:t>Ваша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публична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покана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r w:rsidR="00851227" w:rsidRPr="00851227">
        <w:rPr>
          <w:rFonts w:ascii="Times New Roman" w:hAnsi="Times New Roman"/>
          <w:sz w:val="24"/>
          <w:szCs w:val="24"/>
        </w:rPr>
        <w:t>№ …………………</w:t>
      </w:r>
      <w:r w:rsidR="00851227">
        <w:rPr>
          <w:rFonts w:ascii="Times New Roman" w:hAnsi="Times New Roman"/>
          <w:sz w:val="24"/>
          <w:szCs w:val="24"/>
          <w:lang w:val="bg-BG"/>
        </w:rPr>
        <w:t>……………</w:t>
      </w:r>
      <w:r w:rsidR="00851227" w:rsidRPr="00851227">
        <w:rPr>
          <w:rFonts w:ascii="Times New Roman" w:hAnsi="Times New Roman"/>
          <w:sz w:val="24"/>
          <w:szCs w:val="24"/>
        </w:rPr>
        <w:t>..</w:t>
      </w:r>
      <w:r w:rsidRPr="008512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24253">
        <w:rPr>
          <w:rFonts w:ascii="Times New Roman" w:hAnsi="Times New Roman"/>
          <w:sz w:val="24"/>
          <w:szCs w:val="24"/>
        </w:rPr>
        <w:t>Ви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представяме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нашата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оферта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за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участие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4253">
        <w:rPr>
          <w:rFonts w:ascii="Times New Roman" w:hAnsi="Times New Roman"/>
          <w:sz w:val="24"/>
          <w:szCs w:val="24"/>
        </w:rPr>
        <w:t>предлагаме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да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4253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24253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задание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от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поканата</w:t>
      </w:r>
      <w:proofErr w:type="spellEnd"/>
      <w:r w:rsidRPr="00124253">
        <w:rPr>
          <w:rFonts w:ascii="Times New Roman" w:hAnsi="Times New Roman"/>
          <w:sz w:val="24"/>
          <w:szCs w:val="24"/>
        </w:rPr>
        <w:t>.</w:t>
      </w:r>
      <w:proofErr w:type="gram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24253">
        <w:rPr>
          <w:rFonts w:ascii="Times New Roman" w:hAnsi="Times New Roman"/>
          <w:sz w:val="24"/>
          <w:szCs w:val="24"/>
        </w:rPr>
        <w:t>Декларираме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253">
        <w:rPr>
          <w:rFonts w:ascii="Times New Roman" w:hAnsi="Times New Roman"/>
          <w:sz w:val="24"/>
          <w:szCs w:val="24"/>
        </w:rPr>
        <w:t>че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сме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съгласни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24253">
        <w:rPr>
          <w:rFonts w:ascii="Times New Roman" w:hAnsi="Times New Roman"/>
          <w:sz w:val="24"/>
          <w:szCs w:val="24"/>
        </w:rPr>
        <w:t>поставените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от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Вас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условия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4253">
        <w:rPr>
          <w:rFonts w:ascii="Times New Roman" w:hAnsi="Times New Roman"/>
          <w:sz w:val="24"/>
          <w:szCs w:val="24"/>
        </w:rPr>
        <w:t>ги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приемаме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без</w:t>
      </w:r>
      <w:proofErr w:type="spellEnd"/>
      <w:r w:rsidRPr="00124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253">
        <w:rPr>
          <w:rFonts w:ascii="Times New Roman" w:hAnsi="Times New Roman"/>
          <w:sz w:val="24"/>
          <w:szCs w:val="24"/>
        </w:rPr>
        <w:t>възражения</w:t>
      </w:r>
      <w:proofErr w:type="spellEnd"/>
      <w:r w:rsidRPr="00124253">
        <w:rPr>
          <w:rFonts w:ascii="Times New Roman" w:hAnsi="Times New Roman"/>
          <w:sz w:val="24"/>
          <w:szCs w:val="24"/>
        </w:rPr>
        <w:t>.</w:t>
      </w:r>
      <w:proofErr w:type="gramEnd"/>
    </w:p>
    <w:p w:rsidR="00CA0F6A" w:rsidRPr="00005E2C" w:rsidRDefault="00CA0F6A" w:rsidP="00CA0F6A">
      <w:pPr>
        <w:tabs>
          <w:tab w:val="left" w:pos="851"/>
          <w:tab w:val="left" w:pos="2835"/>
          <w:tab w:val="left" w:pos="3969"/>
          <w:tab w:val="left" w:pos="5387"/>
          <w:tab w:val="left" w:pos="5954"/>
          <w:tab w:val="left" w:pos="6379"/>
          <w:tab w:val="left" w:pos="6946"/>
          <w:tab w:val="left" w:pos="7230"/>
          <w:tab w:val="left" w:pos="8789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>Заявяваме, че при изпълнението на поръчката ще осигурим следното:</w:t>
      </w:r>
    </w:p>
    <w:p w:rsidR="00CA0F6A" w:rsidRDefault="000D085A" w:rsidP="000D085A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   </w:t>
      </w:r>
      <w:r w:rsidR="00F171DD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CA0F6A">
        <w:rPr>
          <w:rFonts w:ascii="Times New Roman" w:hAnsi="Times New Roman"/>
          <w:sz w:val="24"/>
          <w:szCs w:val="24"/>
          <w:lang w:val="bg-BG" w:eastAsia="bg-BG"/>
        </w:rPr>
        <w:t xml:space="preserve">1. </w:t>
      </w:r>
      <w:r w:rsidR="00CA0F6A" w:rsidRPr="007F4240">
        <w:rPr>
          <w:rFonts w:ascii="Times New Roman" w:hAnsi="Times New Roman"/>
          <w:sz w:val="24"/>
          <w:szCs w:val="24"/>
          <w:lang w:val="bg-BG" w:eastAsia="bg-BG"/>
        </w:rPr>
        <w:t xml:space="preserve">Доставените горива ще отговарят на изискванията и стандартите, определени в Наредбата за качеството на течните горива, условията и реда и начина за техния контрол, изискванията на Закона за възобновяемите и алтернативните енергийни източници и биогоривата, Закона за чистотата на атмосферния въздух, както и на всички други приложими изисквания на действащата нормативна база в България. </w:t>
      </w:r>
    </w:p>
    <w:p w:rsidR="000D085A" w:rsidRDefault="00CA0F6A" w:rsidP="000D085A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="00F171DD"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0D085A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0D085A">
        <w:rPr>
          <w:rFonts w:ascii="Times New Roman" w:hAnsi="Times New Roman"/>
          <w:sz w:val="24"/>
          <w:szCs w:val="24"/>
          <w:lang w:val="bg-BG" w:eastAsia="x-none"/>
        </w:rPr>
        <w:t xml:space="preserve">2. Срок за издаване на картите за МПС на  </w:t>
      </w:r>
      <w:proofErr w:type="spellStart"/>
      <w:r w:rsidR="000D085A" w:rsidRPr="00153B62">
        <w:rPr>
          <w:rFonts w:ascii="Times New Roman" w:hAnsi="Times New Roman"/>
          <w:sz w:val="24"/>
          <w:szCs w:val="24"/>
        </w:rPr>
        <w:t>Областна</w:t>
      </w:r>
      <w:proofErr w:type="spellEnd"/>
      <w:r w:rsidR="000D085A" w:rsidRPr="0015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85A" w:rsidRPr="00153B62">
        <w:rPr>
          <w:rFonts w:ascii="Times New Roman" w:hAnsi="Times New Roman"/>
          <w:sz w:val="24"/>
          <w:szCs w:val="24"/>
        </w:rPr>
        <w:t>дирекция</w:t>
      </w:r>
      <w:proofErr w:type="spellEnd"/>
      <w:r w:rsidR="000D085A" w:rsidRPr="00153B6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0D085A" w:rsidRPr="00153B62">
        <w:rPr>
          <w:rFonts w:ascii="Times New Roman" w:hAnsi="Times New Roman"/>
          <w:sz w:val="24"/>
          <w:szCs w:val="24"/>
        </w:rPr>
        <w:t>Земеделие</w:t>
      </w:r>
      <w:proofErr w:type="spellEnd"/>
      <w:r w:rsidR="000D085A" w:rsidRPr="00153B62">
        <w:rPr>
          <w:rFonts w:ascii="Times New Roman" w:hAnsi="Times New Roman"/>
          <w:sz w:val="24"/>
          <w:szCs w:val="24"/>
        </w:rPr>
        <w:t xml:space="preserve">“ </w:t>
      </w:r>
      <w:r w:rsidR="000D085A">
        <w:rPr>
          <w:rFonts w:ascii="Times New Roman" w:hAnsi="Times New Roman"/>
          <w:sz w:val="24"/>
          <w:szCs w:val="24"/>
        </w:rPr>
        <w:t>–</w:t>
      </w:r>
      <w:r w:rsidR="000D085A" w:rsidRPr="0015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85A" w:rsidRPr="00153B62">
        <w:rPr>
          <w:rFonts w:ascii="Times New Roman" w:hAnsi="Times New Roman"/>
          <w:sz w:val="24"/>
          <w:szCs w:val="24"/>
        </w:rPr>
        <w:t>Кюстендил</w:t>
      </w:r>
      <w:proofErr w:type="spellEnd"/>
      <w:r w:rsidR="000B61FB">
        <w:rPr>
          <w:rFonts w:ascii="Times New Roman" w:hAnsi="Times New Roman"/>
          <w:sz w:val="24"/>
          <w:szCs w:val="24"/>
          <w:lang w:val="bg-BG"/>
        </w:rPr>
        <w:t>, не по- късно от…</w:t>
      </w:r>
      <w:r w:rsidR="000B61FB">
        <w:rPr>
          <w:rFonts w:ascii="Times New Roman" w:hAnsi="Times New Roman"/>
          <w:sz w:val="24"/>
          <w:szCs w:val="24"/>
        </w:rPr>
        <w:t>…….</w:t>
      </w:r>
      <w:bookmarkStart w:id="0" w:name="_GoBack"/>
      <w:bookmarkEnd w:id="0"/>
      <w:r w:rsidR="000D085A">
        <w:rPr>
          <w:rFonts w:ascii="Times New Roman" w:hAnsi="Times New Roman"/>
          <w:sz w:val="24"/>
          <w:szCs w:val="24"/>
          <w:lang w:val="bg-BG"/>
        </w:rPr>
        <w:t xml:space="preserve"> работни дни от датата на сключване на договора за обществената поръчка.</w:t>
      </w:r>
    </w:p>
    <w:p w:rsidR="000D085A" w:rsidRDefault="000D085A" w:rsidP="000D085A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F171DD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3. Издаване на картите по рег.№ на МПС, снабдени с ПИН, чрез който се идентифицира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картодържателя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D085A" w:rsidRPr="00153B62" w:rsidRDefault="000D085A" w:rsidP="000D085A">
      <w:pPr>
        <w:widowControl w:val="0"/>
        <w:tabs>
          <w:tab w:val="left" w:pos="360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F171DD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F171D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4. Срока на валидност на картите - съобразен със срока на договора и не по-кратък от 12 месеца.</w:t>
      </w:r>
    </w:p>
    <w:p w:rsidR="00CA0F6A" w:rsidRDefault="004F718A" w:rsidP="004F718A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="00F171D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5</w:t>
      </w:r>
      <w:r w:rsidR="00CA0F6A">
        <w:rPr>
          <w:rFonts w:ascii="Times New Roman" w:hAnsi="Times New Roman"/>
          <w:sz w:val="24"/>
          <w:szCs w:val="24"/>
          <w:lang w:val="bg-BG" w:eastAsia="bg-BG"/>
        </w:rPr>
        <w:t>.</w:t>
      </w:r>
      <w:r w:rsidR="00CA0F6A" w:rsidRPr="00124253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>Настоящата</w:t>
      </w:r>
      <w:proofErr w:type="spellEnd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 xml:space="preserve"> оферта е валидна </w:t>
      </w:r>
      <w:r w:rsidR="00804CBA">
        <w:rPr>
          <w:rFonts w:ascii="Times New Roman" w:hAnsi="Times New Roman"/>
          <w:sz w:val="24"/>
          <w:szCs w:val="24"/>
          <w:lang w:eastAsia="bg-BG"/>
        </w:rPr>
        <w:t>…………………….</w:t>
      </w:r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 xml:space="preserve"> дни</w:t>
      </w:r>
      <w:r w:rsidR="00CA0F6A">
        <w:rPr>
          <w:rFonts w:ascii="Times New Roman" w:hAnsi="Times New Roman"/>
          <w:sz w:val="24"/>
          <w:szCs w:val="24"/>
          <w:lang w:val="ru-RU" w:eastAsia="bg-BG"/>
        </w:rPr>
        <w:t>, считано</w:t>
      </w:r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>крайния</w:t>
      </w:r>
      <w:proofErr w:type="spellEnd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 xml:space="preserve"> срок за </w:t>
      </w:r>
      <w:proofErr w:type="spellStart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>получаване</w:t>
      </w:r>
      <w:proofErr w:type="spellEnd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="00CA0F6A" w:rsidRPr="007F4240">
        <w:rPr>
          <w:rFonts w:ascii="Times New Roman" w:hAnsi="Times New Roman"/>
          <w:sz w:val="24"/>
          <w:szCs w:val="24"/>
          <w:lang w:val="ru-RU" w:eastAsia="bg-BG"/>
        </w:rPr>
        <w:t>офертите</w:t>
      </w:r>
      <w:proofErr w:type="spellEnd"/>
      <w:r w:rsidR="00CA0F6A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CA0F6A" w:rsidRPr="005C1453" w:rsidRDefault="005F0C19" w:rsidP="005F0C19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="004F718A">
        <w:rPr>
          <w:rFonts w:ascii="Times New Roman" w:hAnsi="Times New Roman"/>
          <w:sz w:val="24"/>
          <w:szCs w:val="24"/>
          <w:lang w:val="bg-BG"/>
        </w:rPr>
        <w:t>6</w:t>
      </w:r>
      <w:r w:rsidR="00CA0F6A">
        <w:rPr>
          <w:rFonts w:ascii="Times New Roman" w:hAnsi="Times New Roman"/>
          <w:sz w:val="24"/>
          <w:szCs w:val="24"/>
          <w:lang w:val="bg-BG"/>
        </w:rPr>
        <w:t>. Търговски обекти покриващи изискванията на Възложителя съгласно техническото задание към поканата описани в списък – неразделна част от настоящата техническа оферта.</w:t>
      </w:r>
    </w:p>
    <w:p w:rsidR="00CA0F6A" w:rsidRPr="007F4240" w:rsidRDefault="00CA0F6A" w:rsidP="00CA0F6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</w:pPr>
      <w:r w:rsidRPr="007F424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  <w:t>Приложения към настоящото предложение:</w:t>
      </w:r>
    </w:p>
    <w:p w:rsidR="0078345F" w:rsidRDefault="00CA0F6A" w:rsidP="0078345F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8345F">
        <w:rPr>
          <w:rFonts w:ascii="Times New Roman" w:hAnsi="Times New Roman"/>
          <w:b/>
          <w:noProof/>
          <w:color w:val="000000"/>
          <w:sz w:val="24"/>
          <w:szCs w:val="24"/>
          <w:lang w:val="bg-BG" w:eastAsia="bg-BG"/>
        </w:rPr>
        <w:t>Списък № 1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на търговските обекти (бензиностанции) на участника - собствени, наети или франчайз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или на подизпълнител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, на територията на </w:t>
      </w:r>
      <w:r w:rsidR="00D757BD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общините в Област</w:t>
      </w:r>
      <w:r w:rsidR="00D757BD">
        <w:rPr>
          <w:rFonts w:ascii="Times New Roman" w:hAnsi="Times New Roman"/>
          <w:noProof/>
          <w:color w:val="000000"/>
          <w:sz w:val="24"/>
          <w:szCs w:val="24"/>
          <w:lang w:eastAsia="bg-BG"/>
        </w:rPr>
        <w:t xml:space="preserve"> K</w:t>
      </w:r>
      <w:r w:rsidR="00D757BD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юстендил</w:t>
      </w:r>
      <w:r w:rsidR="0078345F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, предлагащи зареждане на</w:t>
      </w:r>
      <w:r w:rsidR="0078345F">
        <w:rPr>
          <w:rFonts w:ascii="Times New Roman" w:hAnsi="Times New Roman"/>
          <w:sz w:val="24"/>
          <w:szCs w:val="24"/>
          <w:lang w:val="bg-BG" w:eastAsia="bg-BG"/>
        </w:rPr>
        <w:t xml:space="preserve"> следните видовете гориво: </w:t>
      </w:r>
      <w:r w:rsidR="00D757BD">
        <w:rPr>
          <w:rFonts w:ascii="Times New Roman" w:hAnsi="Times New Roman"/>
          <w:b/>
          <w:sz w:val="24"/>
          <w:szCs w:val="24"/>
          <w:lang w:val="bg-BG" w:eastAsia="bg-BG"/>
        </w:rPr>
        <w:t>бензин А95Н</w:t>
      </w:r>
      <w:r w:rsidR="00813DDF">
        <w:rPr>
          <w:rFonts w:ascii="Times New Roman" w:hAnsi="Times New Roman"/>
          <w:b/>
          <w:sz w:val="24"/>
          <w:szCs w:val="24"/>
          <w:lang w:eastAsia="bg-BG"/>
        </w:rPr>
        <w:t xml:space="preserve">  </w:t>
      </w:r>
      <w:r w:rsidR="0078345F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813DDF">
        <w:rPr>
          <w:rFonts w:ascii="Times New Roman" w:hAnsi="Times New Roman"/>
          <w:b/>
          <w:sz w:val="24"/>
          <w:szCs w:val="24"/>
          <w:lang w:val="bg-BG" w:eastAsia="bg-BG"/>
        </w:rPr>
        <w:t>А9</w:t>
      </w:r>
      <w:r w:rsidR="00813DDF">
        <w:rPr>
          <w:rFonts w:ascii="Times New Roman" w:hAnsi="Times New Roman"/>
          <w:b/>
          <w:sz w:val="24"/>
          <w:szCs w:val="24"/>
          <w:lang w:eastAsia="bg-BG"/>
        </w:rPr>
        <w:t xml:space="preserve">6  </w:t>
      </w:r>
      <w:r w:rsidR="0078345F">
        <w:rPr>
          <w:rFonts w:ascii="Times New Roman" w:hAnsi="Times New Roman"/>
          <w:b/>
          <w:sz w:val="24"/>
          <w:szCs w:val="24"/>
          <w:lang w:val="bg-BG" w:eastAsia="bg-BG"/>
        </w:rPr>
        <w:t>и дизел.</w:t>
      </w:r>
    </w:p>
    <w:p w:rsidR="0078345F" w:rsidRDefault="00CA0F6A" w:rsidP="0078345F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8345F">
        <w:rPr>
          <w:rFonts w:ascii="Times New Roman" w:hAnsi="Times New Roman"/>
          <w:b/>
          <w:noProof/>
          <w:color w:val="000000"/>
          <w:sz w:val="24"/>
          <w:szCs w:val="24"/>
          <w:lang w:val="bg-BG" w:eastAsia="bg-BG"/>
        </w:rPr>
        <w:t>Списък № 2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на търговските обекти (бензиностанции</w:t>
      </w:r>
      <w:r w:rsidR="0078345F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/газстанции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) на участника - собствени, наети или франчайз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 или на подизпълнител</w:t>
      </w:r>
      <w:r w:rsidRPr="007F4240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, на територията на 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 xml:space="preserve">общините в Област </w:t>
      </w:r>
      <w:r w:rsidR="00A1574B"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Кюстендил</w:t>
      </w:r>
      <w:r>
        <w:rPr>
          <w:rFonts w:ascii="Times New Roman" w:hAnsi="Times New Roman"/>
          <w:noProof/>
          <w:color w:val="000000"/>
          <w:sz w:val="24"/>
          <w:szCs w:val="24"/>
          <w:lang w:val="bg-BG" w:eastAsia="bg-BG"/>
        </w:rPr>
        <w:t>, предлагащи зареждане  на газ пропан бутан</w:t>
      </w:r>
    </w:p>
    <w:p w:rsidR="005F0C19" w:rsidRPr="005F0C19" w:rsidRDefault="005F0C19" w:rsidP="0078345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lastRenderedPageBreak/>
        <w:t>Към настоящата оферта прилагам техническа спецификация на предлаганите горива.</w:t>
      </w:r>
    </w:p>
    <w:p w:rsidR="00CA0F6A" w:rsidRDefault="00CA0F6A" w:rsidP="0078345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eastAsia="bg-BG"/>
        </w:rPr>
      </w:pPr>
      <w:r w:rsidRPr="0078345F">
        <w:rPr>
          <w:rFonts w:ascii="Times New Roman" w:hAnsi="Times New Roman"/>
          <w:b/>
          <w:sz w:val="24"/>
          <w:szCs w:val="24"/>
          <w:lang w:val="bg-BG" w:eastAsia="bg-BG"/>
        </w:rPr>
        <w:t>Други,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 ко</w:t>
      </w:r>
      <w:r>
        <w:rPr>
          <w:rFonts w:ascii="Times New Roman" w:hAnsi="Times New Roman"/>
          <w:sz w:val="24"/>
          <w:szCs w:val="24"/>
          <w:lang w:val="bg-BG" w:eastAsia="bg-BG"/>
        </w:rPr>
        <w:t>ито участникът смята, че са с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 особена важност при оценката на офертата.</w:t>
      </w:r>
    </w:p>
    <w:p w:rsidR="00CA0F6A" w:rsidRPr="003E76B4" w:rsidRDefault="00CA0F6A" w:rsidP="00CA0F6A">
      <w:pPr>
        <w:widowControl w:val="0"/>
        <w:tabs>
          <w:tab w:val="left" w:pos="0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x-none"/>
        </w:rPr>
      </w:pPr>
    </w:p>
    <w:p w:rsidR="00CA0F6A" w:rsidRDefault="00CA0F6A" w:rsidP="00CA0F6A">
      <w:pPr>
        <w:tabs>
          <w:tab w:val="left" w:pos="1230"/>
          <w:tab w:val="center" w:pos="4848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A0F6A" w:rsidRPr="007F4240" w:rsidRDefault="00CA0F6A" w:rsidP="00CA0F6A">
      <w:pPr>
        <w:tabs>
          <w:tab w:val="left" w:pos="1230"/>
          <w:tab w:val="center" w:pos="4848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СПИСЪК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A0F6A" w:rsidRPr="007F4240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A0F6A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на търговските обекти (бензиностанции) на участника на територията на </w:t>
      </w:r>
      <w:r>
        <w:rPr>
          <w:rFonts w:ascii="Times New Roman" w:hAnsi="Times New Roman"/>
          <w:sz w:val="24"/>
          <w:szCs w:val="24"/>
          <w:lang w:val="bg-BG" w:eastAsia="bg-BG"/>
        </w:rPr>
        <w:t>общините в Област</w:t>
      </w:r>
      <w:r w:rsidR="00FE2061">
        <w:rPr>
          <w:rFonts w:ascii="Times New Roman" w:hAnsi="Times New Roman"/>
          <w:sz w:val="24"/>
          <w:szCs w:val="24"/>
          <w:lang w:val="bg-BG" w:eastAsia="bg-BG"/>
        </w:rPr>
        <w:t xml:space="preserve"> Кюстендил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Pr="00A7377C">
        <w:rPr>
          <w:rFonts w:ascii="Times New Roman" w:hAnsi="Times New Roman"/>
          <w:b/>
          <w:sz w:val="24"/>
          <w:szCs w:val="24"/>
          <w:lang w:val="ru-RU" w:eastAsia="bg-BG"/>
        </w:rPr>
        <w:t xml:space="preserve"> </w:t>
      </w:r>
      <w:r w:rsidRPr="00A7377C">
        <w:rPr>
          <w:rFonts w:ascii="Times New Roman" w:hAnsi="Times New Roman"/>
          <w:sz w:val="24"/>
          <w:szCs w:val="24"/>
          <w:lang w:val="ru-RU" w:eastAsia="bg-BG"/>
        </w:rPr>
        <w:t>предлагащи зареждане с посочените от възложителя горива</w:t>
      </w:r>
      <w:r>
        <w:rPr>
          <w:rFonts w:ascii="Times New Roman" w:hAnsi="Times New Roman"/>
          <w:sz w:val="24"/>
          <w:szCs w:val="24"/>
          <w:lang w:val="ru-RU" w:eastAsia="bg-BG"/>
        </w:rPr>
        <w:t>:</w:t>
      </w:r>
    </w:p>
    <w:p w:rsidR="00CA0F6A" w:rsidRPr="007F33FC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  <w:r w:rsidRPr="00993DF0">
        <w:rPr>
          <w:rFonts w:ascii="Times New Roman" w:hAnsi="Times New Roman"/>
          <w:b/>
          <w:sz w:val="24"/>
          <w:szCs w:val="24"/>
          <w:lang w:val="bg-BG" w:eastAsia="bg-BG"/>
        </w:rPr>
        <w:t>бензин А95Н, бензин А96 и дизел</w:t>
      </w:r>
    </w:p>
    <w:p w:rsidR="00CA0F6A" w:rsidRPr="003E76B4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CA0F6A" w:rsidRPr="003E76B4" w:rsidRDefault="00CA0F6A" w:rsidP="00CA0F6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994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2055"/>
        <w:gridCol w:w="1701"/>
        <w:gridCol w:w="1134"/>
        <w:gridCol w:w="1275"/>
        <w:gridCol w:w="1800"/>
      </w:tblGrid>
      <w:tr w:rsidR="00CA0F6A" w:rsidRPr="007F4240" w:rsidTr="00E164AD">
        <w:tc>
          <w:tcPr>
            <w:tcW w:w="720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 на търговския обект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ind w:left="-28" w:firstLine="2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2055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Собствен/</w:t>
            </w:r>
          </w:p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нает/</w:t>
            </w:r>
          </w:p>
          <w:p w:rsidR="00CA0F6A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франчайз</w:t>
            </w:r>
          </w:p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подизпълнител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Телефонен номер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Работно време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>Търговския</w:t>
            </w: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</w:t>
            </w: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 xml:space="preserve"> обект обслужва система за безналично плащане с електронни карти</w:t>
            </w:r>
          </w:p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i/>
                <w:sz w:val="24"/>
                <w:szCs w:val="24"/>
                <w:lang w:val="be-BY" w:eastAsia="bg-BG"/>
              </w:rPr>
              <w:t>(да/не)</w:t>
            </w:r>
          </w:p>
        </w:tc>
      </w:tr>
      <w:tr w:rsidR="00CA0F6A" w:rsidRPr="007F4240" w:rsidTr="00E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5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CA0F6A" w:rsidRPr="007F4240" w:rsidTr="00E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5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CA0F6A" w:rsidRPr="007F4240" w:rsidTr="00E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5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CA0F6A" w:rsidRPr="007F4240" w:rsidRDefault="00CA0F6A" w:rsidP="00CA0F6A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47417C" w:rsidRDefault="0047417C" w:rsidP="00CA0F6A">
      <w:pPr>
        <w:tabs>
          <w:tab w:val="left" w:pos="1230"/>
          <w:tab w:val="center" w:pos="4848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</w:p>
    <w:p w:rsidR="00CA0F6A" w:rsidRPr="007F4240" w:rsidRDefault="00CA0F6A" w:rsidP="00CA0F6A">
      <w:pPr>
        <w:tabs>
          <w:tab w:val="left" w:pos="1230"/>
          <w:tab w:val="center" w:pos="4848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b/>
          <w:sz w:val="24"/>
          <w:szCs w:val="24"/>
          <w:lang w:val="bg-BG" w:eastAsia="bg-BG"/>
        </w:rPr>
        <w:t>СПИСЪК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CA0F6A" w:rsidRPr="007F4240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A0F6A" w:rsidRPr="00A7377C" w:rsidRDefault="00CA0F6A" w:rsidP="00CA0F6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>на търговските обекти (бензиностанции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/газстанции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 xml:space="preserve">) на участника на територията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общините в Област </w:t>
      </w:r>
      <w:r w:rsidR="006E2940">
        <w:rPr>
          <w:rFonts w:ascii="Times New Roman" w:hAnsi="Times New Roman"/>
          <w:sz w:val="24"/>
          <w:szCs w:val="24"/>
          <w:lang w:val="bg-BG" w:eastAsia="bg-BG"/>
        </w:rPr>
        <w:t>Кюстендил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, предлагащи зареждане </w:t>
      </w:r>
      <w:r w:rsidRPr="00A7377C">
        <w:rPr>
          <w:rFonts w:ascii="Times New Roman" w:hAnsi="Times New Roman"/>
          <w:b/>
          <w:sz w:val="24"/>
          <w:szCs w:val="24"/>
          <w:lang w:val="bg-BG" w:eastAsia="bg-BG"/>
        </w:rPr>
        <w:t>с газ пропан - бутан</w:t>
      </w:r>
    </w:p>
    <w:p w:rsidR="00CA0F6A" w:rsidRPr="00A7377C" w:rsidRDefault="00CA0F6A" w:rsidP="00CA0F6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CA0F6A" w:rsidRPr="003E76B4" w:rsidRDefault="00CA0F6A" w:rsidP="00CA0F6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994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2055"/>
        <w:gridCol w:w="1701"/>
        <w:gridCol w:w="1134"/>
        <w:gridCol w:w="1275"/>
        <w:gridCol w:w="1800"/>
      </w:tblGrid>
      <w:tr w:rsidR="00CA0F6A" w:rsidRPr="007F4240" w:rsidTr="00E164AD">
        <w:tc>
          <w:tcPr>
            <w:tcW w:w="720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 на търговския обект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ind w:left="-28" w:firstLine="2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2055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Собствен/</w:t>
            </w:r>
          </w:p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нает/</w:t>
            </w:r>
          </w:p>
          <w:p w:rsidR="00CA0F6A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франчайз</w:t>
            </w:r>
          </w:p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подизпълнител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Телефонен номер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Работно време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>Търговския</w:t>
            </w:r>
            <w:r w:rsidRPr="007F42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</w:t>
            </w:r>
            <w:r w:rsidRPr="007F4240">
              <w:rPr>
                <w:rFonts w:ascii="Times New Roman" w:hAnsi="Times New Roman"/>
                <w:sz w:val="24"/>
                <w:szCs w:val="24"/>
                <w:lang w:val="be-BY" w:eastAsia="bg-BG"/>
              </w:rPr>
              <w:t xml:space="preserve"> обект обслужва система за безналично плащане с електронни карти</w:t>
            </w:r>
          </w:p>
          <w:p w:rsidR="00CA0F6A" w:rsidRPr="007F4240" w:rsidRDefault="00CA0F6A" w:rsidP="00E164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e-BY" w:eastAsia="bg-BG"/>
              </w:rPr>
            </w:pPr>
            <w:r w:rsidRPr="007F4240">
              <w:rPr>
                <w:rFonts w:ascii="Times New Roman" w:hAnsi="Times New Roman"/>
                <w:i/>
                <w:sz w:val="24"/>
                <w:szCs w:val="24"/>
                <w:lang w:val="be-BY" w:eastAsia="bg-BG"/>
              </w:rPr>
              <w:t>(да/не)</w:t>
            </w:r>
          </w:p>
        </w:tc>
      </w:tr>
      <w:tr w:rsidR="00CA0F6A" w:rsidRPr="007F4240" w:rsidTr="00E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5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CA0F6A" w:rsidRPr="007F4240" w:rsidTr="00E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5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CA0F6A" w:rsidRPr="007F4240" w:rsidTr="00E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5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shd w:val="clear" w:color="auto" w:fill="auto"/>
          </w:tcPr>
          <w:p w:rsidR="00CA0F6A" w:rsidRPr="007F4240" w:rsidRDefault="00CA0F6A" w:rsidP="00E164A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CA0F6A" w:rsidRPr="007F4240" w:rsidRDefault="00CA0F6A" w:rsidP="00CA0F6A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spacing w:before="60"/>
        <w:jc w:val="right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CA0F6A" w:rsidRPr="007F4240" w:rsidRDefault="00CA0F6A" w:rsidP="00CA0F6A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4240">
        <w:rPr>
          <w:rFonts w:ascii="Times New Roman" w:hAnsi="Times New Roman"/>
          <w:sz w:val="24"/>
          <w:szCs w:val="24"/>
          <w:lang w:val="bg-BG" w:eastAsia="bg-BG"/>
        </w:rPr>
        <w:t>Дата:…………………..</w:t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</w:r>
      <w:r w:rsidRPr="007F4240">
        <w:rPr>
          <w:rFonts w:ascii="Times New Roman" w:hAnsi="Times New Roman"/>
          <w:sz w:val="24"/>
          <w:szCs w:val="24"/>
          <w:lang w:val="bg-BG" w:eastAsia="bg-BG"/>
        </w:rPr>
        <w:tab/>
        <w:t>Подпис и печат:…………………</w:t>
      </w: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CA0F6A" w:rsidRDefault="00CA0F6A" w:rsidP="00CA0F6A">
      <w:pPr>
        <w:jc w:val="center"/>
        <w:rPr>
          <w:rFonts w:ascii="Times New Roman" w:hAnsi="Times New Roman"/>
          <w:b/>
          <w:spacing w:val="20"/>
          <w:sz w:val="28"/>
          <w:szCs w:val="28"/>
          <w:lang w:val="bg-BG"/>
        </w:rPr>
      </w:pPr>
    </w:p>
    <w:p w:rsidR="0007504E" w:rsidRDefault="0007504E"/>
    <w:sectPr w:rsidR="0007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91C"/>
    <w:multiLevelType w:val="hybridMultilevel"/>
    <w:tmpl w:val="191CC0CA"/>
    <w:lvl w:ilvl="0" w:tplc="70AE65B4">
      <w:start w:val="2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C575950"/>
    <w:multiLevelType w:val="hybridMultilevel"/>
    <w:tmpl w:val="195E86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05DB2"/>
    <w:multiLevelType w:val="hybridMultilevel"/>
    <w:tmpl w:val="B2C0E898"/>
    <w:lvl w:ilvl="0" w:tplc="D378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93D5D"/>
    <w:multiLevelType w:val="multilevel"/>
    <w:tmpl w:val="98B4AEF6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8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6A"/>
    <w:rsid w:val="000107AA"/>
    <w:rsid w:val="00030FB2"/>
    <w:rsid w:val="0007504E"/>
    <w:rsid w:val="000B61FB"/>
    <w:rsid w:val="000D085A"/>
    <w:rsid w:val="000F4750"/>
    <w:rsid w:val="00277DDD"/>
    <w:rsid w:val="0033343C"/>
    <w:rsid w:val="0047417C"/>
    <w:rsid w:val="004F718A"/>
    <w:rsid w:val="00577A1A"/>
    <w:rsid w:val="005F0C19"/>
    <w:rsid w:val="00641193"/>
    <w:rsid w:val="006E2940"/>
    <w:rsid w:val="006F28C8"/>
    <w:rsid w:val="006F57A6"/>
    <w:rsid w:val="0078345F"/>
    <w:rsid w:val="00804CBA"/>
    <w:rsid w:val="00813DDF"/>
    <w:rsid w:val="00851227"/>
    <w:rsid w:val="008678EF"/>
    <w:rsid w:val="00A1574B"/>
    <w:rsid w:val="00A819AB"/>
    <w:rsid w:val="00C052E7"/>
    <w:rsid w:val="00C11817"/>
    <w:rsid w:val="00C36FEC"/>
    <w:rsid w:val="00CA0F6A"/>
    <w:rsid w:val="00D757BD"/>
    <w:rsid w:val="00E75252"/>
    <w:rsid w:val="00ED4B06"/>
    <w:rsid w:val="00F171DD"/>
    <w:rsid w:val="00FC3B3E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Силвия Михайлова</cp:lastModifiedBy>
  <cp:revision>36</cp:revision>
  <dcterms:created xsi:type="dcterms:W3CDTF">2014-01-09T10:05:00Z</dcterms:created>
  <dcterms:modified xsi:type="dcterms:W3CDTF">2014-01-17T14:04:00Z</dcterms:modified>
</cp:coreProperties>
</file>