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108" w:type="dxa"/>
        <w:tblLook w:val="01E0" w:firstRow="1" w:lastRow="1" w:firstColumn="1" w:lastColumn="1" w:noHBand="0" w:noVBand="0"/>
      </w:tblPr>
      <w:tblGrid>
        <w:gridCol w:w="9923"/>
      </w:tblGrid>
      <w:tr w:rsidR="001B1430" w:rsidRPr="006E7A46" w:rsidTr="00C44A73">
        <w:tc>
          <w:tcPr>
            <w:tcW w:w="9923" w:type="dxa"/>
            <w:shd w:val="clear" w:color="auto" w:fill="C0C0C0"/>
          </w:tcPr>
          <w:p w:rsidR="001B1430" w:rsidRPr="006E7A46" w:rsidRDefault="001B1430" w:rsidP="00C44A73">
            <w:pPr>
              <w:jc w:val="both"/>
              <w:rPr>
                <w:rFonts w:ascii="Arial" w:hAnsi="Arial" w:cs="Arial"/>
                <w:b/>
                <w:i/>
                <w:sz w:val="20"/>
              </w:rPr>
            </w:pPr>
            <w:r w:rsidRPr="006E7A46">
              <w:rPr>
                <w:rFonts w:ascii="Arial" w:hAnsi="Arial" w:cs="Arial"/>
                <w:b/>
                <w:i/>
                <w:sz w:val="20"/>
              </w:rPr>
              <w:t>Директни плащания</w:t>
            </w:r>
          </w:p>
        </w:tc>
      </w:tr>
    </w:tbl>
    <w:p w:rsidR="003B3CAB" w:rsidRDefault="003B3CAB" w:rsidP="009D7406">
      <w:pPr>
        <w:jc w:val="both"/>
        <w:rPr>
          <w:rStyle w:val="longtext"/>
          <w:rFonts w:ascii="Arial" w:hAnsi="Arial" w:cs="Arial"/>
          <w:b/>
          <w:sz w:val="20"/>
          <w:lang w:val="en-US"/>
        </w:rPr>
      </w:pPr>
    </w:p>
    <w:p w:rsidR="001B1430" w:rsidRPr="00672B88" w:rsidRDefault="000144D9" w:rsidP="001B1430">
      <w:pPr>
        <w:jc w:val="both"/>
        <w:rPr>
          <w:rFonts w:ascii="Arial" w:hAnsi="Arial" w:cs="Arial"/>
          <w:bCs/>
          <w:noProof/>
          <w:sz w:val="20"/>
        </w:rPr>
      </w:pPr>
      <w:bookmarkStart w:id="0" w:name="_GoBack"/>
      <w:r w:rsidRPr="00672B88">
        <w:rPr>
          <w:rStyle w:val="longtext"/>
          <w:rFonts w:ascii="Arial" w:hAnsi="Arial" w:cs="Arial"/>
          <w:b/>
          <w:noProof/>
          <w:sz w:val="20"/>
        </w:rPr>
        <w:t>1.</w:t>
      </w:r>
      <w:r w:rsidR="009D7406" w:rsidRPr="00672B88">
        <w:rPr>
          <w:rStyle w:val="HeaderChar"/>
          <w:rFonts w:ascii="Arial" w:hAnsi="Arial" w:cs="Arial"/>
          <w:b/>
          <w:noProof/>
          <w:sz w:val="20"/>
          <w:lang w:val="bg-BG"/>
        </w:rPr>
        <w:t xml:space="preserve"> </w:t>
      </w:r>
      <w:r w:rsidR="003B3CAB" w:rsidRPr="00672B88">
        <w:rPr>
          <w:rStyle w:val="HeaderChar"/>
          <w:rFonts w:ascii="Arial" w:hAnsi="Arial" w:cs="Arial"/>
          <w:b/>
          <w:noProof/>
          <w:sz w:val="20"/>
          <w:lang w:val="bg-BG"/>
        </w:rPr>
        <w:t>На 23 март 2020 г.</w:t>
      </w:r>
      <w:r w:rsidR="00C32962" w:rsidRPr="00672B88">
        <w:rPr>
          <w:rStyle w:val="HeaderChar"/>
          <w:rFonts w:ascii="Arial" w:hAnsi="Arial" w:cs="Arial"/>
          <w:b/>
          <w:noProof/>
          <w:sz w:val="20"/>
          <w:lang w:val="bg-BG"/>
        </w:rPr>
        <w:t xml:space="preserve"> </w:t>
      </w:r>
      <w:r w:rsidR="006C46BA" w:rsidRPr="00672B88">
        <w:rPr>
          <w:rStyle w:val="HeaderChar"/>
          <w:rFonts w:ascii="Arial" w:hAnsi="Arial" w:cs="Arial"/>
          <w:b/>
          <w:noProof/>
          <w:sz w:val="20"/>
          <w:lang w:val="bg-BG"/>
        </w:rPr>
        <w:t xml:space="preserve">бяха изплатени </w:t>
      </w:r>
      <w:r w:rsidR="00937592" w:rsidRPr="00672B88">
        <w:rPr>
          <w:rStyle w:val="HeaderChar"/>
          <w:rFonts w:ascii="Arial" w:hAnsi="Arial" w:cs="Arial"/>
          <w:b/>
          <w:noProof/>
          <w:sz w:val="20"/>
          <w:lang w:val="bg-BG"/>
        </w:rPr>
        <w:t xml:space="preserve">105 190 941 </w:t>
      </w:r>
      <w:r w:rsidR="006C46BA" w:rsidRPr="00672B88">
        <w:rPr>
          <w:rStyle w:val="HeaderChar"/>
          <w:rFonts w:ascii="Arial" w:hAnsi="Arial" w:cs="Arial"/>
          <w:b/>
          <w:noProof/>
          <w:sz w:val="20"/>
          <w:lang w:val="bg-BG"/>
        </w:rPr>
        <w:t xml:space="preserve">лева </w:t>
      </w:r>
      <w:r w:rsidR="003B3CAB" w:rsidRPr="00672B88">
        <w:rPr>
          <w:rStyle w:val="HeaderChar"/>
          <w:rFonts w:ascii="Arial" w:hAnsi="Arial" w:cs="Arial"/>
          <w:b/>
          <w:noProof/>
          <w:sz w:val="20"/>
          <w:lang w:val="bg-BG"/>
        </w:rPr>
        <w:t>на 56 505 земеделски стопани</w:t>
      </w:r>
      <w:r w:rsidR="00D83E74" w:rsidRPr="00672B88">
        <w:rPr>
          <w:rStyle w:val="HeaderChar"/>
          <w:rFonts w:ascii="Arial" w:hAnsi="Arial" w:cs="Arial"/>
          <w:b/>
          <w:noProof/>
          <w:sz w:val="20"/>
          <w:lang w:val="bg-BG"/>
        </w:rPr>
        <w:t xml:space="preserve"> по Схемата за преразпределително плащане</w:t>
      </w:r>
      <w:r w:rsidR="00C32962" w:rsidRPr="00672B88">
        <w:rPr>
          <w:rStyle w:val="HeaderChar"/>
          <w:rFonts w:ascii="Arial" w:hAnsi="Arial" w:cs="Arial"/>
          <w:b/>
          <w:noProof/>
          <w:sz w:val="20"/>
          <w:lang w:val="bg-BG"/>
        </w:rPr>
        <w:t xml:space="preserve"> за Кампания</w:t>
      </w:r>
      <w:r w:rsidR="00C32962" w:rsidRPr="00672B88">
        <w:rPr>
          <w:rStyle w:val="HeaderChar"/>
          <w:rFonts w:ascii="Arial" w:hAnsi="Arial" w:cs="Arial"/>
          <w:noProof/>
          <w:sz w:val="20"/>
          <w:lang w:val="bg-BG"/>
        </w:rPr>
        <w:t xml:space="preserve"> </w:t>
      </w:r>
      <w:r w:rsidR="00C32962" w:rsidRPr="00672B88">
        <w:rPr>
          <w:rStyle w:val="HeaderChar"/>
          <w:rFonts w:ascii="Arial" w:hAnsi="Arial" w:cs="Arial"/>
          <w:b/>
          <w:noProof/>
          <w:sz w:val="20"/>
          <w:lang w:val="bg-BG"/>
        </w:rPr>
        <w:t>2019</w:t>
      </w:r>
      <w:r w:rsidR="006C46BA" w:rsidRPr="00672B88">
        <w:rPr>
          <w:rStyle w:val="HeaderChar"/>
          <w:rFonts w:ascii="Arial" w:hAnsi="Arial" w:cs="Arial"/>
          <w:noProof/>
          <w:sz w:val="20"/>
          <w:lang w:val="bg-BG"/>
        </w:rPr>
        <w:t>.</w:t>
      </w:r>
      <w:r w:rsidR="00BE430A" w:rsidRPr="00672B88">
        <w:rPr>
          <w:rStyle w:val="HeaderChar"/>
          <w:rFonts w:ascii="Arial" w:hAnsi="Arial" w:cs="Arial"/>
          <w:noProof/>
          <w:sz w:val="20"/>
          <w:lang w:val="bg-BG"/>
        </w:rPr>
        <w:t xml:space="preserve"> </w:t>
      </w:r>
      <w:r w:rsidR="00BE430A" w:rsidRPr="00672B88">
        <w:rPr>
          <w:rFonts w:ascii="Arial" w:hAnsi="Arial" w:cs="Arial"/>
          <w:bCs/>
          <w:noProof/>
          <w:sz w:val="20"/>
        </w:rPr>
        <w:t>С</w:t>
      </w:r>
      <w:r w:rsidR="009D7406" w:rsidRPr="00672B88">
        <w:rPr>
          <w:rFonts w:ascii="Arial" w:hAnsi="Arial" w:cs="Arial"/>
          <w:bCs/>
          <w:noProof/>
          <w:sz w:val="20"/>
        </w:rPr>
        <w:t xml:space="preserve">ъс </w:t>
      </w:r>
      <w:hyperlink r:id="rId9" w:history="1">
        <w:r w:rsidR="009D7406" w:rsidRPr="00672B88">
          <w:rPr>
            <w:rFonts w:ascii="Arial" w:hAnsi="Arial" w:cs="Arial"/>
            <w:noProof/>
            <w:sz w:val="20"/>
          </w:rPr>
          <w:t>Заповед № РД 09-306 от 20.03.2020 г.</w:t>
        </w:r>
      </w:hyperlink>
      <w:r w:rsidR="009D7406" w:rsidRPr="00672B88">
        <w:rPr>
          <w:rFonts w:ascii="Arial" w:hAnsi="Arial" w:cs="Arial"/>
          <w:bCs/>
          <w:noProof/>
          <w:sz w:val="20"/>
        </w:rPr>
        <w:t xml:space="preserve"> на Министъра на земеделието, храните и горите</w:t>
      </w:r>
      <w:r w:rsidR="00BE430A" w:rsidRPr="00672B88">
        <w:rPr>
          <w:rFonts w:ascii="Arial" w:hAnsi="Arial" w:cs="Arial"/>
          <w:bCs/>
          <w:noProof/>
          <w:sz w:val="20"/>
        </w:rPr>
        <w:t xml:space="preserve"> определена</w:t>
      </w:r>
      <w:r w:rsidR="00D2265F" w:rsidRPr="00672B88">
        <w:rPr>
          <w:rFonts w:ascii="Arial" w:hAnsi="Arial" w:cs="Arial"/>
          <w:bCs/>
          <w:noProof/>
          <w:sz w:val="20"/>
        </w:rPr>
        <w:t>та</w:t>
      </w:r>
      <w:r w:rsidR="00BE430A" w:rsidRPr="00672B88">
        <w:rPr>
          <w:rFonts w:ascii="Arial" w:hAnsi="Arial" w:cs="Arial"/>
          <w:bCs/>
          <w:noProof/>
          <w:sz w:val="20"/>
        </w:rPr>
        <w:t xml:space="preserve"> ставката е в размер на 137,</w:t>
      </w:r>
      <w:r w:rsidR="00D2265F" w:rsidRPr="00672B88">
        <w:rPr>
          <w:rFonts w:ascii="Arial" w:hAnsi="Arial" w:cs="Arial"/>
          <w:bCs/>
          <w:noProof/>
          <w:sz w:val="20"/>
        </w:rPr>
        <w:t xml:space="preserve"> </w:t>
      </w:r>
      <w:r w:rsidR="00BE430A" w:rsidRPr="00672B88">
        <w:rPr>
          <w:rFonts w:ascii="Arial" w:hAnsi="Arial" w:cs="Arial"/>
          <w:bCs/>
          <w:noProof/>
          <w:sz w:val="20"/>
        </w:rPr>
        <w:t xml:space="preserve">22 лв. </w:t>
      </w:r>
      <w:r w:rsidR="00D2265F" w:rsidRPr="00672B88">
        <w:rPr>
          <w:rFonts w:ascii="Arial" w:hAnsi="Arial" w:cs="Arial"/>
          <w:bCs/>
          <w:noProof/>
          <w:sz w:val="20"/>
        </w:rPr>
        <w:t>н</w:t>
      </w:r>
      <w:r w:rsidR="00BE430A" w:rsidRPr="00672B88">
        <w:rPr>
          <w:rFonts w:ascii="Arial" w:hAnsi="Arial" w:cs="Arial"/>
          <w:bCs/>
          <w:noProof/>
          <w:sz w:val="20"/>
        </w:rPr>
        <w:t xml:space="preserve">а </w:t>
      </w:r>
      <w:r w:rsidR="00D2265F" w:rsidRPr="00672B88">
        <w:rPr>
          <w:rFonts w:ascii="Arial" w:hAnsi="Arial" w:cs="Arial"/>
          <w:bCs/>
          <w:noProof/>
          <w:sz w:val="20"/>
        </w:rPr>
        <w:t>хектар</w:t>
      </w:r>
      <w:r w:rsidR="009D7406" w:rsidRPr="00672B88">
        <w:rPr>
          <w:rFonts w:ascii="Arial" w:hAnsi="Arial" w:cs="Arial"/>
          <w:bCs/>
          <w:noProof/>
          <w:sz w:val="20"/>
        </w:rPr>
        <w:t xml:space="preserve">. </w:t>
      </w:r>
      <w:r w:rsidR="00D2265F" w:rsidRPr="00672B88">
        <w:rPr>
          <w:rFonts w:ascii="Arial" w:hAnsi="Arial" w:cs="Arial"/>
          <w:bCs/>
          <w:noProof/>
          <w:sz w:val="20"/>
        </w:rPr>
        <w:t xml:space="preserve">Подпомагане по Схемата за преразпределително плащане се отпуска за първите до 30 ха допустими площи по Схемата за единно плащане на площ (СЕПП) за всяко стопанство,  независимо от </w:t>
      </w:r>
      <w:r w:rsidR="00655CF3" w:rsidRPr="00672B88">
        <w:rPr>
          <w:rFonts w:ascii="Arial" w:hAnsi="Arial" w:cs="Arial"/>
          <w:bCs/>
          <w:noProof/>
          <w:sz w:val="20"/>
        </w:rPr>
        <w:t xml:space="preserve">неговия </w:t>
      </w:r>
      <w:r w:rsidR="00D2265F" w:rsidRPr="00672B88">
        <w:rPr>
          <w:rFonts w:ascii="Arial" w:hAnsi="Arial" w:cs="Arial"/>
          <w:bCs/>
          <w:noProof/>
          <w:sz w:val="20"/>
        </w:rPr>
        <w:t>размер.</w:t>
      </w:r>
    </w:p>
    <w:p w:rsidR="002A2C5F" w:rsidRPr="00672B88" w:rsidRDefault="002A2C5F" w:rsidP="002A2C5F">
      <w:pPr>
        <w:tabs>
          <w:tab w:val="left" w:pos="4177"/>
        </w:tabs>
        <w:jc w:val="both"/>
        <w:rPr>
          <w:rFonts w:ascii="Arial" w:hAnsi="Arial" w:cs="Arial"/>
          <w:bCs/>
          <w:noProof/>
          <w:color w:val="666666"/>
          <w:sz w:val="20"/>
        </w:rPr>
      </w:pPr>
    </w:p>
    <w:tbl>
      <w:tblPr>
        <w:tblW w:w="10159" w:type="dxa"/>
        <w:tblInd w:w="108" w:type="dxa"/>
        <w:tblLook w:val="01E0" w:firstRow="1" w:lastRow="1" w:firstColumn="1" w:lastColumn="1" w:noHBand="0" w:noVBand="0"/>
      </w:tblPr>
      <w:tblGrid>
        <w:gridCol w:w="9923"/>
        <w:gridCol w:w="236"/>
      </w:tblGrid>
      <w:tr w:rsidR="001B1430" w:rsidRPr="00672B88" w:rsidTr="00C44A73">
        <w:tc>
          <w:tcPr>
            <w:tcW w:w="9923" w:type="dxa"/>
            <w:shd w:val="clear" w:color="auto" w:fill="C0C0C0"/>
            <w:hideMark/>
          </w:tcPr>
          <w:p w:rsidR="001B1430" w:rsidRPr="00672B88" w:rsidRDefault="001B1430" w:rsidP="00C44A73">
            <w:pPr>
              <w:jc w:val="both"/>
              <w:rPr>
                <w:rStyle w:val="longtext"/>
                <w:rFonts w:ascii="Arial" w:hAnsi="Arial" w:cs="Arial"/>
                <w:b/>
                <w:i/>
                <w:noProof/>
                <w:sz w:val="20"/>
              </w:rPr>
            </w:pPr>
            <w:r w:rsidRPr="00672B88">
              <w:rPr>
                <w:rStyle w:val="longtext"/>
                <w:rFonts w:ascii="Arial" w:hAnsi="Arial" w:cs="Arial"/>
                <w:b/>
                <w:i/>
                <w:noProof/>
                <w:sz w:val="20"/>
              </w:rPr>
              <w:t>Още от ЕС и света</w:t>
            </w:r>
          </w:p>
        </w:tc>
        <w:tc>
          <w:tcPr>
            <w:tcW w:w="236" w:type="dxa"/>
          </w:tcPr>
          <w:p w:rsidR="001B1430" w:rsidRPr="00672B88" w:rsidRDefault="001B1430" w:rsidP="00C44A73">
            <w:pPr>
              <w:jc w:val="both"/>
              <w:rPr>
                <w:rStyle w:val="longtext"/>
                <w:rFonts w:ascii="Arial" w:hAnsi="Arial" w:cs="Arial"/>
                <w:b/>
                <w:noProof/>
                <w:sz w:val="20"/>
              </w:rPr>
            </w:pPr>
          </w:p>
        </w:tc>
      </w:tr>
    </w:tbl>
    <w:p w:rsidR="001B1430" w:rsidRPr="00672B88" w:rsidRDefault="001B1430" w:rsidP="001B14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longtext"/>
          <w:rFonts w:ascii="Arial" w:hAnsi="Arial" w:cs="Arial"/>
          <w:b/>
          <w:noProof/>
          <w:sz w:val="20"/>
        </w:rPr>
      </w:pPr>
    </w:p>
    <w:p w:rsidR="00CD2FCF" w:rsidRPr="00672B88" w:rsidRDefault="00201022" w:rsidP="00CD2F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longtext"/>
          <w:rFonts w:ascii="Arial" w:hAnsi="Arial" w:cs="Arial"/>
          <w:noProof/>
          <w:sz w:val="20"/>
        </w:rPr>
      </w:pPr>
      <w:r w:rsidRPr="00672B88">
        <w:rPr>
          <w:rStyle w:val="longtext"/>
          <w:rFonts w:ascii="Arial" w:hAnsi="Arial" w:cs="Arial"/>
          <w:b/>
          <w:noProof/>
          <w:sz w:val="20"/>
        </w:rPr>
        <w:t>2</w:t>
      </w:r>
      <w:r w:rsidR="00CD2FCF" w:rsidRPr="00672B88">
        <w:rPr>
          <w:rStyle w:val="longtext"/>
          <w:rFonts w:ascii="Arial" w:hAnsi="Arial" w:cs="Arial"/>
          <w:b/>
          <w:noProof/>
          <w:sz w:val="20"/>
        </w:rPr>
        <w:t>. Министрите на земеделието на държавите от ЕС призоваха за предприемане на извънредни мерки и дерогации от изискванията на ОСП заради възникналата ситуация, свързана с епидемията от COVID-19.</w:t>
      </w:r>
      <w:r w:rsidR="00CD2FCF" w:rsidRPr="00672B88">
        <w:rPr>
          <w:rStyle w:val="longtext"/>
          <w:rFonts w:ascii="Arial" w:hAnsi="Arial" w:cs="Arial"/>
          <w:noProof/>
          <w:sz w:val="20"/>
        </w:rPr>
        <w:t xml:space="preserve"> На</w:t>
      </w:r>
      <w:r w:rsidR="00CD2FCF" w:rsidRPr="00672B88">
        <w:rPr>
          <w:rStyle w:val="longtext"/>
          <w:rFonts w:ascii="Arial" w:hAnsi="Arial" w:cs="Arial"/>
          <w:b/>
          <w:noProof/>
          <w:sz w:val="20"/>
        </w:rPr>
        <w:t xml:space="preserve"> </w:t>
      </w:r>
      <w:r w:rsidR="00CD2FCF" w:rsidRPr="00672B88">
        <w:rPr>
          <w:rStyle w:val="longtext"/>
          <w:rFonts w:ascii="Arial" w:hAnsi="Arial" w:cs="Arial"/>
          <w:noProof/>
          <w:sz w:val="20"/>
        </w:rPr>
        <w:t>25 март по време на видеоконферентната среща на министрите на земеделието на ЕС беше детайлно обсъдено възникналото положение в сектора в резултат от разпространението на коронавируса. Министрите считат, че проверките по вътрешните граници на ЕС не трябва да затрудняват и прекъсват хранителните доставки, както и че трябва да се осигури свободното движение на работната сила с цел да се запази земеделското производство. Италия поиска нов кризисен инструмент, който да осигури възстановяването на авансовите плащания, направени с национални средства. Страната предложи въвеждането на извънредна земеделска програма, която да се финансира със средства извън земеделския бюджет. Испанският министър поиска мобилизирането на финансови ресурси за прилагане на извънредните мерки, предвидени в чл. 219 и чл. 221 от Регламента за общата организация на пазарите (ООП) за сектори като цветя, ягоди и меки плодове, агнешко месо. Нидерландия, Белгия, Португалия, Франция, Полша и Ирландия също призоваха за кризисни мерки в ООП. Няколко държави членки считат, че периодът за подаване на единното заявление за подпомагане за 2020 г. трябва да бъде удължен и след 15 юни (ЕК вече предложи възможност за едномесечно удължаване от 15 май до 15 юни). Нидерландия поиска заявления да могат да се подават до 1 юли. Няколко страни, включително Франция, поискаха гъвкавост по отношение на проверките на място, за да се минимизира физическия контакт между инспекторите и фермерите. Чехия предложи проверките на място да бъдат сведени до абсолютен минимум. Финландия, Португалия, Полша, Италия, Белгия, Ирландия, Румъния, Нидерландия призоваха за по-ранни и по-високи авансови плащания. Чехия и Швеция поискаха по-дълъг преходен период (2 години) до влизането в сила на реформираната ОСП. Белгия също изтъкна, че е желателно да се преразгледа преходния период. България предлага Европейската комисия да предостави възможност на държавите членки доброволно да прилагат хоризонтална извънредна мярка COVID-19 във всяка от програмите си за подкрепа на уязвимите фермери и преработватели. Според предложението механизмът COVID-19 следва да функционира на национално ниво, като всяка държава членка да има възможност да използва недоговорираните средства по програмите си за стабилизиране на секторите „Селско стопанство“ и „Хранително-вкусова промишленост“. Да бъдат използвани недоговорирани средства от Програмата за развитие на селските райони 2014-2020, Програмата за морско дело и рибарство 2014-2020 и Национална програма за подпомагане на лозаро-винарския сектор 2019-2023 г. България предлага още Преходната национална помощ да бъде адаптирана, като останат ограниченията единствено в секторен план. Именно така на фона на пандемията в цяла Европа, ще се осигури гъвкавост и създаване на възможност за различни модулации при критериите за допустимост, референтната дата и при запазване на секторите.</w:t>
      </w:r>
    </w:p>
    <w:p w:rsidR="00CD2FCF" w:rsidRPr="00672B88" w:rsidRDefault="00CD2FCF" w:rsidP="006A081E">
      <w:pPr>
        <w:jc w:val="both"/>
        <w:rPr>
          <w:rStyle w:val="longtext"/>
          <w:rFonts w:ascii="Arial" w:hAnsi="Arial" w:cs="Arial"/>
          <w:b/>
          <w:noProof/>
          <w:sz w:val="20"/>
        </w:rPr>
      </w:pPr>
    </w:p>
    <w:p w:rsidR="00DE0059" w:rsidRPr="00672B88" w:rsidRDefault="00125A06" w:rsidP="00DE0059">
      <w:pPr>
        <w:jc w:val="both"/>
        <w:rPr>
          <w:rFonts w:ascii="Arial" w:hAnsi="Arial" w:cs="Arial"/>
          <w:noProof/>
          <w:sz w:val="20"/>
        </w:rPr>
      </w:pPr>
      <w:r w:rsidRPr="00672B88">
        <w:rPr>
          <w:rStyle w:val="longtext"/>
          <w:rFonts w:ascii="Arial" w:hAnsi="Arial" w:cs="Arial"/>
          <w:b/>
          <w:noProof/>
          <w:sz w:val="20"/>
        </w:rPr>
        <w:t>3</w:t>
      </w:r>
      <w:r w:rsidR="00DE0059" w:rsidRPr="00672B88">
        <w:rPr>
          <w:rStyle w:val="longtext"/>
          <w:rFonts w:ascii="Arial" w:hAnsi="Arial" w:cs="Arial"/>
          <w:b/>
          <w:noProof/>
          <w:sz w:val="20"/>
        </w:rPr>
        <w:t xml:space="preserve">. </w:t>
      </w:r>
      <w:r w:rsidR="00DE0059" w:rsidRPr="00672B88">
        <w:rPr>
          <w:rFonts w:ascii="Arial" w:hAnsi="Arial" w:cs="Arial"/>
          <w:b/>
          <w:noProof/>
          <w:sz w:val="20"/>
        </w:rPr>
        <w:t xml:space="preserve">Готови са две дългоочаквани проучвания, възложени от </w:t>
      </w:r>
      <w:r w:rsidR="00B170A9" w:rsidRPr="00672B88">
        <w:rPr>
          <w:rFonts w:ascii="Arial" w:hAnsi="Arial" w:cs="Arial"/>
          <w:b/>
          <w:noProof/>
          <w:sz w:val="20"/>
        </w:rPr>
        <w:t>Европейската комисия</w:t>
      </w:r>
      <w:r w:rsidR="00DE0059" w:rsidRPr="00672B88">
        <w:rPr>
          <w:rFonts w:ascii="Arial" w:hAnsi="Arial" w:cs="Arial"/>
          <w:b/>
          <w:noProof/>
          <w:sz w:val="20"/>
        </w:rPr>
        <w:t xml:space="preserve"> на външни изследователи, относно въздействието на ОСП върху биоразнообразието и качеството на водата.</w:t>
      </w:r>
      <w:r w:rsidR="00DE0059" w:rsidRPr="00672B88">
        <w:rPr>
          <w:rFonts w:ascii="Arial" w:hAnsi="Arial" w:cs="Arial"/>
          <w:noProof/>
          <w:sz w:val="20"/>
        </w:rPr>
        <w:t xml:space="preserve"> Първото проучване „Оценка на въздейств</w:t>
      </w:r>
      <w:r w:rsidR="00DA681F" w:rsidRPr="00672B88">
        <w:rPr>
          <w:rFonts w:ascii="Arial" w:hAnsi="Arial" w:cs="Arial"/>
          <w:noProof/>
          <w:sz w:val="20"/>
        </w:rPr>
        <w:t>и</w:t>
      </w:r>
      <w:r w:rsidR="00DE0059" w:rsidRPr="00672B88">
        <w:rPr>
          <w:rFonts w:ascii="Arial" w:hAnsi="Arial" w:cs="Arial"/>
          <w:noProof/>
          <w:sz w:val="20"/>
        </w:rPr>
        <w:t xml:space="preserve">ето на ОСП върху хабитатите, пейзажите и </w:t>
      </w:r>
      <w:r w:rsidR="009E6F51" w:rsidRPr="00672B88">
        <w:rPr>
          <w:rFonts w:ascii="Arial" w:hAnsi="Arial" w:cs="Arial"/>
          <w:noProof/>
          <w:sz w:val="20"/>
        </w:rPr>
        <w:t xml:space="preserve">биоразнообразието“ </w:t>
      </w:r>
      <w:r w:rsidR="00DE0059" w:rsidRPr="00672B88">
        <w:rPr>
          <w:rFonts w:ascii="Arial" w:hAnsi="Arial" w:cs="Arial"/>
          <w:noProof/>
          <w:sz w:val="20"/>
        </w:rPr>
        <w:t>изследва примери</w:t>
      </w:r>
      <w:r w:rsidR="009E6F51" w:rsidRPr="00672B88">
        <w:rPr>
          <w:rFonts w:ascii="Arial" w:hAnsi="Arial" w:cs="Arial"/>
          <w:noProof/>
          <w:sz w:val="20"/>
        </w:rPr>
        <w:t xml:space="preserve"> </w:t>
      </w:r>
      <w:r w:rsidR="00DE0059" w:rsidRPr="00672B88">
        <w:rPr>
          <w:rFonts w:ascii="Arial" w:hAnsi="Arial" w:cs="Arial"/>
          <w:noProof/>
          <w:sz w:val="20"/>
        </w:rPr>
        <w:t xml:space="preserve">от 10 държави-членки (Германия, Ирландия, Франция, Хърватска, Унгария, Латвия, Нидерландия, </w:t>
      </w:r>
      <w:r w:rsidR="009E6F51" w:rsidRPr="00672B88">
        <w:rPr>
          <w:rFonts w:ascii="Arial" w:hAnsi="Arial" w:cs="Arial"/>
          <w:noProof/>
          <w:sz w:val="20"/>
        </w:rPr>
        <w:t>Португалия, Румъния и Словакия). Ц</w:t>
      </w:r>
      <w:r w:rsidR="00DE0059" w:rsidRPr="00672B88">
        <w:rPr>
          <w:rFonts w:ascii="Arial" w:hAnsi="Arial" w:cs="Arial"/>
          <w:noProof/>
          <w:sz w:val="20"/>
        </w:rPr>
        <w:t>елта е да се направи оценка на „положителн</w:t>
      </w:r>
      <w:r w:rsidR="00716D24" w:rsidRPr="00672B88">
        <w:rPr>
          <w:rFonts w:ascii="Arial" w:hAnsi="Arial" w:cs="Arial"/>
          <w:noProof/>
          <w:sz w:val="20"/>
        </w:rPr>
        <w:t xml:space="preserve">ото, </w:t>
      </w:r>
      <w:r w:rsidR="00DE0059" w:rsidRPr="00672B88">
        <w:rPr>
          <w:rFonts w:ascii="Arial" w:hAnsi="Arial" w:cs="Arial"/>
          <w:noProof/>
          <w:sz w:val="20"/>
        </w:rPr>
        <w:t>отрицателн</w:t>
      </w:r>
      <w:r w:rsidR="00716D24" w:rsidRPr="00672B88">
        <w:rPr>
          <w:rFonts w:ascii="Arial" w:hAnsi="Arial" w:cs="Arial"/>
          <w:noProof/>
          <w:sz w:val="20"/>
        </w:rPr>
        <w:t>ото</w:t>
      </w:r>
      <w:r w:rsidR="009E6F51" w:rsidRPr="00672B88">
        <w:rPr>
          <w:rFonts w:ascii="Arial" w:hAnsi="Arial" w:cs="Arial"/>
          <w:noProof/>
          <w:sz w:val="20"/>
        </w:rPr>
        <w:t>, директн</w:t>
      </w:r>
      <w:r w:rsidR="00716D24" w:rsidRPr="00672B88">
        <w:rPr>
          <w:rFonts w:ascii="Arial" w:hAnsi="Arial" w:cs="Arial"/>
          <w:noProof/>
          <w:sz w:val="20"/>
        </w:rPr>
        <w:t>ото</w:t>
      </w:r>
      <w:r w:rsidR="009E6F51" w:rsidRPr="00672B88">
        <w:rPr>
          <w:rFonts w:ascii="Arial" w:hAnsi="Arial" w:cs="Arial"/>
          <w:noProof/>
          <w:sz w:val="20"/>
        </w:rPr>
        <w:t xml:space="preserve"> и косвен</w:t>
      </w:r>
      <w:r w:rsidR="00716D24" w:rsidRPr="00672B88">
        <w:rPr>
          <w:rFonts w:ascii="Arial" w:hAnsi="Arial" w:cs="Arial"/>
          <w:noProof/>
          <w:sz w:val="20"/>
        </w:rPr>
        <w:t>ото въздействие</w:t>
      </w:r>
      <w:r w:rsidR="009E6F51" w:rsidRPr="00672B88">
        <w:rPr>
          <w:rFonts w:ascii="Arial" w:hAnsi="Arial" w:cs="Arial"/>
          <w:noProof/>
          <w:sz w:val="20"/>
        </w:rPr>
        <w:t xml:space="preserve"> </w:t>
      </w:r>
      <w:r w:rsidR="00DE0059" w:rsidRPr="00672B88">
        <w:rPr>
          <w:rFonts w:ascii="Arial" w:hAnsi="Arial" w:cs="Arial"/>
          <w:noProof/>
          <w:sz w:val="20"/>
        </w:rPr>
        <w:t>на ОСП 2014-2020 върху биоразнообразието, хабитатите и пейзажите в зони, които са под директното влияние на ОСП“. Проучването изследва също</w:t>
      </w:r>
      <w:r w:rsidR="009E6F51" w:rsidRPr="00672B88">
        <w:rPr>
          <w:rFonts w:ascii="Arial" w:hAnsi="Arial" w:cs="Arial"/>
          <w:noProof/>
          <w:sz w:val="20"/>
        </w:rPr>
        <w:t xml:space="preserve"> така</w:t>
      </w:r>
      <w:r w:rsidR="00DE0059" w:rsidRPr="00672B88">
        <w:rPr>
          <w:rFonts w:ascii="Arial" w:hAnsi="Arial" w:cs="Arial"/>
          <w:noProof/>
          <w:sz w:val="20"/>
        </w:rPr>
        <w:t xml:space="preserve"> как ОСП допринася за изпълнението на Стратегията за биоразнообразието на ЕС към 2020, особено по отношение на цел 3 „Под</w:t>
      </w:r>
      <w:r w:rsidR="009E6F51" w:rsidRPr="00672B88">
        <w:rPr>
          <w:rFonts w:ascii="Arial" w:hAnsi="Arial" w:cs="Arial"/>
          <w:noProof/>
          <w:sz w:val="20"/>
        </w:rPr>
        <w:t>обряване на приноса на селското</w:t>
      </w:r>
      <w:r w:rsidR="00DE0059" w:rsidRPr="00672B88">
        <w:rPr>
          <w:rFonts w:ascii="Arial" w:hAnsi="Arial" w:cs="Arial"/>
          <w:noProof/>
          <w:sz w:val="20"/>
        </w:rPr>
        <w:t xml:space="preserve"> и горско</w:t>
      </w:r>
      <w:r w:rsidR="009E6F51" w:rsidRPr="00672B88">
        <w:rPr>
          <w:rFonts w:ascii="Arial" w:hAnsi="Arial" w:cs="Arial"/>
          <w:noProof/>
          <w:sz w:val="20"/>
        </w:rPr>
        <w:t>то</w:t>
      </w:r>
      <w:r w:rsidR="00DE0059" w:rsidRPr="00672B88">
        <w:rPr>
          <w:rFonts w:ascii="Arial" w:hAnsi="Arial" w:cs="Arial"/>
          <w:noProof/>
          <w:sz w:val="20"/>
        </w:rPr>
        <w:t xml:space="preserve"> стопанства към опазване на биоразнообразието“. А</w:t>
      </w:r>
      <w:r w:rsidR="00A677B3" w:rsidRPr="00672B88">
        <w:rPr>
          <w:rFonts w:ascii="Arial" w:hAnsi="Arial" w:cs="Arial"/>
          <w:noProof/>
          <w:sz w:val="20"/>
        </w:rPr>
        <w:t>в</w:t>
      </w:r>
      <w:r w:rsidR="00DE0059" w:rsidRPr="00672B88">
        <w:rPr>
          <w:rFonts w:ascii="Arial" w:hAnsi="Arial" w:cs="Arial"/>
          <w:noProof/>
          <w:sz w:val="20"/>
        </w:rPr>
        <w:t>торите на проучва</w:t>
      </w:r>
      <w:r w:rsidR="00A677B3" w:rsidRPr="00672B88">
        <w:rPr>
          <w:rFonts w:ascii="Arial" w:hAnsi="Arial" w:cs="Arial"/>
          <w:noProof/>
          <w:sz w:val="20"/>
        </w:rPr>
        <w:t xml:space="preserve">нето отправят редица препоръки </w:t>
      </w:r>
      <w:r w:rsidR="00DE0059" w:rsidRPr="00672B88">
        <w:rPr>
          <w:rFonts w:ascii="Arial" w:hAnsi="Arial" w:cs="Arial"/>
          <w:noProof/>
          <w:sz w:val="20"/>
        </w:rPr>
        <w:t>към институциите на европейско, национално и регионално ниво относно ефекта от прилагането на текущата и бъдеща</w:t>
      </w:r>
      <w:r w:rsidR="00A677B3" w:rsidRPr="00672B88">
        <w:rPr>
          <w:rFonts w:ascii="Arial" w:hAnsi="Arial" w:cs="Arial"/>
          <w:noProof/>
          <w:sz w:val="20"/>
        </w:rPr>
        <w:t>та ОСП.</w:t>
      </w:r>
      <w:r w:rsidR="00DE0059" w:rsidRPr="00672B88">
        <w:rPr>
          <w:rFonts w:ascii="Arial" w:hAnsi="Arial" w:cs="Arial"/>
          <w:noProof/>
          <w:sz w:val="20"/>
        </w:rPr>
        <w:t xml:space="preserve"> </w:t>
      </w:r>
      <w:r w:rsidR="00A677B3" w:rsidRPr="00672B88">
        <w:rPr>
          <w:rFonts w:ascii="Arial" w:hAnsi="Arial" w:cs="Arial"/>
          <w:noProof/>
          <w:sz w:val="20"/>
        </w:rPr>
        <w:t xml:space="preserve">Обръщат </w:t>
      </w:r>
      <w:r w:rsidR="00DE0059" w:rsidRPr="00672B88">
        <w:rPr>
          <w:rFonts w:ascii="Arial" w:hAnsi="Arial" w:cs="Arial"/>
          <w:noProof/>
          <w:sz w:val="20"/>
        </w:rPr>
        <w:t xml:space="preserve">сериозно внимание на </w:t>
      </w:r>
      <w:r w:rsidR="00A677B3" w:rsidRPr="00672B88">
        <w:rPr>
          <w:rFonts w:ascii="Arial" w:hAnsi="Arial" w:cs="Arial"/>
          <w:noProof/>
          <w:sz w:val="20"/>
        </w:rPr>
        <w:t xml:space="preserve">предложенията </w:t>
      </w:r>
      <w:r w:rsidR="00DE0059" w:rsidRPr="00672B88">
        <w:rPr>
          <w:rFonts w:ascii="Arial" w:hAnsi="Arial" w:cs="Arial"/>
          <w:noProof/>
          <w:sz w:val="20"/>
        </w:rPr>
        <w:t>за условност</w:t>
      </w:r>
      <w:r w:rsidR="00A677B3" w:rsidRPr="00672B88">
        <w:rPr>
          <w:rFonts w:ascii="Arial" w:hAnsi="Arial" w:cs="Arial"/>
          <w:noProof/>
          <w:sz w:val="20"/>
        </w:rPr>
        <w:t xml:space="preserve">та, </w:t>
      </w:r>
      <w:r w:rsidR="00DE0059" w:rsidRPr="00672B88">
        <w:rPr>
          <w:rFonts w:ascii="Arial" w:hAnsi="Arial" w:cs="Arial"/>
          <w:noProof/>
          <w:sz w:val="20"/>
        </w:rPr>
        <w:t>насочени към „непроизводствени площи“, предоставяне на директни плаща</w:t>
      </w:r>
      <w:r w:rsidR="00A677B3" w:rsidRPr="00672B88">
        <w:rPr>
          <w:rFonts w:ascii="Arial" w:hAnsi="Arial" w:cs="Arial"/>
          <w:noProof/>
          <w:sz w:val="20"/>
        </w:rPr>
        <w:t xml:space="preserve">ния за </w:t>
      </w:r>
      <w:r w:rsidR="00A677B3" w:rsidRPr="00672B88">
        <w:rPr>
          <w:rFonts w:ascii="Arial" w:hAnsi="Arial" w:cs="Arial"/>
          <w:noProof/>
          <w:sz w:val="20"/>
        </w:rPr>
        <w:lastRenderedPageBreak/>
        <w:t>полуестествени хабитати</w:t>
      </w:r>
      <w:r w:rsidR="00DE0059" w:rsidRPr="00672B88">
        <w:rPr>
          <w:rFonts w:ascii="Arial" w:hAnsi="Arial" w:cs="Arial"/>
          <w:noProof/>
          <w:sz w:val="20"/>
        </w:rPr>
        <w:t xml:space="preserve">, преразглеждане на националните приоритети с оглед на националните стратегии за биоразнообразие, забрана за оран или преобразуване на пасища от Натура 2000 и др. Авторите обръщат внимание на липсата на данни, които да позволят оценка на ефекта от подпомагането по ОСП </w:t>
      </w:r>
      <w:r w:rsidR="00A677B3" w:rsidRPr="00672B88">
        <w:rPr>
          <w:rFonts w:ascii="Arial" w:hAnsi="Arial" w:cs="Arial"/>
          <w:noProof/>
          <w:sz w:val="20"/>
        </w:rPr>
        <w:t>в</w:t>
      </w:r>
      <w:r w:rsidR="00DE0059" w:rsidRPr="00672B88">
        <w:rPr>
          <w:rFonts w:ascii="Arial" w:hAnsi="Arial" w:cs="Arial"/>
          <w:noProof/>
          <w:sz w:val="20"/>
        </w:rPr>
        <w:t xml:space="preserve"> селското стопанство. В заключение, </w:t>
      </w:r>
      <w:r w:rsidR="007601E6" w:rsidRPr="00672B88">
        <w:rPr>
          <w:rFonts w:ascii="Arial" w:hAnsi="Arial" w:cs="Arial"/>
          <w:noProof/>
          <w:sz w:val="20"/>
        </w:rPr>
        <w:t>те</w:t>
      </w:r>
      <w:r w:rsidR="00DE0059" w:rsidRPr="00672B88">
        <w:rPr>
          <w:rFonts w:ascii="Arial" w:hAnsi="Arial" w:cs="Arial"/>
          <w:noProof/>
          <w:sz w:val="20"/>
        </w:rPr>
        <w:t xml:space="preserve"> посочват, че ОСП е допринесла за повиш</w:t>
      </w:r>
      <w:r w:rsidR="007601E6" w:rsidRPr="00672B88">
        <w:rPr>
          <w:rFonts w:ascii="Arial" w:hAnsi="Arial" w:cs="Arial"/>
          <w:noProof/>
          <w:sz w:val="20"/>
        </w:rPr>
        <w:t xml:space="preserve">аване на амбициите на държавите </w:t>
      </w:r>
      <w:r w:rsidR="00DE0059" w:rsidRPr="00672B88">
        <w:rPr>
          <w:rFonts w:ascii="Arial" w:hAnsi="Arial" w:cs="Arial"/>
          <w:noProof/>
          <w:sz w:val="20"/>
        </w:rPr>
        <w:t>членки за опазване на биоразнообразие</w:t>
      </w:r>
      <w:r w:rsidR="007601E6" w:rsidRPr="00672B88">
        <w:rPr>
          <w:rFonts w:ascii="Arial" w:hAnsi="Arial" w:cs="Arial"/>
          <w:noProof/>
          <w:sz w:val="20"/>
        </w:rPr>
        <w:t>то</w:t>
      </w:r>
      <w:r w:rsidR="00DE0059" w:rsidRPr="00672B88">
        <w:rPr>
          <w:rFonts w:ascii="Arial" w:hAnsi="Arial" w:cs="Arial"/>
          <w:noProof/>
          <w:sz w:val="20"/>
        </w:rPr>
        <w:t>, ка</w:t>
      </w:r>
      <w:r w:rsidR="00716D24" w:rsidRPr="00672B88">
        <w:rPr>
          <w:rFonts w:ascii="Arial" w:hAnsi="Arial" w:cs="Arial"/>
          <w:noProof/>
          <w:sz w:val="20"/>
        </w:rPr>
        <w:t>к</w:t>
      </w:r>
      <w:r w:rsidR="00DE0059" w:rsidRPr="00672B88">
        <w:rPr>
          <w:rFonts w:ascii="Arial" w:hAnsi="Arial" w:cs="Arial"/>
          <w:noProof/>
          <w:sz w:val="20"/>
        </w:rPr>
        <w:t>то</w:t>
      </w:r>
      <w:r w:rsidR="00716D24" w:rsidRPr="00672B88">
        <w:rPr>
          <w:rFonts w:ascii="Arial" w:hAnsi="Arial" w:cs="Arial"/>
          <w:noProof/>
          <w:sz w:val="20"/>
        </w:rPr>
        <w:t xml:space="preserve"> и с</w:t>
      </w:r>
      <w:r w:rsidR="00DE0059" w:rsidRPr="00672B88">
        <w:rPr>
          <w:rFonts w:ascii="Arial" w:hAnsi="Arial" w:cs="Arial"/>
          <w:noProof/>
          <w:sz w:val="20"/>
        </w:rPr>
        <w:t xml:space="preserve"> осигурява</w:t>
      </w:r>
      <w:r w:rsidR="00716D24" w:rsidRPr="00672B88">
        <w:rPr>
          <w:rFonts w:ascii="Arial" w:hAnsi="Arial" w:cs="Arial"/>
          <w:noProof/>
          <w:sz w:val="20"/>
        </w:rPr>
        <w:t>не на</w:t>
      </w:r>
      <w:r w:rsidR="00DE0059" w:rsidRPr="00672B88">
        <w:rPr>
          <w:rFonts w:ascii="Arial" w:hAnsi="Arial" w:cs="Arial"/>
          <w:noProof/>
          <w:sz w:val="20"/>
        </w:rPr>
        <w:t xml:space="preserve"> финансиране за т</w:t>
      </w:r>
      <w:r w:rsidR="007601E6" w:rsidRPr="00672B88">
        <w:rPr>
          <w:rFonts w:ascii="Arial" w:hAnsi="Arial" w:cs="Arial"/>
          <w:noProof/>
          <w:sz w:val="20"/>
        </w:rPr>
        <w:t xml:space="preserve">ова, но трябва да се работи </w:t>
      </w:r>
      <w:r w:rsidR="00DE0059" w:rsidRPr="00672B88">
        <w:rPr>
          <w:rFonts w:ascii="Arial" w:hAnsi="Arial" w:cs="Arial"/>
          <w:noProof/>
          <w:sz w:val="20"/>
        </w:rPr>
        <w:t>за по-добро включване на биоразнообразието в решенията на държавите</w:t>
      </w:r>
      <w:r w:rsidR="007601E6" w:rsidRPr="00672B88">
        <w:rPr>
          <w:rFonts w:ascii="Arial" w:hAnsi="Arial" w:cs="Arial"/>
          <w:noProof/>
          <w:sz w:val="20"/>
        </w:rPr>
        <w:t xml:space="preserve"> </w:t>
      </w:r>
      <w:r w:rsidR="00DE0059" w:rsidRPr="00672B88">
        <w:rPr>
          <w:rFonts w:ascii="Arial" w:hAnsi="Arial" w:cs="Arial"/>
          <w:noProof/>
          <w:sz w:val="20"/>
        </w:rPr>
        <w:t xml:space="preserve">членки. Второто проучване „Оценка на въздействието на ОСП върху водните ресурси“  включва изследване на примери в 10 държави-членки (Германия, Испания, Франция, Унгария, Италия, Нидерландия, Австрия, Полша, Румъния и Финландия). </w:t>
      </w:r>
      <w:r w:rsidR="007601E6" w:rsidRPr="00672B88">
        <w:rPr>
          <w:rFonts w:ascii="Arial" w:hAnsi="Arial" w:cs="Arial"/>
          <w:noProof/>
          <w:sz w:val="20"/>
        </w:rPr>
        <w:t>Авторите взе</w:t>
      </w:r>
      <w:r w:rsidR="00DE0059" w:rsidRPr="00672B88">
        <w:rPr>
          <w:rFonts w:ascii="Arial" w:hAnsi="Arial" w:cs="Arial"/>
          <w:noProof/>
          <w:sz w:val="20"/>
        </w:rPr>
        <w:t>мат предвид както подпомагането</w:t>
      </w:r>
      <w:r w:rsidR="007601E6" w:rsidRPr="00672B88">
        <w:rPr>
          <w:rFonts w:ascii="Arial" w:hAnsi="Arial" w:cs="Arial"/>
          <w:noProof/>
          <w:sz w:val="20"/>
        </w:rPr>
        <w:t>,</w:t>
      </w:r>
      <w:r w:rsidR="00DE0059" w:rsidRPr="00672B88">
        <w:rPr>
          <w:rFonts w:ascii="Arial" w:hAnsi="Arial" w:cs="Arial"/>
          <w:noProof/>
          <w:sz w:val="20"/>
        </w:rPr>
        <w:t xml:space="preserve"> предоставяно </w:t>
      </w:r>
      <w:r w:rsidR="007601E6" w:rsidRPr="00672B88">
        <w:rPr>
          <w:rFonts w:ascii="Arial" w:hAnsi="Arial" w:cs="Arial"/>
          <w:noProof/>
          <w:sz w:val="20"/>
        </w:rPr>
        <w:t>по линия на</w:t>
      </w:r>
      <w:r w:rsidR="00DE0059" w:rsidRPr="00672B88">
        <w:rPr>
          <w:rFonts w:ascii="Arial" w:hAnsi="Arial" w:cs="Arial"/>
          <w:noProof/>
          <w:sz w:val="20"/>
        </w:rPr>
        <w:t xml:space="preserve"> директни</w:t>
      </w:r>
      <w:r w:rsidR="007601E6" w:rsidRPr="00672B88">
        <w:rPr>
          <w:rFonts w:ascii="Arial" w:hAnsi="Arial" w:cs="Arial"/>
          <w:noProof/>
          <w:sz w:val="20"/>
        </w:rPr>
        <w:t>те</w:t>
      </w:r>
      <w:r w:rsidR="00DE0059" w:rsidRPr="00672B88">
        <w:rPr>
          <w:rFonts w:ascii="Arial" w:hAnsi="Arial" w:cs="Arial"/>
          <w:noProof/>
          <w:sz w:val="20"/>
        </w:rPr>
        <w:t xml:space="preserve"> плащания, така и </w:t>
      </w:r>
      <w:r w:rsidR="00716D24" w:rsidRPr="00672B88">
        <w:rPr>
          <w:rFonts w:ascii="Arial" w:hAnsi="Arial" w:cs="Arial"/>
          <w:noProof/>
          <w:sz w:val="20"/>
        </w:rPr>
        <w:t>това по П</w:t>
      </w:r>
      <w:r w:rsidR="007601E6" w:rsidRPr="00672B88">
        <w:rPr>
          <w:rFonts w:ascii="Arial" w:hAnsi="Arial" w:cs="Arial"/>
          <w:noProof/>
          <w:sz w:val="20"/>
        </w:rPr>
        <w:t xml:space="preserve">рограмите </w:t>
      </w:r>
      <w:r w:rsidR="00DE0059" w:rsidRPr="00672B88">
        <w:rPr>
          <w:rFonts w:ascii="Arial" w:hAnsi="Arial" w:cs="Arial"/>
          <w:noProof/>
          <w:sz w:val="20"/>
        </w:rPr>
        <w:t xml:space="preserve">за развитие на селските райони. По отношение на директните плащания, авторите препоръчват да се смени фокуса на подпомагането, като бъде насочено към стопаните със занижени печалби, които </w:t>
      </w:r>
      <w:r w:rsidR="000A588F" w:rsidRPr="00672B88">
        <w:rPr>
          <w:rFonts w:ascii="Arial" w:hAnsi="Arial" w:cs="Arial"/>
          <w:noProof/>
          <w:sz w:val="20"/>
        </w:rPr>
        <w:t>извършват екологични практики в</w:t>
      </w:r>
      <w:r w:rsidR="00DE0059" w:rsidRPr="00672B88">
        <w:rPr>
          <w:rFonts w:ascii="Arial" w:hAnsi="Arial" w:cs="Arial"/>
          <w:noProof/>
          <w:sz w:val="20"/>
        </w:rPr>
        <w:t xml:space="preserve"> полза за околната среда и водните ресурси. Също така, препоръчва преразглеждане на критериите за допустимост за обвързана подкрепа по начин, който да осигури достатъчно пасища за подпомаганите животни</w:t>
      </w:r>
      <w:r w:rsidR="000A588F" w:rsidRPr="00672B88">
        <w:rPr>
          <w:rFonts w:ascii="Arial" w:hAnsi="Arial" w:cs="Arial"/>
          <w:noProof/>
          <w:sz w:val="20"/>
        </w:rPr>
        <w:t>. По този начин ще</w:t>
      </w:r>
      <w:r w:rsidR="00DE0059" w:rsidRPr="00672B88">
        <w:rPr>
          <w:rFonts w:ascii="Arial" w:hAnsi="Arial" w:cs="Arial"/>
          <w:noProof/>
          <w:sz w:val="20"/>
        </w:rPr>
        <w:t xml:space="preserve"> се намали натоварването с хранителни вещества </w:t>
      </w:r>
      <w:r w:rsidR="000A588F" w:rsidRPr="00672B88">
        <w:rPr>
          <w:rFonts w:ascii="Arial" w:hAnsi="Arial" w:cs="Arial"/>
          <w:noProof/>
          <w:sz w:val="20"/>
        </w:rPr>
        <w:t>на</w:t>
      </w:r>
      <w:r w:rsidR="00DE0059" w:rsidRPr="00672B88">
        <w:rPr>
          <w:rFonts w:ascii="Arial" w:hAnsi="Arial" w:cs="Arial"/>
          <w:noProof/>
          <w:sz w:val="20"/>
        </w:rPr>
        <w:t xml:space="preserve"> ползваните водоеми. </w:t>
      </w:r>
      <w:r w:rsidR="00C123C1" w:rsidRPr="00672B88">
        <w:rPr>
          <w:rFonts w:ascii="Arial" w:hAnsi="Arial" w:cs="Arial"/>
          <w:noProof/>
          <w:sz w:val="20"/>
        </w:rPr>
        <w:t>В д</w:t>
      </w:r>
      <w:r w:rsidR="00DE0059" w:rsidRPr="00672B88">
        <w:rPr>
          <w:rFonts w:ascii="Arial" w:hAnsi="Arial" w:cs="Arial"/>
          <w:noProof/>
          <w:sz w:val="20"/>
        </w:rPr>
        <w:t xml:space="preserve">руга препоръка </w:t>
      </w:r>
      <w:r w:rsidR="00C123C1" w:rsidRPr="00672B88">
        <w:rPr>
          <w:rFonts w:ascii="Arial" w:hAnsi="Arial" w:cs="Arial"/>
          <w:noProof/>
          <w:sz w:val="20"/>
        </w:rPr>
        <w:t xml:space="preserve">се </w:t>
      </w:r>
      <w:r w:rsidR="00DE0059" w:rsidRPr="00672B88">
        <w:rPr>
          <w:rFonts w:ascii="Arial" w:hAnsi="Arial" w:cs="Arial"/>
          <w:noProof/>
          <w:sz w:val="20"/>
        </w:rPr>
        <w:t xml:space="preserve">настоява за пълна забрана (без изключения) на употребата на пестициди върху буферните ивици, както и повече внимание на икономията на вода. По отношение на мерките от Програмите за развитие на селските райони, насочени към опазване на природните ресурси и климата, екипът изследователи </w:t>
      </w:r>
      <w:r w:rsidR="00A12E16" w:rsidRPr="00672B88">
        <w:rPr>
          <w:rFonts w:ascii="Arial" w:hAnsi="Arial" w:cs="Arial"/>
          <w:noProof/>
          <w:sz w:val="20"/>
        </w:rPr>
        <w:t>прави заключение</w:t>
      </w:r>
      <w:r w:rsidR="00DE0059" w:rsidRPr="00672B88">
        <w:rPr>
          <w:rFonts w:ascii="Arial" w:hAnsi="Arial" w:cs="Arial"/>
          <w:noProof/>
          <w:sz w:val="20"/>
        </w:rPr>
        <w:t xml:space="preserve">, че много малка част </w:t>
      </w:r>
      <w:r w:rsidR="00755C8A" w:rsidRPr="00672B88">
        <w:rPr>
          <w:rFonts w:ascii="Arial" w:hAnsi="Arial" w:cs="Arial"/>
          <w:noProof/>
          <w:sz w:val="20"/>
        </w:rPr>
        <w:t>от тези мерки подкрепят действия</w:t>
      </w:r>
      <w:r w:rsidR="00DE0059" w:rsidRPr="00672B88">
        <w:rPr>
          <w:rFonts w:ascii="Arial" w:hAnsi="Arial" w:cs="Arial"/>
          <w:noProof/>
          <w:sz w:val="20"/>
        </w:rPr>
        <w:t>, които са директно насочени към проблеми, свързани с качеството или количеството на водата. Повече информация относно препоръките от двете проучвания, може</w:t>
      </w:r>
      <w:r w:rsidR="00755C8A" w:rsidRPr="00672B88">
        <w:rPr>
          <w:rFonts w:ascii="Arial" w:hAnsi="Arial" w:cs="Arial"/>
          <w:noProof/>
          <w:sz w:val="20"/>
        </w:rPr>
        <w:t>те да прочетете</w:t>
      </w:r>
      <w:r w:rsidR="00DE0059" w:rsidRPr="00672B88">
        <w:rPr>
          <w:rFonts w:ascii="Arial" w:hAnsi="Arial" w:cs="Arial"/>
          <w:noProof/>
          <w:sz w:val="20"/>
        </w:rPr>
        <w:t xml:space="preserve"> в Приложение 1</w:t>
      </w:r>
      <w:r w:rsidR="00B55F76" w:rsidRPr="00672B88">
        <w:rPr>
          <w:rFonts w:ascii="Arial" w:hAnsi="Arial" w:cs="Arial"/>
          <w:noProof/>
          <w:sz w:val="20"/>
        </w:rPr>
        <w:t xml:space="preserve"> и Приложение 2</w:t>
      </w:r>
      <w:r w:rsidR="00DE0059" w:rsidRPr="00672B88">
        <w:rPr>
          <w:rFonts w:ascii="Arial" w:hAnsi="Arial" w:cs="Arial"/>
          <w:noProof/>
          <w:sz w:val="20"/>
        </w:rPr>
        <w:t xml:space="preserve">. </w:t>
      </w:r>
    </w:p>
    <w:p w:rsidR="00DE0059" w:rsidRPr="00672B88" w:rsidRDefault="00DE0059" w:rsidP="00DE00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longtext"/>
          <w:rFonts w:ascii="Arial" w:hAnsi="Arial" w:cs="Arial"/>
          <w:b/>
          <w:noProof/>
          <w:sz w:val="20"/>
        </w:rPr>
      </w:pPr>
    </w:p>
    <w:p w:rsidR="00DE0059" w:rsidRPr="00672B88" w:rsidRDefault="00BE3B93" w:rsidP="00DE0059">
      <w:pPr>
        <w:jc w:val="both"/>
        <w:rPr>
          <w:rFonts w:ascii="Arial" w:hAnsi="Arial" w:cs="Arial"/>
          <w:noProof/>
          <w:sz w:val="20"/>
        </w:rPr>
      </w:pPr>
      <w:r w:rsidRPr="00672B88">
        <w:rPr>
          <w:rStyle w:val="longtext"/>
          <w:rFonts w:ascii="Arial" w:hAnsi="Arial" w:cs="Arial"/>
          <w:b/>
          <w:noProof/>
          <w:sz w:val="20"/>
        </w:rPr>
        <w:t>4</w:t>
      </w:r>
      <w:r w:rsidR="00DE0059" w:rsidRPr="00672B88">
        <w:rPr>
          <w:rStyle w:val="longtext"/>
          <w:rFonts w:ascii="Arial" w:hAnsi="Arial" w:cs="Arial"/>
          <w:b/>
          <w:noProof/>
          <w:sz w:val="20"/>
        </w:rPr>
        <w:t xml:space="preserve">. </w:t>
      </w:r>
      <w:r w:rsidR="00DE0059" w:rsidRPr="00672B88">
        <w:rPr>
          <w:rFonts w:ascii="Arial" w:hAnsi="Arial" w:cs="Arial"/>
          <w:b/>
          <w:noProof/>
          <w:sz w:val="20"/>
        </w:rPr>
        <w:t xml:space="preserve">Генералният директор на Организацията на ООН за земеделие и прехрана (ФАО) Ку Донгю призова ръководителите на Г-20 да предприемат действия, за да гарантират, че глобалните хранителни системи ще продължат да работят добре, осигурявайки достъп до храна на най-бедните и уязвимите по време на настоящата пандемия. </w:t>
      </w:r>
      <w:r w:rsidR="00DE0059" w:rsidRPr="00672B88">
        <w:rPr>
          <w:rFonts w:ascii="Arial" w:hAnsi="Arial" w:cs="Arial"/>
          <w:noProof/>
          <w:sz w:val="20"/>
        </w:rPr>
        <w:t xml:space="preserve">На извънредната виртуална среща на върха на лидерите на най-големите световни икономики, проведена в Рим на 26 март, </w:t>
      </w:r>
      <w:r w:rsidR="009C043C" w:rsidRPr="00672B88">
        <w:rPr>
          <w:rFonts w:ascii="Arial" w:hAnsi="Arial" w:cs="Arial"/>
          <w:noProof/>
          <w:sz w:val="20"/>
        </w:rPr>
        <w:t>генералният директор на ФАО</w:t>
      </w:r>
      <w:r w:rsidR="00DE0059" w:rsidRPr="00672B88">
        <w:rPr>
          <w:rFonts w:ascii="Arial" w:hAnsi="Arial" w:cs="Arial"/>
          <w:noProof/>
          <w:sz w:val="20"/>
        </w:rPr>
        <w:t xml:space="preserve"> заяви, че пандемията „засяга хранителните системи и всички измерения на продоволствена сигурност в целия свят. Никоя страна не е имунизирана. Необходимо е производство и наличие на разнообразна, безопасна и питателна храна за всички. Блокирането и ограниченията на движение</w:t>
      </w:r>
      <w:r w:rsidR="009C043C" w:rsidRPr="00672B88">
        <w:rPr>
          <w:rFonts w:ascii="Arial" w:hAnsi="Arial" w:cs="Arial"/>
          <w:noProof/>
          <w:sz w:val="20"/>
        </w:rPr>
        <w:t>то</w:t>
      </w:r>
      <w:r w:rsidR="00DE0059" w:rsidRPr="00672B88">
        <w:rPr>
          <w:rFonts w:ascii="Arial" w:hAnsi="Arial" w:cs="Arial"/>
          <w:noProof/>
          <w:sz w:val="20"/>
        </w:rPr>
        <w:t xml:space="preserve"> могат да нарушат производството, преработката, разпространението и продажбите на храни“. Според него "бедните и уязвимите ще бъдат най-тежко засегнати" следователно „правителствата трябва да засилят механизмите за социална сигурност, за да поддържат достъпа им до храна“. „Световните пазари на храни са доста снабдени, но безпокойството нараства“, допълни той. „Наложително е да се вземат мерки за осигуряване на непрекъснат прозрачен, стабилен и надежден източник на доставк</w:t>
      </w:r>
      <w:r w:rsidR="009C043C" w:rsidRPr="00672B88">
        <w:rPr>
          <w:rFonts w:ascii="Arial" w:hAnsi="Arial" w:cs="Arial"/>
          <w:noProof/>
          <w:sz w:val="20"/>
        </w:rPr>
        <w:t>и</w:t>
      </w:r>
      <w:r w:rsidR="00DE0059" w:rsidRPr="00672B88">
        <w:rPr>
          <w:rFonts w:ascii="Arial" w:hAnsi="Arial" w:cs="Arial"/>
          <w:noProof/>
          <w:sz w:val="20"/>
        </w:rPr>
        <w:t>“. Ку Донгю напомни на лидерите, че световната ценова криза на храните през 2007/2008 г. е предизвикала ограничения за износа от някои страни, а други са внасяли агресивно, допринасяйки за прекомерната нестабил</w:t>
      </w:r>
      <w:r w:rsidR="009C043C" w:rsidRPr="00672B88">
        <w:rPr>
          <w:rFonts w:ascii="Arial" w:hAnsi="Arial" w:cs="Arial"/>
          <w:noProof/>
          <w:sz w:val="20"/>
        </w:rPr>
        <w:t>ност на цените, вредна</w:t>
      </w:r>
      <w:r w:rsidR="00DE0059" w:rsidRPr="00672B88">
        <w:rPr>
          <w:rFonts w:ascii="Arial" w:hAnsi="Arial" w:cs="Arial"/>
          <w:noProof/>
          <w:sz w:val="20"/>
        </w:rPr>
        <w:t xml:space="preserve"> за страните с ниски доходи и хранителен дефицит. „Трябва да сме сигурни, че търговията със селскостопански продукти ще продължава да играе своята важна роля, допринасяйки за глобалната продоволствена сигурност и по-доброто хранене. Сега, повече от всякога, трябва да намалим несигурността и да засилим прозрачността на пазара чрез навременна и достоверна информация.“</w:t>
      </w:r>
    </w:p>
    <w:p w:rsidR="00DE0059" w:rsidRPr="00672B88" w:rsidRDefault="00DE0059" w:rsidP="00DE0059">
      <w:pPr>
        <w:jc w:val="both"/>
        <w:rPr>
          <w:rFonts w:ascii="Arial" w:hAnsi="Arial" w:cs="Arial"/>
          <w:noProof/>
          <w:sz w:val="20"/>
        </w:rPr>
      </w:pPr>
    </w:p>
    <w:p w:rsidR="00DE0059" w:rsidRPr="00672B88" w:rsidRDefault="00DE0059" w:rsidP="00DE0059">
      <w:pPr>
        <w:jc w:val="both"/>
        <w:rPr>
          <w:rFonts w:ascii="Arial" w:hAnsi="Arial" w:cs="Arial"/>
          <w:noProof/>
          <w:sz w:val="20"/>
        </w:rPr>
      </w:pPr>
      <w:r w:rsidRPr="00672B88">
        <w:rPr>
          <w:rFonts w:ascii="Arial" w:hAnsi="Arial" w:cs="Arial"/>
          <w:noProof/>
          <w:sz w:val="20"/>
        </w:rPr>
        <w:t xml:space="preserve"> </w:t>
      </w:r>
    </w:p>
    <w:p w:rsidR="00DE0059" w:rsidRPr="00672B88" w:rsidRDefault="00DE0059" w:rsidP="00DE0059">
      <w:pPr>
        <w:jc w:val="center"/>
        <w:rPr>
          <w:rStyle w:val="longtext"/>
          <w:rFonts w:ascii="Arial" w:hAnsi="Arial" w:cs="Arial"/>
          <w:b/>
          <w:noProof/>
          <w:sz w:val="20"/>
        </w:rPr>
      </w:pPr>
    </w:p>
    <w:p w:rsidR="00DE0059" w:rsidRPr="00672B88" w:rsidRDefault="00DE0059" w:rsidP="00DE0059">
      <w:pPr>
        <w:jc w:val="center"/>
        <w:rPr>
          <w:rStyle w:val="longtext"/>
          <w:rFonts w:ascii="Arial" w:hAnsi="Arial" w:cs="Arial"/>
          <w:b/>
          <w:noProof/>
          <w:sz w:val="20"/>
        </w:rPr>
      </w:pPr>
    </w:p>
    <w:p w:rsidR="00DE0059" w:rsidRPr="00672B88" w:rsidRDefault="00DE0059" w:rsidP="00DE0059">
      <w:pPr>
        <w:jc w:val="center"/>
        <w:rPr>
          <w:rStyle w:val="longtext"/>
          <w:rFonts w:ascii="Arial" w:hAnsi="Arial" w:cs="Arial"/>
          <w:b/>
          <w:noProof/>
          <w:sz w:val="20"/>
        </w:rPr>
      </w:pPr>
    </w:p>
    <w:p w:rsidR="00DE0059" w:rsidRPr="00672B88" w:rsidRDefault="00DE0059" w:rsidP="00DE0059">
      <w:pPr>
        <w:jc w:val="center"/>
        <w:rPr>
          <w:rStyle w:val="longtext"/>
          <w:rFonts w:ascii="Arial" w:hAnsi="Arial" w:cs="Arial"/>
          <w:b/>
          <w:noProof/>
          <w:sz w:val="20"/>
        </w:rPr>
      </w:pPr>
    </w:p>
    <w:p w:rsidR="00DE0059" w:rsidRPr="00672B88" w:rsidRDefault="00DE0059" w:rsidP="00DE0059">
      <w:pPr>
        <w:jc w:val="center"/>
        <w:rPr>
          <w:rStyle w:val="longtext"/>
          <w:rFonts w:ascii="Arial" w:hAnsi="Arial" w:cs="Arial"/>
          <w:b/>
          <w:noProof/>
          <w:sz w:val="20"/>
        </w:rPr>
      </w:pPr>
    </w:p>
    <w:p w:rsidR="00DE0059" w:rsidRPr="00672B88" w:rsidRDefault="00DE0059" w:rsidP="00DE0059">
      <w:pPr>
        <w:jc w:val="center"/>
        <w:rPr>
          <w:rStyle w:val="longtext"/>
          <w:rFonts w:ascii="Arial" w:hAnsi="Arial" w:cs="Arial"/>
          <w:b/>
          <w:noProof/>
          <w:sz w:val="20"/>
        </w:rPr>
      </w:pPr>
    </w:p>
    <w:p w:rsidR="00DE0059" w:rsidRPr="00672B88" w:rsidRDefault="00DE0059" w:rsidP="00DE0059">
      <w:pPr>
        <w:jc w:val="center"/>
        <w:rPr>
          <w:rStyle w:val="longtext"/>
          <w:rFonts w:ascii="Arial" w:hAnsi="Arial" w:cs="Arial"/>
          <w:b/>
          <w:noProof/>
          <w:sz w:val="20"/>
        </w:rPr>
      </w:pPr>
    </w:p>
    <w:p w:rsidR="00672B88" w:rsidRPr="00672B88" w:rsidRDefault="00672B88" w:rsidP="00DE0059">
      <w:pPr>
        <w:jc w:val="center"/>
        <w:rPr>
          <w:rStyle w:val="longtext"/>
          <w:rFonts w:ascii="Arial" w:hAnsi="Arial" w:cs="Arial"/>
          <w:b/>
          <w:noProof/>
          <w:sz w:val="20"/>
        </w:rPr>
      </w:pPr>
    </w:p>
    <w:p w:rsidR="00672B88" w:rsidRPr="00672B88" w:rsidRDefault="00672B88" w:rsidP="00DE0059">
      <w:pPr>
        <w:jc w:val="center"/>
        <w:rPr>
          <w:rStyle w:val="longtext"/>
          <w:rFonts w:ascii="Arial" w:hAnsi="Arial" w:cs="Arial"/>
          <w:b/>
          <w:noProof/>
          <w:sz w:val="20"/>
        </w:rPr>
      </w:pPr>
    </w:p>
    <w:p w:rsidR="00672B88" w:rsidRPr="00672B88" w:rsidRDefault="00672B88" w:rsidP="00DE0059">
      <w:pPr>
        <w:jc w:val="center"/>
        <w:rPr>
          <w:rStyle w:val="longtext"/>
          <w:rFonts w:ascii="Arial" w:hAnsi="Arial" w:cs="Arial"/>
          <w:b/>
          <w:noProof/>
          <w:sz w:val="20"/>
        </w:rPr>
      </w:pPr>
    </w:p>
    <w:p w:rsidR="00DE0059" w:rsidRPr="00672B88" w:rsidRDefault="00DE0059" w:rsidP="00DE0059">
      <w:pPr>
        <w:jc w:val="center"/>
        <w:rPr>
          <w:rStyle w:val="longtext"/>
          <w:rFonts w:ascii="Arial" w:hAnsi="Arial" w:cs="Arial"/>
          <w:b/>
          <w:noProof/>
          <w:sz w:val="20"/>
        </w:rPr>
      </w:pPr>
    </w:p>
    <w:p w:rsidR="00DE0059" w:rsidRPr="00672B88" w:rsidRDefault="00DE0059" w:rsidP="00DE0059">
      <w:pPr>
        <w:jc w:val="center"/>
        <w:rPr>
          <w:rStyle w:val="longtext"/>
          <w:rFonts w:ascii="Arial" w:hAnsi="Arial" w:cs="Arial"/>
          <w:b/>
          <w:noProof/>
          <w:sz w:val="20"/>
        </w:rPr>
      </w:pPr>
    </w:p>
    <w:p w:rsidR="00DE0059" w:rsidRPr="00672B88" w:rsidRDefault="00DE0059" w:rsidP="00DE0059">
      <w:pPr>
        <w:jc w:val="center"/>
        <w:rPr>
          <w:rStyle w:val="longtext"/>
          <w:rFonts w:ascii="Arial" w:hAnsi="Arial" w:cs="Arial"/>
          <w:b/>
          <w:noProof/>
          <w:sz w:val="20"/>
        </w:rPr>
      </w:pPr>
    </w:p>
    <w:p w:rsidR="00DE0059" w:rsidRPr="00672B88" w:rsidRDefault="00DE0059" w:rsidP="00DE0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right"/>
        <w:rPr>
          <w:rFonts w:ascii="Arial" w:hAnsi="Arial" w:cs="Arial"/>
          <w:b/>
          <w:i/>
          <w:noProof/>
          <w:color w:val="222222"/>
          <w:sz w:val="20"/>
          <w:u w:val="single"/>
          <w:lang w:eastAsia="bg-BG"/>
        </w:rPr>
      </w:pPr>
      <w:r w:rsidRPr="00672B88">
        <w:rPr>
          <w:rFonts w:ascii="Arial" w:hAnsi="Arial" w:cs="Arial"/>
          <w:b/>
          <w:i/>
          <w:noProof/>
          <w:color w:val="222222"/>
          <w:sz w:val="20"/>
          <w:u w:val="single"/>
          <w:lang w:eastAsia="bg-BG"/>
        </w:rPr>
        <w:lastRenderedPageBreak/>
        <w:t xml:space="preserve">Приложение </w:t>
      </w:r>
      <w:r w:rsidR="009C043C" w:rsidRPr="00672B88">
        <w:rPr>
          <w:rFonts w:ascii="Arial" w:hAnsi="Arial" w:cs="Arial"/>
          <w:b/>
          <w:i/>
          <w:noProof/>
          <w:color w:val="222222"/>
          <w:sz w:val="20"/>
          <w:u w:val="single"/>
          <w:lang w:eastAsia="bg-BG"/>
        </w:rPr>
        <w:t>1</w:t>
      </w:r>
    </w:p>
    <w:p w:rsidR="00DE0059" w:rsidRPr="00672B88" w:rsidRDefault="00DE0059" w:rsidP="00DE0059">
      <w:pPr>
        <w:jc w:val="both"/>
        <w:rPr>
          <w:rStyle w:val="longtext"/>
          <w:rFonts w:ascii="Arial" w:hAnsi="Arial" w:cs="Arial"/>
          <w:noProof/>
          <w:sz w:val="20"/>
        </w:rPr>
      </w:pPr>
    </w:p>
    <w:p w:rsidR="00DE0059" w:rsidRPr="00672B88" w:rsidRDefault="00DE0059" w:rsidP="00C00E01">
      <w:pPr>
        <w:jc w:val="center"/>
        <w:rPr>
          <w:rStyle w:val="longtext"/>
          <w:rFonts w:ascii="Arial" w:hAnsi="Arial" w:cs="Arial"/>
          <w:noProof/>
          <w:sz w:val="20"/>
          <w:u w:val="single"/>
        </w:rPr>
      </w:pPr>
      <w:r w:rsidRPr="00672B88">
        <w:rPr>
          <w:rStyle w:val="longtext"/>
          <w:rFonts w:ascii="Arial" w:hAnsi="Arial" w:cs="Arial"/>
          <w:b/>
          <w:noProof/>
          <w:sz w:val="20"/>
        </w:rPr>
        <w:t>Допълнителна информация относно проучване</w:t>
      </w:r>
      <w:r w:rsidR="008828E2" w:rsidRPr="00672B88">
        <w:rPr>
          <w:rStyle w:val="longtext"/>
          <w:rFonts w:ascii="Arial" w:hAnsi="Arial" w:cs="Arial"/>
          <w:b/>
          <w:noProof/>
          <w:sz w:val="20"/>
        </w:rPr>
        <w:t>то на тема</w:t>
      </w:r>
      <w:r w:rsidRPr="00672B88">
        <w:rPr>
          <w:rStyle w:val="longtext"/>
          <w:rFonts w:ascii="Arial" w:hAnsi="Arial" w:cs="Arial"/>
          <w:b/>
          <w:noProof/>
          <w:sz w:val="20"/>
        </w:rPr>
        <w:t xml:space="preserve"> „Оценка на въздейстивето на ОСП върху хабитатите, пе</w:t>
      </w:r>
      <w:r w:rsidR="008828E2" w:rsidRPr="00672B88">
        <w:rPr>
          <w:rStyle w:val="longtext"/>
          <w:rFonts w:ascii="Arial" w:hAnsi="Arial" w:cs="Arial"/>
          <w:b/>
          <w:noProof/>
          <w:sz w:val="20"/>
        </w:rPr>
        <w:t>й</w:t>
      </w:r>
      <w:r w:rsidRPr="00672B88">
        <w:rPr>
          <w:rStyle w:val="longtext"/>
          <w:rFonts w:ascii="Arial" w:hAnsi="Arial" w:cs="Arial"/>
          <w:b/>
          <w:noProof/>
          <w:sz w:val="20"/>
        </w:rPr>
        <w:t xml:space="preserve">зажите и биоразнообразието“ </w:t>
      </w:r>
    </w:p>
    <w:p w:rsidR="00C00E01" w:rsidRPr="00672B88" w:rsidRDefault="00C00E01" w:rsidP="00DE0059">
      <w:pPr>
        <w:jc w:val="both"/>
        <w:rPr>
          <w:rStyle w:val="longtext"/>
          <w:rFonts w:ascii="Arial" w:hAnsi="Arial" w:cs="Arial"/>
          <w:noProof/>
          <w:sz w:val="20"/>
        </w:rPr>
      </w:pPr>
    </w:p>
    <w:p w:rsidR="0066078E" w:rsidRPr="00672B88" w:rsidRDefault="00DE0059" w:rsidP="0066078E">
      <w:pPr>
        <w:spacing w:after="120"/>
        <w:jc w:val="both"/>
        <w:rPr>
          <w:rStyle w:val="longtext"/>
          <w:rFonts w:ascii="Arial" w:hAnsi="Arial" w:cs="Arial"/>
          <w:noProof/>
          <w:sz w:val="20"/>
        </w:rPr>
      </w:pPr>
      <w:r w:rsidRPr="00672B88">
        <w:rPr>
          <w:rStyle w:val="longtext"/>
          <w:rFonts w:ascii="Arial" w:hAnsi="Arial" w:cs="Arial"/>
          <w:noProof/>
          <w:sz w:val="20"/>
        </w:rPr>
        <w:t>Проучването посочва, че решенията, които държавите</w:t>
      </w:r>
      <w:r w:rsidR="003B1A8B" w:rsidRPr="00672B88">
        <w:rPr>
          <w:rStyle w:val="longtext"/>
          <w:rFonts w:ascii="Arial" w:hAnsi="Arial" w:cs="Arial"/>
          <w:noProof/>
          <w:sz w:val="20"/>
        </w:rPr>
        <w:t xml:space="preserve">  членки взе</w:t>
      </w:r>
      <w:r w:rsidRPr="00672B88">
        <w:rPr>
          <w:rStyle w:val="longtext"/>
          <w:rFonts w:ascii="Arial" w:hAnsi="Arial" w:cs="Arial"/>
          <w:noProof/>
          <w:sz w:val="20"/>
        </w:rPr>
        <w:t>мат на национално ниво по отношение прилагането на ОСП, са мотивирани предимно от социално-икономически, финансови и административни фактори, като биоразнообразието и други екологични цели често остават от „второстепенно значение“. Проучването</w:t>
      </w:r>
      <w:r w:rsidR="003B1A8B" w:rsidRPr="00672B88">
        <w:rPr>
          <w:rStyle w:val="longtext"/>
          <w:rFonts w:ascii="Arial" w:hAnsi="Arial" w:cs="Arial"/>
          <w:noProof/>
          <w:sz w:val="20"/>
        </w:rPr>
        <w:t xml:space="preserve"> е проведено в периода декември 2018 г. – ноември</w:t>
      </w:r>
      <w:r w:rsidRPr="00672B88">
        <w:rPr>
          <w:rStyle w:val="longtext"/>
          <w:rFonts w:ascii="Arial" w:hAnsi="Arial" w:cs="Arial"/>
          <w:noProof/>
          <w:sz w:val="20"/>
        </w:rPr>
        <w:t xml:space="preserve"> 2019 г., като са изследвани случаи в 10 държави-членки (Германия, Ирландия, Франция, Хърватска, Унгария, Латвия, Нидерландия, Португалия, Румъния и Словакия). Целта на проучването е да се извърши оценка на „положителното и отрицателното, директното и косвено</w:t>
      </w:r>
      <w:r w:rsidR="00716D24" w:rsidRPr="00672B88">
        <w:rPr>
          <w:rStyle w:val="longtext"/>
          <w:rFonts w:ascii="Arial" w:hAnsi="Arial" w:cs="Arial"/>
          <w:noProof/>
          <w:sz w:val="20"/>
        </w:rPr>
        <w:t>тото</w:t>
      </w:r>
      <w:r w:rsidRPr="00672B88">
        <w:rPr>
          <w:rStyle w:val="longtext"/>
          <w:rFonts w:ascii="Arial" w:hAnsi="Arial" w:cs="Arial"/>
          <w:noProof/>
          <w:sz w:val="20"/>
        </w:rPr>
        <w:t xml:space="preserve"> въздействие на ОСП 2014-2020 върху биоразнообразието, хабитатите и пейзажите в райони, които са под директното въздействие на ОСП“. Проучването също </w:t>
      </w:r>
      <w:r w:rsidR="0041186E" w:rsidRPr="00672B88">
        <w:rPr>
          <w:rStyle w:val="longtext"/>
          <w:rFonts w:ascii="Arial" w:hAnsi="Arial" w:cs="Arial"/>
          <w:noProof/>
          <w:sz w:val="20"/>
        </w:rPr>
        <w:t xml:space="preserve">така </w:t>
      </w:r>
      <w:r w:rsidRPr="00672B88">
        <w:rPr>
          <w:rStyle w:val="longtext"/>
          <w:rFonts w:ascii="Arial" w:hAnsi="Arial" w:cs="Arial"/>
          <w:noProof/>
          <w:sz w:val="20"/>
        </w:rPr>
        <w:t>изследва по какъв начин ОСП допринася за изпълнение</w:t>
      </w:r>
      <w:r w:rsidR="0041186E" w:rsidRPr="00672B88">
        <w:rPr>
          <w:rStyle w:val="longtext"/>
          <w:rFonts w:ascii="Arial" w:hAnsi="Arial" w:cs="Arial"/>
          <w:noProof/>
          <w:sz w:val="20"/>
        </w:rPr>
        <w:t>то</w:t>
      </w:r>
      <w:r w:rsidRPr="00672B88">
        <w:rPr>
          <w:rStyle w:val="longtext"/>
          <w:rFonts w:ascii="Arial" w:hAnsi="Arial" w:cs="Arial"/>
          <w:noProof/>
          <w:sz w:val="20"/>
        </w:rPr>
        <w:t xml:space="preserve"> на Стратегията за биоразнообразие</w:t>
      </w:r>
      <w:r w:rsidR="0041186E" w:rsidRPr="00672B88">
        <w:rPr>
          <w:rStyle w:val="longtext"/>
          <w:rFonts w:ascii="Arial" w:hAnsi="Arial" w:cs="Arial"/>
          <w:noProof/>
          <w:sz w:val="20"/>
        </w:rPr>
        <w:t>то</w:t>
      </w:r>
      <w:r w:rsidRPr="00672B88">
        <w:rPr>
          <w:rStyle w:val="longtext"/>
          <w:rFonts w:ascii="Arial" w:hAnsi="Arial" w:cs="Arial"/>
          <w:noProof/>
          <w:sz w:val="20"/>
        </w:rPr>
        <w:t xml:space="preserve"> към 2020, особено по отношение на цел 3  „Подобряване на приноса на селското</w:t>
      </w:r>
      <w:r w:rsidR="0041186E" w:rsidRPr="00672B88">
        <w:rPr>
          <w:rStyle w:val="longtext"/>
          <w:rFonts w:ascii="Arial" w:hAnsi="Arial" w:cs="Arial"/>
          <w:noProof/>
          <w:sz w:val="20"/>
        </w:rPr>
        <w:t xml:space="preserve"> </w:t>
      </w:r>
      <w:r w:rsidRPr="00672B88">
        <w:rPr>
          <w:rStyle w:val="longtext"/>
          <w:rFonts w:ascii="Arial" w:hAnsi="Arial" w:cs="Arial"/>
          <w:noProof/>
          <w:sz w:val="20"/>
        </w:rPr>
        <w:t xml:space="preserve"> и горско</w:t>
      </w:r>
      <w:r w:rsidR="0041186E" w:rsidRPr="00672B88">
        <w:rPr>
          <w:rStyle w:val="longtext"/>
          <w:rFonts w:ascii="Arial" w:hAnsi="Arial" w:cs="Arial"/>
          <w:noProof/>
          <w:sz w:val="20"/>
        </w:rPr>
        <w:t>то</w:t>
      </w:r>
      <w:r w:rsidRPr="00672B88">
        <w:rPr>
          <w:rStyle w:val="longtext"/>
          <w:rFonts w:ascii="Arial" w:hAnsi="Arial" w:cs="Arial"/>
          <w:noProof/>
          <w:sz w:val="20"/>
        </w:rPr>
        <w:t xml:space="preserve"> стопанства към опазване на б</w:t>
      </w:r>
      <w:r w:rsidR="0041186E" w:rsidRPr="00672B88">
        <w:rPr>
          <w:rStyle w:val="longtext"/>
          <w:rFonts w:ascii="Arial" w:hAnsi="Arial" w:cs="Arial"/>
          <w:noProof/>
          <w:sz w:val="20"/>
        </w:rPr>
        <w:t>иоразнообразието“. От 179 млн. х</w:t>
      </w:r>
      <w:r w:rsidRPr="00672B88">
        <w:rPr>
          <w:rStyle w:val="longtext"/>
          <w:rFonts w:ascii="Arial" w:hAnsi="Arial" w:cs="Arial"/>
          <w:noProof/>
          <w:sz w:val="20"/>
        </w:rPr>
        <w:t>ектара използвана земеделска</w:t>
      </w:r>
      <w:r w:rsidR="0041186E" w:rsidRPr="00672B88">
        <w:rPr>
          <w:rStyle w:val="longtext"/>
          <w:rFonts w:ascii="Arial" w:hAnsi="Arial" w:cs="Arial"/>
          <w:noProof/>
          <w:sz w:val="20"/>
        </w:rPr>
        <w:t xml:space="preserve"> площ в ЕС през 2017, за 155 млн. х</w:t>
      </w:r>
      <w:r w:rsidRPr="00672B88">
        <w:rPr>
          <w:rStyle w:val="longtext"/>
          <w:rFonts w:ascii="Arial" w:hAnsi="Arial" w:cs="Arial"/>
          <w:noProof/>
          <w:sz w:val="20"/>
        </w:rPr>
        <w:t xml:space="preserve">ектара (86.5%) </w:t>
      </w:r>
      <w:r w:rsidR="0041186E" w:rsidRPr="00672B88">
        <w:rPr>
          <w:rStyle w:val="longtext"/>
          <w:rFonts w:ascii="Arial" w:hAnsi="Arial" w:cs="Arial"/>
          <w:noProof/>
          <w:sz w:val="20"/>
        </w:rPr>
        <w:t xml:space="preserve">е </w:t>
      </w:r>
      <w:r w:rsidRPr="00672B88">
        <w:rPr>
          <w:rStyle w:val="longtext"/>
          <w:rFonts w:ascii="Arial" w:hAnsi="Arial" w:cs="Arial"/>
          <w:noProof/>
          <w:sz w:val="20"/>
        </w:rPr>
        <w:t>получ</w:t>
      </w:r>
      <w:r w:rsidR="0041186E" w:rsidRPr="00672B88">
        <w:rPr>
          <w:rStyle w:val="longtext"/>
          <w:rFonts w:ascii="Arial" w:hAnsi="Arial" w:cs="Arial"/>
          <w:noProof/>
          <w:sz w:val="20"/>
        </w:rPr>
        <w:t>ено</w:t>
      </w:r>
      <w:r w:rsidRPr="00672B88">
        <w:rPr>
          <w:rStyle w:val="longtext"/>
          <w:rFonts w:ascii="Arial" w:hAnsi="Arial" w:cs="Arial"/>
          <w:noProof/>
          <w:sz w:val="20"/>
        </w:rPr>
        <w:t xml:space="preserve"> подпомагане чрез схемата за </w:t>
      </w:r>
      <w:r w:rsidR="0041186E" w:rsidRPr="00672B88">
        <w:rPr>
          <w:rStyle w:val="longtext"/>
          <w:rFonts w:ascii="Arial" w:hAnsi="Arial" w:cs="Arial"/>
          <w:noProof/>
          <w:sz w:val="20"/>
        </w:rPr>
        <w:t>базово плащане</w:t>
      </w:r>
      <w:r w:rsidRPr="00672B88">
        <w:rPr>
          <w:rStyle w:val="longtext"/>
          <w:rFonts w:ascii="Arial" w:hAnsi="Arial" w:cs="Arial"/>
          <w:noProof/>
          <w:sz w:val="20"/>
        </w:rPr>
        <w:t xml:space="preserve"> или сх</w:t>
      </w:r>
      <w:r w:rsidR="0041186E" w:rsidRPr="00672B88">
        <w:rPr>
          <w:rStyle w:val="longtext"/>
          <w:rFonts w:ascii="Arial" w:hAnsi="Arial" w:cs="Arial"/>
          <w:noProof/>
          <w:sz w:val="20"/>
        </w:rPr>
        <w:t>емата за единно плащане на площ.</w:t>
      </w:r>
      <w:r w:rsidRPr="00672B88">
        <w:rPr>
          <w:rStyle w:val="longtext"/>
          <w:rFonts w:ascii="Arial" w:hAnsi="Arial" w:cs="Arial"/>
          <w:noProof/>
          <w:sz w:val="20"/>
        </w:rPr>
        <w:t xml:space="preserve"> </w:t>
      </w:r>
      <w:r w:rsidR="0041186E" w:rsidRPr="00672B88">
        <w:rPr>
          <w:rStyle w:val="longtext"/>
          <w:rFonts w:ascii="Arial" w:hAnsi="Arial" w:cs="Arial"/>
          <w:noProof/>
          <w:sz w:val="20"/>
        </w:rPr>
        <w:t xml:space="preserve">Обект на контрол за кръстосано съответствие са били </w:t>
      </w:r>
      <w:r w:rsidRPr="00672B88">
        <w:rPr>
          <w:rStyle w:val="longtext"/>
          <w:rFonts w:ascii="Arial" w:hAnsi="Arial" w:cs="Arial"/>
          <w:noProof/>
          <w:sz w:val="20"/>
        </w:rPr>
        <w:t xml:space="preserve">149 млн. хектара (85.3%), </w:t>
      </w:r>
      <w:r w:rsidR="0041186E" w:rsidRPr="00672B88">
        <w:rPr>
          <w:rStyle w:val="longtext"/>
          <w:rFonts w:ascii="Arial" w:hAnsi="Arial" w:cs="Arial"/>
          <w:noProof/>
          <w:sz w:val="20"/>
        </w:rPr>
        <w:t>а на</w:t>
      </w:r>
      <w:r w:rsidRPr="00672B88">
        <w:rPr>
          <w:rStyle w:val="longtext"/>
          <w:rFonts w:ascii="Arial" w:hAnsi="Arial" w:cs="Arial"/>
          <w:noProof/>
          <w:sz w:val="20"/>
        </w:rPr>
        <w:t xml:space="preserve"> 139 млн. хектара (78%) са изпълнява</w:t>
      </w:r>
      <w:r w:rsidR="0041186E" w:rsidRPr="00672B88">
        <w:rPr>
          <w:rStyle w:val="longtext"/>
          <w:rFonts w:ascii="Arial" w:hAnsi="Arial" w:cs="Arial"/>
          <w:noProof/>
          <w:sz w:val="20"/>
        </w:rPr>
        <w:t>н</w:t>
      </w:r>
      <w:r w:rsidRPr="00672B88">
        <w:rPr>
          <w:rStyle w:val="longtext"/>
          <w:rFonts w:ascii="Arial" w:hAnsi="Arial" w:cs="Arial"/>
          <w:noProof/>
          <w:sz w:val="20"/>
        </w:rPr>
        <w:t xml:space="preserve">и поне едно </w:t>
      </w:r>
      <w:r w:rsidR="0041186E" w:rsidRPr="00672B88">
        <w:rPr>
          <w:rStyle w:val="longtext"/>
          <w:rFonts w:ascii="Arial" w:hAnsi="Arial" w:cs="Arial"/>
          <w:noProof/>
          <w:sz w:val="20"/>
        </w:rPr>
        <w:t>от изискванията</w:t>
      </w:r>
      <w:r w:rsidRPr="00672B88">
        <w:rPr>
          <w:rStyle w:val="longtext"/>
          <w:rFonts w:ascii="Arial" w:hAnsi="Arial" w:cs="Arial"/>
          <w:noProof/>
          <w:sz w:val="20"/>
        </w:rPr>
        <w:t xml:space="preserve"> за екологизация. В тази връзка, про</w:t>
      </w:r>
      <w:r w:rsidR="0041186E" w:rsidRPr="00672B88">
        <w:rPr>
          <w:rStyle w:val="longtext"/>
          <w:rFonts w:ascii="Arial" w:hAnsi="Arial" w:cs="Arial"/>
          <w:noProof/>
          <w:sz w:val="20"/>
        </w:rPr>
        <w:t>у</w:t>
      </w:r>
      <w:r w:rsidRPr="00672B88">
        <w:rPr>
          <w:rStyle w:val="longtext"/>
          <w:rFonts w:ascii="Arial" w:hAnsi="Arial" w:cs="Arial"/>
          <w:noProof/>
          <w:sz w:val="20"/>
        </w:rPr>
        <w:t>чването отправя редица препоръки за ОСП към институциите на европейско, национално и регионално ниво, с които авторите обръщат внимание, че към момента приносът на екологично-насочените площи за опазване на биоразнообразието е изключително нисък“</w:t>
      </w:r>
      <w:r w:rsidR="0041186E" w:rsidRPr="00672B88">
        <w:rPr>
          <w:rStyle w:val="longtext"/>
          <w:rFonts w:ascii="Arial" w:hAnsi="Arial" w:cs="Arial"/>
          <w:noProof/>
          <w:sz w:val="20"/>
        </w:rPr>
        <w:t>. В</w:t>
      </w:r>
      <w:r w:rsidRPr="00672B88">
        <w:rPr>
          <w:rStyle w:val="longtext"/>
          <w:rFonts w:ascii="Arial" w:hAnsi="Arial" w:cs="Arial"/>
          <w:noProof/>
          <w:sz w:val="20"/>
        </w:rPr>
        <w:t xml:space="preserve"> същото време „трябва да с</w:t>
      </w:r>
      <w:r w:rsidR="0041186E" w:rsidRPr="00672B88">
        <w:rPr>
          <w:rStyle w:val="longtext"/>
          <w:rFonts w:ascii="Arial" w:hAnsi="Arial" w:cs="Arial"/>
          <w:noProof/>
          <w:sz w:val="20"/>
        </w:rPr>
        <w:t>е</w:t>
      </w:r>
      <w:r w:rsidRPr="00672B88">
        <w:rPr>
          <w:rStyle w:val="longtext"/>
          <w:rFonts w:ascii="Arial" w:hAnsi="Arial" w:cs="Arial"/>
          <w:noProof/>
          <w:sz w:val="20"/>
        </w:rPr>
        <w:t xml:space="preserve"> извле</w:t>
      </w:r>
      <w:r w:rsidR="0041186E" w:rsidRPr="00672B88">
        <w:rPr>
          <w:rStyle w:val="longtext"/>
          <w:rFonts w:ascii="Arial" w:hAnsi="Arial" w:cs="Arial"/>
          <w:noProof/>
          <w:sz w:val="20"/>
        </w:rPr>
        <w:t>кат поуки</w:t>
      </w:r>
      <w:r w:rsidRPr="00672B88">
        <w:rPr>
          <w:rStyle w:val="longtext"/>
          <w:rFonts w:ascii="Arial" w:hAnsi="Arial" w:cs="Arial"/>
          <w:noProof/>
          <w:sz w:val="20"/>
        </w:rPr>
        <w:t xml:space="preserve"> за предложените нови правила за условността, свързани с непроизводствените площи“. Тези площи не трябва да включват „продуктивни“ елементи с ограничени ползи за биоразнообразието, като междинни култури или азотфиксиращи култури, освен ако не са представени</w:t>
      </w:r>
      <w:r w:rsidR="0041186E" w:rsidRPr="00672B88">
        <w:rPr>
          <w:rStyle w:val="longtext"/>
          <w:rFonts w:ascii="Arial" w:hAnsi="Arial" w:cs="Arial"/>
          <w:noProof/>
          <w:sz w:val="20"/>
        </w:rPr>
        <w:t xml:space="preserve"> </w:t>
      </w:r>
      <w:r w:rsidRPr="00672B88">
        <w:rPr>
          <w:rStyle w:val="longtext"/>
          <w:rFonts w:ascii="Arial" w:hAnsi="Arial" w:cs="Arial"/>
          <w:noProof/>
          <w:sz w:val="20"/>
        </w:rPr>
        <w:t>доказателства за значи</w:t>
      </w:r>
      <w:r w:rsidR="0041186E" w:rsidRPr="00672B88">
        <w:rPr>
          <w:rStyle w:val="longtext"/>
          <w:rFonts w:ascii="Arial" w:hAnsi="Arial" w:cs="Arial"/>
          <w:noProof/>
          <w:sz w:val="20"/>
        </w:rPr>
        <w:t>т</w:t>
      </w:r>
      <w:r w:rsidRPr="00672B88">
        <w:rPr>
          <w:rStyle w:val="longtext"/>
          <w:rFonts w:ascii="Arial" w:hAnsi="Arial" w:cs="Arial"/>
          <w:noProof/>
          <w:sz w:val="20"/>
        </w:rPr>
        <w:t>елни ползи за биоразнообразието (например, някакви многогодишни фуражни култури, като люцерна). Авторите считат, че държавите</w:t>
      </w:r>
      <w:r w:rsidR="0041186E" w:rsidRPr="00672B88">
        <w:rPr>
          <w:rStyle w:val="longtext"/>
          <w:rFonts w:ascii="Arial" w:hAnsi="Arial" w:cs="Arial"/>
          <w:noProof/>
          <w:sz w:val="20"/>
        </w:rPr>
        <w:t xml:space="preserve"> </w:t>
      </w:r>
      <w:r w:rsidRPr="00672B88">
        <w:rPr>
          <w:rStyle w:val="longtext"/>
          <w:rFonts w:ascii="Arial" w:hAnsi="Arial" w:cs="Arial"/>
          <w:noProof/>
          <w:sz w:val="20"/>
        </w:rPr>
        <w:t>членки не са използвали пълния потенциал на инструментите на ОСП, насочени към защит</w:t>
      </w:r>
      <w:r w:rsidR="00A96100" w:rsidRPr="00672B88">
        <w:rPr>
          <w:rStyle w:val="longtext"/>
          <w:rFonts w:ascii="Arial" w:hAnsi="Arial" w:cs="Arial"/>
          <w:noProof/>
          <w:sz w:val="20"/>
        </w:rPr>
        <w:t>а</w:t>
      </w:r>
      <w:r w:rsidRPr="00672B88">
        <w:rPr>
          <w:rStyle w:val="longtext"/>
          <w:rFonts w:ascii="Arial" w:hAnsi="Arial" w:cs="Arial"/>
          <w:noProof/>
          <w:sz w:val="20"/>
        </w:rPr>
        <w:t xml:space="preserve"> на полуестествените елементи на околната среда или </w:t>
      </w:r>
      <w:r w:rsidR="00A96100" w:rsidRPr="00672B88">
        <w:rPr>
          <w:rStyle w:val="longtext"/>
          <w:rFonts w:ascii="Arial" w:hAnsi="Arial" w:cs="Arial"/>
          <w:noProof/>
          <w:sz w:val="20"/>
        </w:rPr>
        <w:t>за осигуряване на</w:t>
      </w:r>
      <w:r w:rsidRPr="00672B88">
        <w:rPr>
          <w:rStyle w:val="longtext"/>
          <w:rFonts w:ascii="Arial" w:hAnsi="Arial" w:cs="Arial"/>
          <w:noProof/>
          <w:sz w:val="20"/>
        </w:rPr>
        <w:t xml:space="preserve"> възможност всички полуестествени хабитати да бъдат допустими за подкрепа. Според тях държавите</w:t>
      </w:r>
      <w:r w:rsidR="00A96100" w:rsidRPr="00672B88">
        <w:rPr>
          <w:rStyle w:val="longtext"/>
          <w:rFonts w:ascii="Arial" w:hAnsi="Arial" w:cs="Arial"/>
          <w:noProof/>
          <w:sz w:val="20"/>
        </w:rPr>
        <w:t xml:space="preserve"> </w:t>
      </w:r>
      <w:r w:rsidRPr="00672B88">
        <w:rPr>
          <w:rStyle w:val="longtext"/>
          <w:rFonts w:ascii="Arial" w:hAnsi="Arial" w:cs="Arial"/>
          <w:noProof/>
          <w:sz w:val="20"/>
        </w:rPr>
        <w:t>членки трябва да предоставят директни плащания за всички полуестествени затревени площи, площи с храсти, горски пасища и други полуестествени хабитати, които „се нуждаят от паша или друга селскостопанска практика, за да запазят техния екологичен статус и биоразнообразие“. Също така, проучването насърчава държавите-членки да осигурят за администрациите „насоки за картиране на разположението на тези хабитати“, като прав</w:t>
      </w:r>
      <w:r w:rsidR="00AD00EF" w:rsidRPr="00672B88">
        <w:rPr>
          <w:rStyle w:val="longtext"/>
          <w:rFonts w:ascii="Arial" w:hAnsi="Arial" w:cs="Arial"/>
          <w:noProof/>
          <w:sz w:val="20"/>
        </w:rPr>
        <w:t>и</w:t>
      </w:r>
      <w:r w:rsidRPr="00672B88">
        <w:rPr>
          <w:rStyle w:val="longtext"/>
          <w:rFonts w:ascii="Arial" w:hAnsi="Arial" w:cs="Arial"/>
          <w:noProof/>
          <w:sz w:val="20"/>
        </w:rPr>
        <w:t xml:space="preserve"> препратка към бъдещите Стратегически планове на ОСП, където националните институции могат „да се възползват от наличните възможности за определяне на „постоянно затревени площи“ и да направят тези полуестествени хабитати допустими за получаване на директни плащания </w:t>
      </w:r>
      <w:r w:rsidR="00AD00EF" w:rsidRPr="00672B88">
        <w:rPr>
          <w:rStyle w:val="longtext"/>
          <w:rFonts w:ascii="Arial" w:hAnsi="Arial" w:cs="Arial"/>
          <w:noProof/>
          <w:sz w:val="20"/>
        </w:rPr>
        <w:t>или други плащания на площ“. В с</w:t>
      </w:r>
      <w:r w:rsidRPr="00672B88">
        <w:rPr>
          <w:rStyle w:val="longtext"/>
          <w:rFonts w:ascii="Arial" w:hAnsi="Arial" w:cs="Arial"/>
          <w:noProof/>
          <w:sz w:val="20"/>
        </w:rPr>
        <w:t>тратегическите планове трябва да се изиска от държавите</w:t>
      </w:r>
      <w:r w:rsidR="00AD00EF" w:rsidRPr="00672B88">
        <w:rPr>
          <w:rStyle w:val="longtext"/>
          <w:rFonts w:ascii="Arial" w:hAnsi="Arial" w:cs="Arial"/>
          <w:noProof/>
          <w:sz w:val="20"/>
        </w:rPr>
        <w:t xml:space="preserve"> </w:t>
      </w:r>
      <w:r w:rsidRPr="00672B88">
        <w:rPr>
          <w:rStyle w:val="longtext"/>
          <w:rFonts w:ascii="Arial" w:hAnsi="Arial" w:cs="Arial"/>
          <w:noProof/>
          <w:sz w:val="20"/>
        </w:rPr>
        <w:t>членки да „направят сравнителен стратегичеси преглед на употреба</w:t>
      </w:r>
      <w:r w:rsidR="00AD00EF" w:rsidRPr="00672B88">
        <w:rPr>
          <w:rStyle w:val="longtext"/>
          <w:rFonts w:ascii="Arial" w:hAnsi="Arial" w:cs="Arial"/>
          <w:noProof/>
          <w:sz w:val="20"/>
        </w:rPr>
        <w:t>та</w:t>
      </w:r>
      <w:r w:rsidRPr="00672B88">
        <w:rPr>
          <w:rStyle w:val="longtext"/>
          <w:rFonts w:ascii="Arial" w:hAnsi="Arial" w:cs="Arial"/>
          <w:noProof/>
          <w:sz w:val="20"/>
        </w:rPr>
        <w:t xml:space="preserve"> на инструментите на ОСП и националните стратегии за биоразнообразие“. От държавите</w:t>
      </w:r>
      <w:r w:rsidR="00AD00EF" w:rsidRPr="00672B88">
        <w:rPr>
          <w:rStyle w:val="longtext"/>
          <w:rFonts w:ascii="Arial" w:hAnsi="Arial" w:cs="Arial"/>
          <w:noProof/>
          <w:sz w:val="20"/>
        </w:rPr>
        <w:t xml:space="preserve"> </w:t>
      </w:r>
      <w:r w:rsidRPr="00672B88">
        <w:rPr>
          <w:rStyle w:val="longtext"/>
          <w:rFonts w:ascii="Arial" w:hAnsi="Arial" w:cs="Arial"/>
          <w:noProof/>
          <w:sz w:val="20"/>
        </w:rPr>
        <w:t xml:space="preserve">членки трябва да бъде изискано също </w:t>
      </w:r>
      <w:r w:rsidR="00AD00EF" w:rsidRPr="00672B88">
        <w:rPr>
          <w:rStyle w:val="longtext"/>
          <w:rFonts w:ascii="Arial" w:hAnsi="Arial" w:cs="Arial"/>
          <w:noProof/>
          <w:sz w:val="20"/>
        </w:rPr>
        <w:t xml:space="preserve">така </w:t>
      </w:r>
      <w:r w:rsidRPr="00672B88">
        <w:rPr>
          <w:rStyle w:val="longtext"/>
          <w:rFonts w:ascii="Arial" w:hAnsi="Arial" w:cs="Arial"/>
          <w:noProof/>
          <w:sz w:val="20"/>
        </w:rPr>
        <w:t>да наложат забрана за оран или преобразуване на постоянно затрвени</w:t>
      </w:r>
      <w:r w:rsidR="00950C6D" w:rsidRPr="00672B88">
        <w:rPr>
          <w:rStyle w:val="longtext"/>
          <w:rFonts w:ascii="Arial" w:hAnsi="Arial" w:cs="Arial"/>
          <w:noProof/>
          <w:sz w:val="20"/>
        </w:rPr>
        <w:t>те</w:t>
      </w:r>
      <w:r w:rsidRPr="00672B88">
        <w:rPr>
          <w:rStyle w:val="longtext"/>
          <w:rFonts w:ascii="Arial" w:hAnsi="Arial" w:cs="Arial"/>
          <w:noProof/>
          <w:sz w:val="20"/>
        </w:rPr>
        <w:t xml:space="preserve"> площи в зоните по Натура 2000, както на всички постоянно затрвени площи, които изискат също</w:t>
      </w:r>
      <w:r w:rsidR="00950C6D" w:rsidRPr="00672B88">
        <w:rPr>
          <w:rStyle w:val="longtext"/>
          <w:rFonts w:ascii="Arial" w:hAnsi="Arial" w:cs="Arial"/>
          <w:noProof/>
          <w:sz w:val="20"/>
        </w:rPr>
        <w:t>то</w:t>
      </w:r>
      <w:r w:rsidRPr="00672B88">
        <w:rPr>
          <w:rStyle w:val="longtext"/>
          <w:rFonts w:ascii="Arial" w:hAnsi="Arial" w:cs="Arial"/>
          <w:noProof/>
          <w:sz w:val="20"/>
        </w:rPr>
        <w:t xml:space="preserve"> ниво на опазване. Авторите информират за редица празноти в наличните данни, включително картиране </w:t>
      </w:r>
      <w:r w:rsidR="00950C6D" w:rsidRPr="00672B88">
        <w:rPr>
          <w:rStyle w:val="longtext"/>
          <w:rFonts w:ascii="Arial" w:hAnsi="Arial" w:cs="Arial"/>
          <w:noProof/>
          <w:sz w:val="20"/>
        </w:rPr>
        <w:t xml:space="preserve">на </w:t>
      </w:r>
      <w:r w:rsidRPr="00672B88">
        <w:rPr>
          <w:rStyle w:val="longtext"/>
          <w:rFonts w:ascii="Arial" w:hAnsi="Arial" w:cs="Arial"/>
          <w:noProof/>
          <w:sz w:val="20"/>
        </w:rPr>
        <w:t xml:space="preserve">зелени площи и други пасторални хабитати, така че да могат да се възползват от подпомагането </w:t>
      </w:r>
      <w:r w:rsidR="00950C6D" w:rsidRPr="00672B88">
        <w:rPr>
          <w:rStyle w:val="longtext"/>
          <w:rFonts w:ascii="Arial" w:hAnsi="Arial" w:cs="Arial"/>
          <w:noProof/>
          <w:sz w:val="20"/>
        </w:rPr>
        <w:t>по</w:t>
      </w:r>
      <w:r w:rsidRPr="00672B88">
        <w:rPr>
          <w:rStyle w:val="longtext"/>
          <w:rFonts w:ascii="Arial" w:hAnsi="Arial" w:cs="Arial"/>
          <w:noProof/>
          <w:sz w:val="20"/>
        </w:rPr>
        <w:t xml:space="preserve"> ОСП. В същото време, „необходими са“ академични изследвания, за да се установи дали подпомагането чрез директни плащания „стимулира косвено стопаните към инвестиционни решения за увеличаване на производството, за сметка на биоразнообразието“. Инвестиционните мерки на ОСП също трябва да бъдат преценени според същите критерии. В заключение, авторите отбелязват, че наличието на ОСП е повишило амбицията на държавите-членки да адресират целите на биоразнообразието, както и да се осигури финансиране, но трябва да се работи още за по-доброто включване на биоразнообразието в решенията на държавите-членки. Пълният текст на проучването, може да бъде прочетен на следния линк: </w:t>
      </w:r>
      <w:hyperlink r:id="rId10" w:history="1">
        <w:r w:rsidRPr="00672B88">
          <w:rPr>
            <w:rStyle w:val="Hyperlink"/>
            <w:rFonts w:ascii="Arial" w:hAnsi="Arial" w:cs="Arial"/>
            <w:noProof/>
            <w:sz w:val="20"/>
          </w:rPr>
          <w:t>https://ec.europa.eu/info/food-farming-fisheries/key-policies/common-agricultural-policy/evaluation-policy-measures/sustainability/impact-cap-habitats-landscapes-biodiversity-0_en</w:t>
        </w:r>
      </w:hyperlink>
      <w:r w:rsidRPr="00672B88">
        <w:rPr>
          <w:rStyle w:val="longtext"/>
          <w:rFonts w:ascii="Arial" w:hAnsi="Arial" w:cs="Arial"/>
          <w:noProof/>
          <w:sz w:val="20"/>
        </w:rPr>
        <w:t xml:space="preserve"> </w:t>
      </w:r>
    </w:p>
    <w:p w:rsidR="0066078E" w:rsidRPr="00672B88" w:rsidRDefault="0066078E" w:rsidP="0066078E">
      <w:pPr>
        <w:spacing w:after="120" w:line="259" w:lineRule="auto"/>
        <w:rPr>
          <w:rStyle w:val="longtext"/>
          <w:rFonts w:ascii="Arial" w:hAnsi="Arial" w:cs="Arial"/>
          <w:noProof/>
          <w:sz w:val="20"/>
        </w:rPr>
      </w:pPr>
      <w:r w:rsidRPr="00672B88">
        <w:rPr>
          <w:rStyle w:val="longtext"/>
          <w:rFonts w:ascii="Arial" w:hAnsi="Arial" w:cs="Arial"/>
          <w:noProof/>
          <w:sz w:val="20"/>
        </w:rPr>
        <w:br w:type="page"/>
      </w:r>
    </w:p>
    <w:p w:rsidR="00DE0059" w:rsidRPr="00672B88" w:rsidRDefault="00DE0059" w:rsidP="00DE0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right"/>
        <w:rPr>
          <w:rFonts w:ascii="Arial" w:hAnsi="Arial" w:cs="Arial"/>
          <w:b/>
          <w:i/>
          <w:noProof/>
          <w:color w:val="222222"/>
          <w:sz w:val="20"/>
          <w:u w:val="single"/>
          <w:lang w:eastAsia="bg-BG"/>
        </w:rPr>
      </w:pPr>
      <w:r w:rsidRPr="00672B88">
        <w:rPr>
          <w:rFonts w:ascii="Arial" w:hAnsi="Arial" w:cs="Arial"/>
          <w:b/>
          <w:i/>
          <w:noProof/>
          <w:color w:val="222222"/>
          <w:sz w:val="20"/>
          <w:u w:val="single"/>
          <w:lang w:eastAsia="bg-BG"/>
        </w:rPr>
        <w:lastRenderedPageBreak/>
        <w:t xml:space="preserve">Приложение </w:t>
      </w:r>
      <w:r w:rsidR="00950C6D" w:rsidRPr="00672B88">
        <w:rPr>
          <w:rFonts w:ascii="Arial" w:hAnsi="Arial" w:cs="Arial"/>
          <w:b/>
          <w:i/>
          <w:noProof/>
          <w:color w:val="222222"/>
          <w:sz w:val="20"/>
          <w:u w:val="single"/>
          <w:lang w:eastAsia="bg-BG"/>
        </w:rPr>
        <w:t>2</w:t>
      </w:r>
    </w:p>
    <w:p w:rsidR="00DE0059" w:rsidRPr="00672B88" w:rsidRDefault="00DE0059" w:rsidP="00DE0059">
      <w:pPr>
        <w:jc w:val="both"/>
        <w:rPr>
          <w:rStyle w:val="longtext"/>
          <w:rFonts w:ascii="Arial" w:hAnsi="Arial" w:cs="Arial"/>
          <w:noProof/>
          <w:sz w:val="20"/>
        </w:rPr>
      </w:pPr>
    </w:p>
    <w:p w:rsidR="00DE0059" w:rsidRPr="00672B88" w:rsidRDefault="00DE0059" w:rsidP="00DE0059">
      <w:pPr>
        <w:jc w:val="both"/>
        <w:rPr>
          <w:rStyle w:val="longtext"/>
          <w:rFonts w:ascii="Arial" w:hAnsi="Arial" w:cs="Arial"/>
          <w:noProof/>
          <w:sz w:val="20"/>
        </w:rPr>
      </w:pPr>
    </w:p>
    <w:p w:rsidR="00DE0059" w:rsidRPr="00672B88" w:rsidRDefault="00DE0059" w:rsidP="00DE0059">
      <w:pPr>
        <w:jc w:val="center"/>
        <w:rPr>
          <w:rStyle w:val="longtext"/>
          <w:rFonts w:ascii="Arial" w:hAnsi="Arial" w:cs="Arial"/>
          <w:b/>
          <w:noProof/>
          <w:sz w:val="20"/>
        </w:rPr>
      </w:pPr>
      <w:r w:rsidRPr="00672B88">
        <w:rPr>
          <w:rStyle w:val="longtext"/>
          <w:rFonts w:ascii="Arial" w:hAnsi="Arial" w:cs="Arial"/>
          <w:b/>
          <w:noProof/>
          <w:sz w:val="20"/>
        </w:rPr>
        <w:t>Допълнителна информация относно проучване „Оценка на въздействието на ОСП върху водните ресурси“ (ориг. “Evaluation of the impact of the CAP on water”)</w:t>
      </w:r>
    </w:p>
    <w:p w:rsidR="00DE0059" w:rsidRPr="00672B88" w:rsidRDefault="00DE0059" w:rsidP="00DE0059">
      <w:pPr>
        <w:jc w:val="both"/>
        <w:rPr>
          <w:rStyle w:val="longtext"/>
          <w:rFonts w:ascii="Arial" w:hAnsi="Arial" w:cs="Arial"/>
          <w:noProof/>
          <w:sz w:val="20"/>
          <w:u w:val="single"/>
        </w:rPr>
      </w:pPr>
    </w:p>
    <w:p w:rsidR="00743ABB" w:rsidRPr="00672B88" w:rsidRDefault="00DE0059" w:rsidP="00DE0059">
      <w:pPr>
        <w:jc w:val="both"/>
        <w:rPr>
          <w:rStyle w:val="longtext"/>
          <w:rFonts w:ascii="Arial" w:hAnsi="Arial" w:cs="Arial"/>
          <w:noProof/>
          <w:sz w:val="20"/>
        </w:rPr>
      </w:pPr>
      <w:r w:rsidRPr="00672B88">
        <w:rPr>
          <w:rStyle w:val="longtext"/>
          <w:rFonts w:ascii="Arial" w:hAnsi="Arial" w:cs="Arial"/>
          <w:noProof/>
          <w:sz w:val="20"/>
        </w:rPr>
        <w:t>Проуч</w:t>
      </w:r>
      <w:r w:rsidR="002C1C0F" w:rsidRPr="00672B88">
        <w:rPr>
          <w:rStyle w:val="longtext"/>
          <w:rFonts w:ascii="Arial" w:hAnsi="Arial" w:cs="Arial"/>
          <w:noProof/>
          <w:sz w:val="20"/>
        </w:rPr>
        <w:t>ването е завършено през ноември</w:t>
      </w:r>
      <w:r w:rsidRPr="00672B88">
        <w:rPr>
          <w:rStyle w:val="longtext"/>
          <w:rFonts w:ascii="Arial" w:hAnsi="Arial" w:cs="Arial"/>
          <w:noProof/>
          <w:sz w:val="20"/>
        </w:rPr>
        <w:t xml:space="preserve"> 2019 г. и изследва случаи </w:t>
      </w:r>
      <w:r w:rsidR="002C1C0F" w:rsidRPr="00672B88">
        <w:rPr>
          <w:rStyle w:val="longtext"/>
          <w:rFonts w:ascii="Arial" w:hAnsi="Arial" w:cs="Arial"/>
          <w:noProof/>
          <w:sz w:val="20"/>
        </w:rPr>
        <w:t>в</w:t>
      </w:r>
      <w:r w:rsidRPr="00672B88">
        <w:rPr>
          <w:rStyle w:val="longtext"/>
          <w:rFonts w:ascii="Arial" w:hAnsi="Arial" w:cs="Arial"/>
          <w:noProof/>
          <w:sz w:val="20"/>
        </w:rPr>
        <w:t xml:space="preserve"> 10 държави-членки (Германия, Испания, Франция, Хърватска, Италия, Хидерландия, Австрия, Полша, Р</w:t>
      </w:r>
      <w:r w:rsidR="002C1C0F" w:rsidRPr="00672B88">
        <w:rPr>
          <w:rStyle w:val="longtext"/>
          <w:rFonts w:ascii="Arial" w:hAnsi="Arial" w:cs="Arial"/>
          <w:noProof/>
          <w:sz w:val="20"/>
        </w:rPr>
        <w:t>умъния и Финландия), като се взе</w:t>
      </w:r>
      <w:r w:rsidRPr="00672B88">
        <w:rPr>
          <w:rStyle w:val="longtext"/>
          <w:rFonts w:ascii="Arial" w:hAnsi="Arial" w:cs="Arial"/>
          <w:noProof/>
          <w:sz w:val="20"/>
        </w:rPr>
        <w:t xml:space="preserve">ма предвид както подпомагането </w:t>
      </w:r>
      <w:r w:rsidR="002C1C0F" w:rsidRPr="00672B88">
        <w:rPr>
          <w:rStyle w:val="longtext"/>
          <w:rFonts w:ascii="Arial" w:hAnsi="Arial" w:cs="Arial"/>
          <w:noProof/>
          <w:sz w:val="20"/>
        </w:rPr>
        <w:t>с</w:t>
      </w:r>
      <w:r w:rsidRPr="00672B88">
        <w:rPr>
          <w:rStyle w:val="longtext"/>
          <w:rFonts w:ascii="Arial" w:hAnsi="Arial" w:cs="Arial"/>
          <w:noProof/>
          <w:sz w:val="20"/>
        </w:rPr>
        <w:t xml:space="preserve"> директни плащания, така и </w:t>
      </w:r>
      <w:r w:rsidR="002C1C0F" w:rsidRPr="00672B88">
        <w:rPr>
          <w:rStyle w:val="longtext"/>
          <w:rFonts w:ascii="Arial" w:hAnsi="Arial" w:cs="Arial"/>
          <w:noProof/>
          <w:sz w:val="20"/>
        </w:rPr>
        <w:t xml:space="preserve">това по Програмите </w:t>
      </w:r>
      <w:r w:rsidRPr="00672B88">
        <w:rPr>
          <w:rStyle w:val="longtext"/>
          <w:rFonts w:ascii="Arial" w:hAnsi="Arial" w:cs="Arial"/>
          <w:noProof/>
          <w:sz w:val="20"/>
        </w:rPr>
        <w:t>за развитие на селските райони. По отношение на директните плащания, авторите препоръчват да се постави фокус върху стопан</w:t>
      </w:r>
      <w:r w:rsidR="002C1C0F" w:rsidRPr="00672B88">
        <w:rPr>
          <w:rStyle w:val="longtext"/>
          <w:rFonts w:ascii="Arial" w:hAnsi="Arial" w:cs="Arial"/>
          <w:noProof/>
          <w:sz w:val="20"/>
        </w:rPr>
        <w:t>ствата, които защитават водата, а</w:t>
      </w:r>
      <w:r w:rsidRPr="00672B88">
        <w:rPr>
          <w:rStyle w:val="longtext"/>
          <w:rFonts w:ascii="Arial" w:hAnsi="Arial" w:cs="Arial"/>
          <w:noProof/>
          <w:sz w:val="20"/>
        </w:rPr>
        <w:t xml:space="preserve"> подпомагането да бъде насочено към стопаните със занижени печалби, които извършват екологични практики от полза за околната среда</w:t>
      </w:r>
      <w:r w:rsidR="002C1C0F" w:rsidRPr="00672B88">
        <w:rPr>
          <w:rStyle w:val="longtext"/>
          <w:rFonts w:ascii="Arial" w:hAnsi="Arial" w:cs="Arial"/>
          <w:noProof/>
          <w:sz w:val="20"/>
        </w:rPr>
        <w:t xml:space="preserve"> и водните ресурси. П</w:t>
      </w:r>
      <w:r w:rsidRPr="00672B88">
        <w:rPr>
          <w:rStyle w:val="longtext"/>
          <w:rFonts w:ascii="Arial" w:hAnsi="Arial" w:cs="Arial"/>
          <w:noProof/>
          <w:sz w:val="20"/>
        </w:rPr>
        <w:t>репоръчва се преразглеждане на критериите за допустимост за обвързана подкрепа по начин, който да осигури достатъчно пасища (пространство) за животни</w:t>
      </w:r>
      <w:r w:rsidR="002C1C0F" w:rsidRPr="00672B88">
        <w:rPr>
          <w:rStyle w:val="longtext"/>
          <w:rFonts w:ascii="Arial" w:hAnsi="Arial" w:cs="Arial"/>
          <w:noProof/>
          <w:sz w:val="20"/>
        </w:rPr>
        <w:t>, за които се получава подпомагане</w:t>
      </w:r>
      <w:r w:rsidRPr="00672B88">
        <w:rPr>
          <w:rStyle w:val="longtext"/>
          <w:rFonts w:ascii="Arial" w:hAnsi="Arial" w:cs="Arial"/>
          <w:noProof/>
          <w:sz w:val="20"/>
        </w:rPr>
        <w:t xml:space="preserve"> и по този начин да се намали натовараването с хранителни вещества върху ползваните водоеми. Авторите посочват, че кръстосаното съответствие и мерките за екологизация „се считат за ефективни дотолкова, </w:t>
      </w:r>
      <w:r w:rsidR="00262249" w:rsidRPr="00672B88">
        <w:rPr>
          <w:rStyle w:val="longtext"/>
          <w:rFonts w:ascii="Arial" w:hAnsi="Arial" w:cs="Arial"/>
          <w:noProof/>
          <w:sz w:val="20"/>
        </w:rPr>
        <w:t>че</w:t>
      </w:r>
      <w:r w:rsidRPr="00672B88">
        <w:rPr>
          <w:rStyle w:val="longtext"/>
          <w:rFonts w:ascii="Arial" w:hAnsi="Arial" w:cs="Arial"/>
          <w:noProof/>
          <w:sz w:val="20"/>
        </w:rPr>
        <w:t xml:space="preserve"> да се поддържат минимални практики, които са от полза за водните ресурси (напр. буферни ивици, зимна почвена покривка, елементи на ландшафта, диверсификация на ку</w:t>
      </w:r>
      <w:r w:rsidR="00262249" w:rsidRPr="00672B88">
        <w:rPr>
          <w:rStyle w:val="longtext"/>
          <w:rFonts w:ascii="Arial" w:hAnsi="Arial" w:cs="Arial"/>
          <w:noProof/>
          <w:sz w:val="20"/>
        </w:rPr>
        <w:t>лтурите и др.)“. В същото време</w:t>
      </w:r>
      <w:r w:rsidRPr="00672B88">
        <w:rPr>
          <w:rStyle w:val="longtext"/>
          <w:rFonts w:ascii="Arial" w:hAnsi="Arial" w:cs="Arial"/>
          <w:noProof/>
          <w:sz w:val="20"/>
        </w:rPr>
        <w:t xml:space="preserve"> </w:t>
      </w:r>
      <w:r w:rsidR="00262249" w:rsidRPr="00672B88">
        <w:rPr>
          <w:rStyle w:val="longtext"/>
          <w:rFonts w:ascii="Arial" w:hAnsi="Arial" w:cs="Arial"/>
          <w:noProof/>
          <w:sz w:val="20"/>
        </w:rPr>
        <w:t>те</w:t>
      </w:r>
      <w:r w:rsidRPr="00672B88">
        <w:rPr>
          <w:rStyle w:val="longtext"/>
          <w:rFonts w:ascii="Arial" w:hAnsi="Arial" w:cs="Arial"/>
          <w:noProof/>
          <w:sz w:val="20"/>
        </w:rPr>
        <w:t xml:space="preserve"> призовават за по-стриктн</w:t>
      </w:r>
      <w:r w:rsidR="00262249" w:rsidRPr="00672B88">
        <w:rPr>
          <w:rStyle w:val="longtext"/>
          <w:rFonts w:ascii="Arial" w:hAnsi="Arial" w:cs="Arial"/>
          <w:noProof/>
          <w:sz w:val="20"/>
        </w:rPr>
        <w:t>и правила, например за забрана н</w:t>
      </w:r>
      <w:r w:rsidRPr="00672B88">
        <w:rPr>
          <w:rStyle w:val="longtext"/>
          <w:rFonts w:ascii="Arial" w:hAnsi="Arial" w:cs="Arial"/>
          <w:noProof/>
          <w:sz w:val="20"/>
        </w:rPr>
        <w:t>а употреба</w:t>
      </w:r>
      <w:r w:rsidR="00262249" w:rsidRPr="00672B88">
        <w:rPr>
          <w:rStyle w:val="longtext"/>
          <w:rFonts w:ascii="Arial" w:hAnsi="Arial" w:cs="Arial"/>
          <w:noProof/>
          <w:sz w:val="20"/>
        </w:rPr>
        <w:t>та</w:t>
      </w:r>
      <w:r w:rsidRPr="00672B88">
        <w:rPr>
          <w:rStyle w:val="longtext"/>
          <w:rFonts w:ascii="Arial" w:hAnsi="Arial" w:cs="Arial"/>
          <w:noProof/>
          <w:sz w:val="20"/>
        </w:rPr>
        <w:t xml:space="preserve"> на торове и пестициди върху буферни ивици, без да се правят изключения. По отношение </w:t>
      </w:r>
      <w:r w:rsidR="00262249" w:rsidRPr="00672B88">
        <w:rPr>
          <w:rStyle w:val="longtext"/>
          <w:rFonts w:ascii="Arial" w:hAnsi="Arial" w:cs="Arial"/>
          <w:noProof/>
          <w:sz w:val="20"/>
        </w:rPr>
        <w:t xml:space="preserve">на </w:t>
      </w:r>
      <w:r w:rsidRPr="00672B88">
        <w:rPr>
          <w:rStyle w:val="longtext"/>
          <w:rFonts w:ascii="Arial" w:hAnsi="Arial" w:cs="Arial"/>
          <w:noProof/>
          <w:sz w:val="20"/>
        </w:rPr>
        <w:t>адаптиране</w:t>
      </w:r>
      <w:r w:rsidR="00262249" w:rsidRPr="00672B88">
        <w:rPr>
          <w:rStyle w:val="longtext"/>
          <w:rFonts w:ascii="Arial" w:hAnsi="Arial" w:cs="Arial"/>
          <w:noProof/>
          <w:sz w:val="20"/>
        </w:rPr>
        <w:t>то</w:t>
      </w:r>
      <w:r w:rsidRPr="00672B88">
        <w:rPr>
          <w:rStyle w:val="longtext"/>
          <w:rFonts w:ascii="Arial" w:hAnsi="Arial" w:cs="Arial"/>
          <w:noProof/>
          <w:sz w:val="20"/>
        </w:rPr>
        <w:t xml:space="preserve"> на селското стопанство към климатичните промени, авторите препоръчват да се обърне „повече внимание на въпросите, свързани с количеството на водата и по-конкретно, икономията на вода“. Подпомагане за напояв</w:t>
      </w:r>
      <w:r w:rsidR="00262249" w:rsidRPr="00672B88">
        <w:rPr>
          <w:rStyle w:val="longtext"/>
          <w:rFonts w:ascii="Arial" w:hAnsi="Arial" w:cs="Arial"/>
          <w:noProof/>
          <w:sz w:val="20"/>
        </w:rPr>
        <w:t>ане трябва да се предоставя еди</w:t>
      </w:r>
      <w:r w:rsidRPr="00672B88">
        <w:rPr>
          <w:rStyle w:val="longtext"/>
          <w:rFonts w:ascii="Arial" w:hAnsi="Arial" w:cs="Arial"/>
          <w:noProof/>
          <w:sz w:val="20"/>
        </w:rPr>
        <w:t>н</w:t>
      </w:r>
      <w:r w:rsidR="00262249" w:rsidRPr="00672B88">
        <w:rPr>
          <w:rStyle w:val="longtext"/>
          <w:rFonts w:ascii="Arial" w:hAnsi="Arial" w:cs="Arial"/>
          <w:noProof/>
          <w:sz w:val="20"/>
        </w:rPr>
        <w:t>с</w:t>
      </w:r>
      <w:r w:rsidRPr="00672B88">
        <w:rPr>
          <w:rStyle w:val="longtext"/>
          <w:rFonts w:ascii="Arial" w:hAnsi="Arial" w:cs="Arial"/>
          <w:noProof/>
          <w:sz w:val="20"/>
        </w:rPr>
        <w:t>твено за подобравяне на състоянието на съществуващи инсталиции</w:t>
      </w:r>
      <w:r w:rsidR="00262249" w:rsidRPr="00672B88">
        <w:rPr>
          <w:rStyle w:val="longtext"/>
          <w:rFonts w:ascii="Arial" w:hAnsi="Arial" w:cs="Arial"/>
          <w:noProof/>
          <w:sz w:val="20"/>
        </w:rPr>
        <w:t>,</w:t>
      </w:r>
      <w:r w:rsidRPr="00672B88">
        <w:rPr>
          <w:rStyle w:val="longtext"/>
          <w:rFonts w:ascii="Arial" w:hAnsi="Arial" w:cs="Arial"/>
          <w:noProof/>
          <w:sz w:val="20"/>
        </w:rPr>
        <w:t xml:space="preserve"> с цел икономия на вода, като не се предоставя никакво финансиране </w:t>
      </w:r>
      <w:r w:rsidR="00262249" w:rsidRPr="00672B88">
        <w:rPr>
          <w:rStyle w:val="longtext"/>
          <w:rFonts w:ascii="Arial" w:hAnsi="Arial" w:cs="Arial"/>
          <w:noProof/>
          <w:sz w:val="20"/>
        </w:rPr>
        <w:t xml:space="preserve">там, </w:t>
      </w:r>
      <w:r w:rsidRPr="00672B88">
        <w:rPr>
          <w:rStyle w:val="longtext"/>
          <w:rFonts w:ascii="Arial" w:hAnsi="Arial" w:cs="Arial"/>
          <w:noProof/>
          <w:sz w:val="20"/>
        </w:rPr>
        <w:t xml:space="preserve">където </w:t>
      </w:r>
      <w:r w:rsidR="00262249" w:rsidRPr="00672B88">
        <w:rPr>
          <w:rStyle w:val="longtext"/>
          <w:rFonts w:ascii="Arial" w:hAnsi="Arial" w:cs="Arial"/>
          <w:noProof/>
          <w:sz w:val="20"/>
        </w:rPr>
        <w:t>се</w:t>
      </w:r>
      <w:r w:rsidRPr="00672B88">
        <w:rPr>
          <w:rStyle w:val="longtext"/>
          <w:rFonts w:ascii="Arial" w:hAnsi="Arial" w:cs="Arial"/>
          <w:noProof/>
          <w:sz w:val="20"/>
        </w:rPr>
        <w:t xml:space="preserve"> изпитват сериозни затруднения с осигуряването на вода</w:t>
      </w:r>
      <w:r w:rsidR="00262249" w:rsidRPr="00672B88">
        <w:rPr>
          <w:rStyle w:val="longtext"/>
          <w:rFonts w:ascii="Arial" w:hAnsi="Arial" w:cs="Arial"/>
          <w:noProof/>
          <w:sz w:val="20"/>
        </w:rPr>
        <w:t xml:space="preserve"> във водоемите</w:t>
      </w:r>
      <w:r w:rsidRPr="00672B88">
        <w:rPr>
          <w:rStyle w:val="longtext"/>
          <w:rFonts w:ascii="Arial" w:hAnsi="Arial" w:cs="Arial"/>
          <w:noProof/>
          <w:sz w:val="20"/>
        </w:rPr>
        <w:t>, с изключение на случаите когато проектите могат да се отнасят до системи за намаляване на зависимостта от ползване на вода. Авторите са стигнали до извода, че „решенията на държавите</w:t>
      </w:r>
      <w:r w:rsidR="00AA5F58" w:rsidRPr="00672B88">
        <w:rPr>
          <w:rStyle w:val="longtext"/>
          <w:rFonts w:ascii="Arial" w:hAnsi="Arial" w:cs="Arial"/>
          <w:noProof/>
          <w:sz w:val="20"/>
        </w:rPr>
        <w:t xml:space="preserve"> </w:t>
      </w:r>
      <w:r w:rsidRPr="00672B88">
        <w:rPr>
          <w:rStyle w:val="longtext"/>
          <w:rFonts w:ascii="Arial" w:hAnsi="Arial" w:cs="Arial"/>
          <w:noProof/>
          <w:sz w:val="20"/>
        </w:rPr>
        <w:t xml:space="preserve">членки за прилагане на ОСП определят степента, в която мерките на ОСП ще отговарят на целите на ЕС за устойчиво управление на водата.“ Те препоръчват на държавите-членки да наблюдават постоянно ресурсите, които са определени за „подобряване </w:t>
      </w:r>
      <w:r w:rsidR="00AA5F58" w:rsidRPr="00672B88">
        <w:rPr>
          <w:rStyle w:val="longtext"/>
          <w:rFonts w:ascii="Arial" w:hAnsi="Arial" w:cs="Arial"/>
          <w:noProof/>
          <w:sz w:val="20"/>
        </w:rPr>
        <w:t xml:space="preserve">на </w:t>
      </w:r>
      <w:r w:rsidRPr="00672B88">
        <w:rPr>
          <w:rStyle w:val="longtext"/>
          <w:rFonts w:ascii="Arial" w:hAnsi="Arial" w:cs="Arial"/>
          <w:noProof/>
          <w:sz w:val="20"/>
        </w:rPr>
        <w:t>управлението на водите, включително управлението на торове и пестициди“, както и разходите за „п</w:t>
      </w:r>
      <w:r w:rsidR="00AA5F58" w:rsidRPr="00672B88">
        <w:rPr>
          <w:rStyle w:val="longtext"/>
          <w:rFonts w:ascii="Arial" w:hAnsi="Arial" w:cs="Arial"/>
          <w:noProof/>
          <w:sz w:val="20"/>
        </w:rPr>
        <w:t>о-ефективна употреба на водата в</w:t>
      </w:r>
      <w:r w:rsidRPr="00672B88">
        <w:rPr>
          <w:rStyle w:val="longtext"/>
          <w:rFonts w:ascii="Arial" w:hAnsi="Arial" w:cs="Arial"/>
          <w:noProof/>
          <w:sz w:val="20"/>
        </w:rPr>
        <w:t xml:space="preserve"> селското стопанство“. Също така, препоръчва</w:t>
      </w:r>
      <w:r w:rsidR="00AA5F58" w:rsidRPr="00672B88">
        <w:rPr>
          <w:rStyle w:val="longtext"/>
          <w:rFonts w:ascii="Arial" w:hAnsi="Arial" w:cs="Arial"/>
          <w:noProof/>
          <w:sz w:val="20"/>
        </w:rPr>
        <w:t>т</w:t>
      </w:r>
      <w:r w:rsidRPr="00672B88">
        <w:rPr>
          <w:rStyle w:val="longtext"/>
          <w:rFonts w:ascii="Arial" w:hAnsi="Arial" w:cs="Arial"/>
          <w:noProof/>
          <w:sz w:val="20"/>
        </w:rPr>
        <w:t xml:space="preserve"> държавите-членки да увеличат размера на плащания</w:t>
      </w:r>
      <w:r w:rsidR="00AA5F58" w:rsidRPr="00672B88">
        <w:rPr>
          <w:rStyle w:val="longtext"/>
          <w:rFonts w:ascii="Arial" w:hAnsi="Arial" w:cs="Arial"/>
          <w:noProof/>
          <w:sz w:val="20"/>
        </w:rPr>
        <w:t>та по</w:t>
      </w:r>
      <w:r w:rsidRPr="00672B88">
        <w:rPr>
          <w:rStyle w:val="longtext"/>
          <w:rFonts w:ascii="Arial" w:hAnsi="Arial" w:cs="Arial"/>
          <w:noProof/>
          <w:sz w:val="20"/>
        </w:rPr>
        <w:t xml:space="preserve"> Програмите за развитие на селските райони. По отношение на селските райони, анализът на авторите върху мерките за устойчиво управление на природните ресурси и опазване на климата посочва, че само „много малка част от тях подкрепят дейности, които в действителност са насочени към решаване на въпроси, свързани с осигуряване на количество</w:t>
      </w:r>
      <w:r w:rsidR="00AA5F58" w:rsidRPr="00672B88">
        <w:rPr>
          <w:rStyle w:val="longtext"/>
          <w:rFonts w:ascii="Arial" w:hAnsi="Arial" w:cs="Arial"/>
          <w:noProof/>
          <w:sz w:val="20"/>
        </w:rPr>
        <w:t>то</w:t>
      </w:r>
      <w:r w:rsidRPr="00672B88">
        <w:rPr>
          <w:rStyle w:val="longtext"/>
          <w:rFonts w:ascii="Arial" w:hAnsi="Arial" w:cs="Arial"/>
          <w:noProof/>
          <w:sz w:val="20"/>
        </w:rPr>
        <w:t xml:space="preserve"> и качество</w:t>
      </w:r>
      <w:r w:rsidR="00AA5F58" w:rsidRPr="00672B88">
        <w:rPr>
          <w:rStyle w:val="longtext"/>
          <w:rFonts w:ascii="Arial" w:hAnsi="Arial" w:cs="Arial"/>
          <w:noProof/>
          <w:sz w:val="20"/>
        </w:rPr>
        <w:t>то</w:t>
      </w:r>
      <w:r w:rsidRPr="00672B88">
        <w:rPr>
          <w:rStyle w:val="longtext"/>
          <w:rFonts w:ascii="Arial" w:hAnsi="Arial" w:cs="Arial"/>
          <w:noProof/>
          <w:sz w:val="20"/>
        </w:rPr>
        <w:t xml:space="preserve"> на водата“. По отношение на водовземането, процентът на стопаните, които се възползват от подпомагане по ПРСР за по-добра ефективност при ползването на </w:t>
      </w:r>
      <w:r w:rsidR="00AA5F58" w:rsidRPr="00672B88">
        <w:rPr>
          <w:rStyle w:val="longtext"/>
          <w:rFonts w:ascii="Arial" w:hAnsi="Arial" w:cs="Arial"/>
          <w:noProof/>
          <w:sz w:val="20"/>
        </w:rPr>
        <w:t>водните ресурси „клони към нула</w:t>
      </w:r>
      <w:r w:rsidRPr="00672B88">
        <w:rPr>
          <w:rStyle w:val="longtext"/>
          <w:rFonts w:ascii="Arial" w:hAnsi="Arial" w:cs="Arial"/>
          <w:noProof/>
          <w:sz w:val="20"/>
        </w:rPr>
        <w:t xml:space="preserve"> в държавите</w:t>
      </w:r>
      <w:r w:rsidR="00AA5F58" w:rsidRPr="00672B88">
        <w:rPr>
          <w:rStyle w:val="longtext"/>
          <w:rFonts w:ascii="Arial" w:hAnsi="Arial" w:cs="Arial"/>
          <w:noProof/>
          <w:sz w:val="20"/>
        </w:rPr>
        <w:t xml:space="preserve"> </w:t>
      </w:r>
      <w:r w:rsidRPr="00672B88">
        <w:rPr>
          <w:rStyle w:val="longtext"/>
          <w:rFonts w:ascii="Arial" w:hAnsi="Arial" w:cs="Arial"/>
          <w:noProof/>
          <w:sz w:val="20"/>
        </w:rPr>
        <w:t xml:space="preserve">членки, </w:t>
      </w:r>
      <w:r w:rsidR="00AA5F58" w:rsidRPr="00672B88">
        <w:rPr>
          <w:rStyle w:val="longtext"/>
          <w:rFonts w:ascii="Arial" w:hAnsi="Arial" w:cs="Arial"/>
          <w:noProof/>
          <w:sz w:val="20"/>
        </w:rPr>
        <w:t>участвали в</w:t>
      </w:r>
      <w:r w:rsidRPr="00672B88">
        <w:rPr>
          <w:rStyle w:val="longtext"/>
          <w:rFonts w:ascii="Arial" w:hAnsi="Arial" w:cs="Arial"/>
          <w:noProof/>
          <w:sz w:val="20"/>
        </w:rPr>
        <w:t xml:space="preserve"> проучването“. Обаче, авторите са открили, че „мерките за озеленяване и кръстосаното съответствие доприна</w:t>
      </w:r>
      <w:r w:rsidR="00DF57A9" w:rsidRPr="00672B88">
        <w:rPr>
          <w:rStyle w:val="longtext"/>
          <w:rFonts w:ascii="Arial" w:hAnsi="Arial" w:cs="Arial"/>
          <w:noProof/>
          <w:sz w:val="20"/>
        </w:rPr>
        <w:t>сят ефективно за поддържане на с</w:t>
      </w:r>
      <w:r w:rsidRPr="00672B88">
        <w:rPr>
          <w:rStyle w:val="longtext"/>
          <w:rFonts w:ascii="Arial" w:hAnsi="Arial" w:cs="Arial"/>
          <w:noProof/>
          <w:sz w:val="20"/>
        </w:rPr>
        <w:t>п</w:t>
      </w:r>
      <w:r w:rsidR="00DF57A9" w:rsidRPr="00672B88">
        <w:rPr>
          <w:rStyle w:val="longtext"/>
          <w:rFonts w:ascii="Arial" w:hAnsi="Arial" w:cs="Arial"/>
          <w:noProof/>
          <w:sz w:val="20"/>
        </w:rPr>
        <w:t>е</w:t>
      </w:r>
      <w:r w:rsidRPr="00672B88">
        <w:rPr>
          <w:rStyle w:val="longtext"/>
          <w:rFonts w:ascii="Arial" w:hAnsi="Arial" w:cs="Arial"/>
          <w:noProof/>
          <w:sz w:val="20"/>
        </w:rPr>
        <w:t xml:space="preserve">цифични практики, които подпомагат опазването на водите“. Установени са значителни административни разходи, свързани с верифицирането на тези плащания, но се „считат за необходими, с оглед на постигнатите ползи“. Друг извод е, че „стопаните имат нужда от подкрепа под формата на консултации, обучение или финансиране, когато </w:t>
      </w:r>
      <w:r w:rsidR="00DF57A9" w:rsidRPr="00672B88">
        <w:rPr>
          <w:rStyle w:val="longtext"/>
          <w:rFonts w:ascii="Arial" w:hAnsi="Arial" w:cs="Arial"/>
          <w:noProof/>
          <w:sz w:val="20"/>
        </w:rPr>
        <w:t>е необходимо</w:t>
      </w:r>
      <w:r w:rsidRPr="00672B88">
        <w:rPr>
          <w:rStyle w:val="longtext"/>
          <w:rFonts w:ascii="Arial" w:hAnsi="Arial" w:cs="Arial"/>
          <w:noProof/>
          <w:sz w:val="20"/>
        </w:rPr>
        <w:t xml:space="preserve"> да сменят своите селскостопански практики.“ Европейската рамка е „допринесла в определена степен за повишаване на информираността за проблемните въпроси при осигуряването на вода“, като също е подпомогнала обмена на информация между държавите</w:t>
      </w:r>
      <w:r w:rsidR="00DF57A9" w:rsidRPr="00672B88">
        <w:rPr>
          <w:rStyle w:val="longtext"/>
          <w:rFonts w:ascii="Arial" w:hAnsi="Arial" w:cs="Arial"/>
          <w:noProof/>
          <w:sz w:val="20"/>
        </w:rPr>
        <w:t xml:space="preserve"> </w:t>
      </w:r>
      <w:r w:rsidRPr="00672B88">
        <w:rPr>
          <w:rStyle w:val="longtext"/>
          <w:rFonts w:ascii="Arial" w:hAnsi="Arial" w:cs="Arial"/>
          <w:noProof/>
          <w:sz w:val="20"/>
        </w:rPr>
        <w:t>членки по тези въпроси (например, чрез Европейската селска мрежа). Според авторите, „за да се гарантира изпълнение на целите за устойчиво управление  на водите, както и да се намали натиска от селското стопанство, законодателят трябва да изиска от държавите-членки да заложат амбициозни цели и постигане на задължителни минимални резултати, които да бъдат стриктно наблюдавани.“. На ниво ЕС</w:t>
      </w:r>
      <w:r w:rsidR="00DF57A9" w:rsidRPr="00672B88">
        <w:rPr>
          <w:rStyle w:val="longtext"/>
          <w:rFonts w:ascii="Arial" w:hAnsi="Arial" w:cs="Arial"/>
          <w:noProof/>
          <w:sz w:val="20"/>
        </w:rPr>
        <w:t>-</w:t>
      </w:r>
      <w:r w:rsidRPr="00672B88">
        <w:rPr>
          <w:rStyle w:val="longtext"/>
          <w:rFonts w:ascii="Arial" w:hAnsi="Arial" w:cs="Arial"/>
          <w:noProof/>
          <w:sz w:val="20"/>
        </w:rPr>
        <w:t xml:space="preserve"> 28 </w:t>
      </w:r>
      <w:r w:rsidR="00DF57A9" w:rsidRPr="00672B88">
        <w:rPr>
          <w:rStyle w:val="longtext"/>
          <w:rFonts w:ascii="Arial" w:hAnsi="Arial" w:cs="Arial"/>
          <w:noProof/>
          <w:sz w:val="20"/>
        </w:rPr>
        <w:t xml:space="preserve">, </w:t>
      </w:r>
      <w:r w:rsidRPr="00672B88">
        <w:rPr>
          <w:rStyle w:val="longtext"/>
          <w:rFonts w:ascii="Arial" w:hAnsi="Arial" w:cs="Arial"/>
          <w:noProof/>
          <w:sz w:val="20"/>
        </w:rPr>
        <w:t>с изключение на Ирландия, Гърция, Литва и Словакия, около 57% от повърхостните води не притежават добър екологичен стату</w:t>
      </w:r>
      <w:r w:rsidR="00DF57A9" w:rsidRPr="00672B88">
        <w:rPr>
          <w:rStyle w:val="longtext"/>
          <w:rFonts w:ascii="Arial" w:hAnsi="Arial" w:cs="Arial"/>
          <w:noProof/>
          <w:sz w:val="20"/>
        </w:rPr>
        <w:t>с</w:t>
      </w:r>
      <w:r w:rsidRPr="00672B88">
        <w:rPr>
          <w:rStyle w:val="longtext"/>
          <w:rFonts w:ascii="Arial" w:hAnsi="Arial" w:cs="Arial"/>
          <w:noProof/>
          <w:sz w:val="20"/>
        </w:rPr>
        <w:t xml:space="preserve">. По отношение </w:t>
      </w:r>
      <w:r w:rsidR="00DF57A9" w:rsidRPr="00672B88">
        <w:rPr>
          <w:rStyle w:val="longtext"/>
          <w:rFonts w:ascii="Arial" w:hAnsi="Arial" w:cs="Arial"/>
          <w:noProof/>
          <w:sz w:val="20"/>
        </w:rPr>
        <w:t xml:space="preserve">на </w:t>
      </w:r>
      <w:r w:rsidRPr="00672B88">
        <w:rPr>
          <w:rStyle w:val="longtext"/>
          <w:rFonts w:ascii="Arial" w:hAnsi="Arial" w:cs="Arial"/>
          <w:noProof/>
          <w:sz w:val="20"/>
        </w:rPr>
        <w:t>химическия стату</w:t>
      </w:r>
      <w:r w:rsidR="00DF57A9" w:rsidRPr="00672B88">
        <w:rPr>
          <w:rStyle w:val="longtext"/>
          <w:rFonts w:ascii="Arial" w:hAnsi="Arial" w:cs="Arial"/>
          <w:noProof/>
          <w:sz w:val="20"/>
        </w:rPr>
        <w:t>с</w:t>
      </w:r>
      <w:r w:rsidRPr="00672B88">
        <w:rPr>
          <w:rStyle w:val="longtext"/>
          <w:rFonts w:ascii="Arial" w:hAnsi="Arial" w:cs="Arial"/>
          <w:noProof/>
          <w:sz w:val="20"/>
        </w:rPr>
        <w:t xml:space="preserve">, около 46% от водоемите на повърхостта не показват добро състояние. Пълният текст на проучването, може да бъде прочетен на следния линк: </w:t>
      </w:r>
      <w:hyperlink r:id="rId11" w:history="1">
        <w:r w:rsidRPr="00672B88">
          <w:rPr>
            <w:rStyle w:val="Hyperlink"/>
            <w:rFonts w:ascii="Arial" w:hAnsi="Arial" w:cs="Arial"/>
            <w:noProof/>
            <w:sz w:val="20"/>
          </w:rPr>
          <w:t>https://ec.europa.eu/info/food-farming-fisheries/key-policies/common-agricultural-policy/evaluation-policy-measures/sustainability/impact-cap-water_en</w:t>
        </w:r>
      </w:hyperlink>
      <w:r w:rsidR="000D4350" w:rsidRPr="00672B88">
        <w:rPr>
          <w:rStyle w:val="longtext"/>
          <w:rFonts w:ascii="Arial" w:hAnsi="Arial" w:cs="Arial"/>
          <w:noProof/>
          <w:sz w:val="20"/>
        </w:rPr>
        <w:t>.</w:t>
      </w:r>
      <w:bookmarkEnd w:id="0"/>
    </w:p>
    <w:sectPr w:rsidR="00743ABB" w:rsidRPr="00672B88" w:rsidSect="00C44A73">
      <w:headerReference w:type="default" r:id="rId12"/>
      <w:footerReference w:type="even" r:id="rId13"/>
      <w:footerReference w:type="default" r:id="rId14"/>
      <w:pgSz w:w="11906" w:h="16838"/>
      <w:pgMar w:top="709" w:right="926" w:bottom="360" w:left="1080" w:header="533" w:footer="9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B92" w:rsidRDefault="00B00B92">
      <w:r>
        <w:separator/>
      </w:r>
    </w:p>
  </w:endnote>
  <w:endnote w:type="continuationSeparator" w:id="0">
    <w:p w:rsidR="00B00B92" w:rsidRDefault="00B00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Hebar">
    <w:altName w:val="Courier New"/>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omic Sans MS">
    <w:panose1 w:val="030F0702030302020204"/>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A73" w:rsidRDefault="00403CB9">
    <w:pPr>
      <w:pStyle w:val="Footer"/>
      <w:framePr w:wrap="around" w:vAnchor="text" w:hAnchor="margin" w:xAlign="right"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end"/>
    </w:r>
  </w:p>
  <w:p w:rsidR="00C44A73" w:rsidRDefault="00C44A7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A73" w:rsidRPr="004B3CB3" w:rsidRDefault="00C44A73" w:rsidP="00C44A73">
    <w:pPr>
      <w:pStyle w:val="Footer"/>
      <w:pBdr>
        <w:bottom w:val="single" w:sz="4" w:space="1" w:color="7030A0"/>
      </w:pBdr>
      <w:ind w:right="-23"/>
      <w:rPr>
        <w:rFonts w:ascii="Arial" w:hAnsi="Arial"/>
        <w:i/>
        <w:iCs/>
        <w:color w:val="800080"/>
        <w:sz w:val="18"/>
        <w:szCs w:val="18"/>
        <w:lang w:val="en-US"/>
      </w:rPr>
    </w:pPr>
  </w:p>
  <w:p w:rsidR="00C44A73" w:rsidRPr="004B3CB3" w:rsidRDefault="00403CB9" w:rsidP="00C44A73">
    <w:pPr>
      <w:pStyle w:val="Footer"/>
      <w:ind w:right="-23"/>
      <w:rPr>
        <w:rFonts w:ascii="Arial" w:hAnsi="Arial"/>
        <w:i/>
        <w:iCs/>
        <w:color w:val="800080"/>
        <w:sz w:val="18"/>
        <w:szCs w:val="18"/>
        <w:lang w:val="ru-RU"/>
      </w:rPr>
    </w:pPr>
    <w:r>
      <w:rPr>
        <w:rFonts w:ascii="Arial" w:hAnsi="Arial"/>
        <w:i/>
        <w:iCs/>
        <w:color w:val="800080"/>
        <w:sz w:val="18"/>
        <w:szCs w:val="18"/>
      </w:rPr>
      <w:t>Д</w:t>
    </w:r>
    <w:r w:rsidR="00AB2303">
      <w:rPr>
        <w:rFonts w:ascii="Arial" w:hAnsi="Arial"/>
        <w:i/>
        <w:iCs/>
        <w:color w:val="800080"/>
        <w:sz w:val="18"/>
        <w:szCs w:val="18"/>
      </w:rPr>
      <w:t xml:space="preserve">ирекции „Директни плащания </w:t>
    </w:r>
    <w:r>
      <w:rPr>
        <w:rFonts w:ascii="Arial" w:hAnsi="Arial"/>
        <w:i/>
        <w:iCs/>
        <w:color w:val="800080"/>
        <w:sz w:val="18"/>
        <w:szCs w:val="18"/>
      </w:rPr>
      <w:t xml:space="preserve">” и „Пазарни мерки и организации на </w:t>
    </w:r>
    <w:r w:rsidRPr="004B3CB3">
      <w:rPr>
        <w:rFonts w:ascii="Arial" w:hAnsi="Arial"/>
        <w:i/>
        <w:iCs/>
        <w:color w:val="800080"/>
        <w:sz w:val="18"/>
        <w:szCs w:val="18"/>
        <w:lang w:val="ru-RU"/>
      </w:rPr>
      <w:t xml:space="preserve"> </w:t>
    </w:r>
    <w:r w:rsidR="00AB2303">
      <w:rPr>
        <w:rFonts w:ascii="Arial" w:hAnsi="Arial"/>
        <w:i/>
        <w:iCs/>
        <w:color w:val="800080"/>
        <w:sz w:val="18"/>
        <w:szCs w:val="18"/>
      </w:rPr>
      <w:t>производители“, МЗХГ</w:t>
    </w:r>
    <w:r w:rsidR="00AB2303" w:rsidRPr="004B3CB3">
      <w:rPr>
        <w:rFonts w:ascii="Arial" w:hAnsi="Arial"/>
        <w:i/>
        <w:iCs/>
        <w:color w:val="800080"/>
        <w:sz w:val="18"/>
        <w:szCs w:val="18"/>
        <w:lang w:val="ru-RU"/>
      </w:rPr>
      <w:t xml:space="preserve"> </w:t>
    </w:r>
    <w:r w:rsidR="0066078E">
      <w:rPr>
        <w:rFonts w:ascii="Arial" w:hAnsi="Arial"/>
        <w:i/>
        <w:iCs/>
        <w:color w:val="800080"/>
        <w:sz w:val="18"/>
        <w:szCs w:val="18"/>
        <w:lang w:val="ru-RU"/>
      </w:rPr>
      <w:tab/>
    </w:r>
    <w:r w:rsidR="0066078E">
      <w:rPr>
        <w:rFonts w:ascii="Arial" w:hAnsi="Arial"/>
        <w:i/>
        <w:iCs/>
        <w:color w:val="800080"/>
        <w:sz w:val="18"/>
        <w:szCs w:val="18"/>
        <w:lang w:val="ru-RU"/>
      </w:rPr>
      <w:tab/>
    </w:r>
    <w:r w:rsidRPr="004B3CB3">
      <w:rPr>
        <w:rFonts w:ascii="Arial" w:hAnsi="Arial"/>
        <w:i/>
        <w:iCs/>
        <w:color w:val="800080"/>
        <w:sz w:val="18"/>
        <w:szCs w:val="18"/>
        <w:lang w:val="ru-RU"/>
      </w:rPr>
      <w:t xml:space="preserve">     </w:t>
    </w:r>
    <w:r w:rsidRPr="004B3CB3">
      <w:rPr>
        <w:rFonts w:ascii="Arial" w:hAnsi="Arial"/>
        <w:i/>
        <w:iCs/>
        <w:color w:val="800080"/>
        <w:sz w:val="18"/>
        <w:szCs w:val="18"/>
      </w:rPr>
      <w:fldChar w:fldCharType="begin"/>
    </w:r>
    <w:r w:rsidRPr="004B3CB3">
      <w:rPr>
        <w:rFonts w:ascii="Arial" w:hAnsi="Arial"/>
        <w:i/>
        <w:iCs/>
        <w:color w:val="800080"/>
        <w:sz w:val="18"/>
        <w:szCs w:val="18"/>
      </w:rPr>
      <w:instrText xml:space="preserve"> PAGE   \* MERGEFORMAT </w:instrText>
    </w:r>
    <w:r w:rsidRPr="004B3CB3">
      <w:rPr>
        <w:rFonts w:ascii="Arial" w:hAnsi="Arial"/>
        <w:i/>
        <w:iCs/>
        <w:color w:val="800080"/>
        <w:sz w:val="18"/>
        <w:szCs w:val="18"/>
      </w:rPr>
      <w:fldChar w:fldCharType="separate"/>
    </w:r>
    <w:r w:rsidR="00672B88">
      <w:rPr>
        <w:rFonts w:ascii="Arial" w:hAnsi="Arial"/>
        <w:i/>
        <w:iCs/>
        <w:noProof/>
        <w:color w:val="800080"/>
        <w:sz w:val="18"/>
        <w:szCs w:val="18"/>
      </w:rPr>
      <w:t>4</w:t>
    </w:r>
    <w:r w:rsidRPr="004B3CB3">
      <w:rPr>
        <w:rFonts w:ascii="Arial" w:hAnsi="Arial"/>
        <w:i/>
        <w:iCs/>
        <w:color w:val="800080"/>
        <w:sz w:val="18"/>
        <w:szCs w:val="18"/>
      </w:rPr>
      <w:fldChar w:fldCharType="end"/>
    </w:r>
  </w:p>
  <w:p w:rsidR="00C44A73" w:rsidRPr="004B3CB3" w:rsidRDefault="00C44A73">
    <w:pPr>
      <w:pStyle w:val="Footer"/>
      <w:ind w:right="360"/>
      <w:rPr>
        <w:rFonts w:ascii="Arial" w:hAnsi="Arial"/>
        <w:i/>
        <w:iCs/>
        <w:color w:val="800080"/>
        <w:sz w:val="18"/>
        <w:szCs w:val="18"/>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B92" w:rsidRDefault="00B00B92">
      <w:r>
        <w:separator/>
      </w:r>
    </w:p>
  </w:footnote>
  <w:footnote w:type="continuationSeparator" w:id="0">
    <w:p w:rsidR="00B00B92" w:rsidRDefault="00B00B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ook w:val="01E0" w:firstRow="1" w:lastRow="1" w:firstColumn="1" w:lastColumn="1" w:noHBand="0" w:noVBand="0"/>
    </w:tblPr>
    <w:tblGrid>
      <w:gridCol w:w="7379"/>
      <w:gridCol w:w="2535"/>
    </w:tblGrid>
    <w:tr w:rsidR="00C44A73">
      <w:trPr>
        <w:trHeight w:val="495"/>
      </w:trPr>
      <w:tc>
        <w:tcPr>
          <w:tcW w:w="7379" w:type="dxa"/>
        </w:tcPr>
        <w:p w:rsidR="00C44A73" w:rsidRDefault="00403CB9">
          <w:r>
            <w:rPr>
              <w:rFonts w:ascii="Palatino Linotype" w:hAnsi="Palatino Linotype" w:cs="Palatino Linotype"/>
              <w:i/>
              <w:iCs/>
              <w:noProof/>
              <w:sz w:val="52"/>
              <w:szCs w:val="52"/>
              <w:lang w:eastAsia="bg-BG"/>
            </w:rPr>
            <w:drawing>
              <wp:inline distT="0" distB="0" distL="0" distR="0" wp14:anchorId="66038EDD" wp14:editId="318C9818">
                <wp:extent cx="233680" cy="212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80" cy="212725"/>
                        </a:xfrm>
                        <a:prstGeom prst="rect">
                          <a:avLst/>
                        </a:prstGeom>
                        <a:noFill/>
                        <a:ln>
                          <a:noFill/>
                        </a:ln>
                      </pic:spPr>
                    </pic:pic>
                  </a:graphicData>
                </a:graphic>
              </wp:inline>
            </w:drawing>
          </w:r>
          <w:r>
            <w:rPr>
              <w:rFonts w:ascii="Arial" w:hAnsi="Arial" w:cs="Arial"/>
              <w:b/>
              <w:i/>
              <w:color w:val="0000FF"/>
              <w:sz w:val="44"/>
              <w:szCs w:val="44"/>
            </w:rPr>
            <w:t>INFO SHEET</w:t>
          </w:r>
          <w:r>
            <w:rPr>
              <w:rFonts w:ascii="Arial" w:hAnsi="Arial" w:cs="Arial"/>
              <w:b/>
              <w:i/>
              <w:color w:val="0000FF"/>
              <w:sz w:val="44"/>
              <w:szCs w:val="44"/>
              <w:lang w:val="en-US"/>
            </w:rPr>
            <w:t xml:space="preserve"> </w:t>
          </w:r>
          <w:r>
            <w:rPr>
              <w:rFonts w:ascii="Arial" w:hAnsi="Arial" w:cs="Arial"/>
              <w:b/>
              <w:i/>
              <w:color w:val="0000FF"/>
              <w:sz w:val="44"/>
              <w:szCs w:val="44"/>
            </w:rPr>
            <w:t xml:space="preserve">         </w:t>
          </w:r>
        </w:p>
      </w:tc>
      <w:tc>
        <w:tcPr>
          <w:tcW w:w="2535" w:type="dxa"/>
          <w:vMerge w:val="restart"/>
          <w:tcBorders>
            <w:bottom w:val="single" w:sz="24" w:space="0" w:color="0000FF"/>
          </w:tcBorders>
          <w:vAlign w:val="center"/>
        </w:tcPr>
        <w:p w:rsidR="00C44A73" w:rsidRDefault="00C44A73" w:rsidP="00C44A73">
          <w:pPr>
            <w:jc w:val="right"/>
            <w:rPr>
              <w:rFonts w:ascii="Comic Sans MS" w:hAnsi="Comic Sans MS" w:cs="Arial"/>
              <w:b/>
              <w:color w:val="640064"/>
              <w:sz w:val="18"/>
              <w:szCs w:val="18"/>
            </w:rPr>
          </w:pPr>
        </w:p>
        <w:p w:rsidR="00C44A73" w:rsidRDefault="00403CB9" w:rsidP="00C44A73">
          <w:pPr>
            <w:jc w:val="right"/>
            <w:rPr>
              <w:color w:val="640064"/>
              <w:sz w:val="18"/>
              <w:szCs w:val="18"/>
              <w:lang w:val="en-US"/>
            </w:rPr>
          </w:pPr>
          <w:r>
            <w:rPr>
              <w:rFonts w:ascii="Comic Sans MS" w:hAnsi="Comic Sans MS" w:cs="Arial"/>
              <w:b/>
              <w:color w:val="640064"/>
              <w:sz w:val="18"/>
              <w:szCs w:val="18"/>
            </w:rPr>
            <w:t>DIRECT</w:t>
          </w:r>
          <w:r>
            <w:rPr>
              <w:rFonts w:ascii="Comic Sans MS" w:hAnsi="Comic Sans MS" w:cs="Arial"/>
              <w:b/>
              <w:color w:val="640064"/>
              <w:sz w:val="18"/>
              <w:szCs w:val="18"/>
              <w:lang w:val="en-US"/>
            </w:rPr>
            <w:t xml:space="preserve"> </w:t>
          </w:r>
          <w:r>
            <w:rPr>
              <w:rFonts w:ascii="Comic Sans MS" w:hAnsi="Comic Sans MS" w:cs="Arial"/>
              <w:b/>
              <w:color w:val="640064"/>
              <w:sz w:val="18"/>
              <w:szCs w:val="18"/>
            </w:rPr>
            <w:t>PAYMENTS</w:t>
          </w:r>
          <w:r>
            <w:rPr>
              <w:rFonts w:ascii="Comic Sans MS" w:hAnsi="Comic Sans MS" w:cs="Arial"/>
              <w:b/>
              <w:color w:val="640064"/>
              <w:sz w:val="18"/>
              <w:szCs w:val="18"/>
              <w:lang w:val="en-US"/>
            </w:rPr>
            <w:t xml:space="preserve"> </w:t>
          </w:r>
          <w:r>
            <w:rPr>
              <w:rFonts w:ascii="Comic Sans MS" w:hAnsi="Comic Sans MS" w:cs="Arial"/>
              <w:b/>
              <w:color w:val="640064"/>
              <w:sz w:val="18"/>
              <w:szCs w:val="18"/>
            </w:rPr>
            <w:br/>
          </w:r>
          <w:r w:rsidR="008836F2">
            <w:rPr>
              <w:rFonts w:ascii="Comic Sans MS" w:hAnsi="Comic Sans MS" w:cs="Arial"/>
              <w:b/>
              <w:color w:val="640064"/>
              <w:sz w:val="18"/>
              <w:szCs w:val="18"/>
              <w:lang w:val="en-US"/>
            </w:rPr>
            <w:t>MARKET SUPP</w:t>
          </w:r>
          <w:r>
            <w:rPr>
              <w:rFonts w:ascii="Comic Sans MS" w:hAnsi="Comic Sans MS" w:cs="Arial"/>
              <w:b/>
              <w:color w:val="640064"/>
              <w:sz w:val="18"/>
              <w:szCs w:val="18"/>
              <w:lang w:val="en-US"/>
            </w:rPr>
            <w:t>ORT</w:t>
          </w:r>
        </w:p>
      </w:tc>
    </w:tr>
    <w:tr w:rsidR="00C44A73">
      <w:trPr>
        <w:trHeight w:val="241"/>
      </w:trPr>
      <w:tc>
        <w:tcPr>
          <w:tcW w:w="7379" w:type="dxa"/>
          <w:tcBorders>
            <w:bottom w:val="single" w:sz="24" w:space="0" w:color="0000FF"/>
          </w:tcBorders>
        </w:tcPr>
        <w:p w:rsidR="00C44A73" w:rsidRDefault="00403CB9">
          <w:pPr>
            <w:rPr>
              <w:sz w:val="20"/>
              <w:lang w:val="ru-RU"/>
            </w:rPr>
          </w:pPr>
          <w:r>
            <w:rPr>
              <w:rFonts w:ascii="Arial" w:hAnsi="Arial"/>
              <w:b/>
              <w:color w:val="800080"/>
              <w:sz w:val="20"/>
            </w:rPr>
            <w:t>Събития</w:t>
          </w:r>
          <w:r>
            <w:rPr>
              <w:rFonts w:ascii="Arial" w:hAnsi="Arial"/>
              <w:b/>
              <w:color w:val="800080"/>
              <w:sz w:val="20"/>
              <w:lang w:val="ru-RU"/>
            </w:rPr>
            <w:t>та</w:t>
          </w:r>
          <w:r>
            <w:rPr>
              <w:rFonts w:ascii="Arial" w:hAnsi="Arial"/>
              <w:b/>
              <w:color w:val="800080"/>
              <w:sz w:val="20"/>
            </w:rPr>
            <w:t xml:space="preserve"> от изминалата седмица          </w:t>
          </w:r>
        </w:p>
      </w:tc>
      <w:tc>
        <w:tcPr>
          <w:tcW w:w="2535" w:type="dxa"/>
          <w:vMerge/>
          <w:tcBorders>
            <w:top w:val="single" w:sz="4" w:space="0" w:color="auto"/>
            <w:bottom w:val="single" w:sz="24" w:space="0" w:color="0000FF"/>
          </w:tcBorders>
        </w:tcPr>
        <w:p w:rsidR="00C44A73" w:rsidRDefault="00C44A73">
          <w:pPr>
            <w:rPr>
              <w:lang w:val="ru-RU"/>
            </w:rPr>
          </w:pPr>
        </w:p>
      </w:tc>
    </w:tr>
  </w:tbl>
  <w:p w:rsidR="00C44A73" w:rsidRPr="008C0AED" w:rsidRDefault="00403CB9" w:rsidP="00C44A73">
    <w:pPr>
      <w:ind w:left="2835" w:firstLine="567"/>
      <w:jc w:val="right"/>
      <w:rPr>
        <w:rFonts w:ascii="Arial" w:hAnsi="Arial"/>
        <w:b/>
        <w:bCs/>
        <w:color w:val="800080"/>
        <w:sz w:val="20"/>
        <w:lang w:val="en-US"/>
      </w:rPr>
    </w:pPr>
    <w:r>
      <w:rPr>
        <w:rFonts w:ascii="Arial" w:hAnsi="Arial" w:cs="Arial"/>
        <w:b/>
        <w:i/>
        <w:color w:val="8D9DE3"/>
        <w:sz w:val="32"/>
        <w:szCs w:val="32"/>
      </w:rPr>
      <w:tab/>
    </w:r>
    <w:r w:rsidR="00050832">
      <w:rPr>
        <w:rFonts w:ascii="Arial" w:hAnsi="Arial"/>
        <w:b/>
        <w:bCs/>
        <w:color w:val="800080"/>
        <w:sz w:val="20"/>
        <w:lang w:val="en-US"/>
      </w:rPr>
      <w:t>4</w:t>
    </w:r>
    <w:r w:rsidR="0043388D">
      <w:rPr>
        <w:rFonts w:ascii="Arial" w:hAnsi="Arial"/>
        <w:b/>
        <w:bCs/>
        <w:color w:val="800080"/>
        <w:sz w:val="20"/>
        <w:lang w:val="en-US"/>
      </w:rPr>
      <w:t>1</w:t>
    </w:r>
    <w:r w:rsidR="00F43319">
      <w:rPr>
        <w:rFonts w:ascii="Arial" w:hAnsi="Arial"/>
        <w:b/>
        <w:bCs/>
        <w:color w:val="800080"/>
        <w:sz w:val="20"/>
        <w:lang w:val="en-US"/>
      </w:rPr>
      <w:t>3</w:t>
    </w:r>
    <w:r>
      <w:rPr>
        <w:rFonts w:ascii="Arial" w:hAnsi="Arial"/>
        <w:b/>
        <w:bCs/>
        <w:color w:val="800080"/>
        <w:sz w:val="20"/>
      </w:rPr>
      <w:t>/</w:t>
    </w:r>
    <w:r w:rsidR="00B3223C">
      <w:rPr>
        <w:rFonts w:ascii="Arial" w:hAnsi="Arial"/>
        <w:b/>
        <w:bCs/>
        <w:color w:val="800080"/>
        <w:sz w:val="20"/>
        <w:lang w:val="en-US"/>
      </w:rPr>
      <w:t>3</w:t>
    </w:r>
    <w:r w:rsidR="00F43319">
      <w:rPr>
        <w:rFonts w:ascii="Arial" w:hAnsi="Arial"/>
        <w:b/>
        <w:bCs/>
        <w:color w:val="800080"/>
        <w:sz w:val="20"/>
        <w:lang w:val="en-US"/>
      </w:rPr>
      <w:t>0</w:t>
    </w:r>
    <w:r w:rsidR="006E7A46">
      <w:rPr>
        <w:rFonts w:ascii="Arial" w:hAnsi="Arial"/>
        <w:b/>
        <w:bCs/>
        <w:color w:val="800080"/>
        <w:sz w:val="20"/>
        <w:lang w:val="en-US"/>
      </w:rPr>
      <w:t>.</w:t>
    </w:r>
    <w:r w:rsidR="002C512F">
      <w:rPr>
        <w:rFonts w:ascii="Arial" w:hAnsi="Arial"/>
        <w:b/>
        <w:bCs/>
        <w:color w:val="800080"/>
        <w:sz w:val="20"/>
        <w:lang w:val="en-US"/>
      </w:rPr>
      <w:t>0</w:t>
    </w:r>
    <w:r w:rsidR="00180311">
      <w:rPr>
        <w:rFonts w:ascii="Arial" w:hAnsi="Arial"/>
        <w:b/>
        <w:bCs/>
        <w:color w:val="800080"/>
        <w:sz w:val="20"/>
        <w:lang w:val="en-US"/>
      </w:rPr>
      <w:t>3</w:t>
    </w:r>
    <w:r>
      <w:rPr>
        <w:rFonts w:ascii="Arial" w:hAnsi="Arial"/>
        <w:b/>
        <w:bCs/>
        <w:color w:val="800080"/>
        <w:sz w:val="20"/>
      </w:rPr>
      <w:t>.20</w:t>
    </w:r>
    <w:r w:rsidR="00B36E39">
      <w:rPr>
        <w:rFonts w:ascii="Arial" w:hAnsi="Arial"/>
        <w:b/>
        <w:bCs/>
        <w:color w:val="800080"/>
        <w:sz w:val="20"/>
        <w:lang w:val="en-US"/>
      </w:rPr>
      <w:t>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A69FB"/>
    <w:multiLevelType w:val="hybridMultilevel"/>
    <w:tmpl w:val="443AC382"/>
    <w:lvl w:ilvl="0" w:tplc="04020001">
      <w:start w:val="1"/>
      <w:numFmt w:val="bullet"/>
      <w:lvlText w:val=""/>
      <w:lvlJc w:val="left"/>
      <w:pPr>
        <w:ind w:left="1366" w:hanging="360"/>
      </w:pPr>
      <w:rPr>
        <w:rFonts w:ascii="Symbol" w:hAnsi="Symbol" w:hint="default"/>
      </w:rPr>
    </w:lvl>
    <w:lvl w:ilvl="1" w:tplc="04020003" w:tentative="1">
      <w:start w:val="1"/>
      <w:numFmt w:val="bullet"/>
      <w:lvlText w:val="o"/>
      <w:lvlJc w:val="left"/>
      <w:pPr>
        <w:ind w:left="2086" w:hanging="360"/>
      </w:pPr>
      <w:rPr>
        <w:rFonts w:ascii="Courier New" w:hAnsi="Courier New" w:cs="Courier New" w:hint="default"/>
      </w:rPr>
    </w:lvl>
    <w:lvl w:ilvl="2" w:tplc="04020005" w:tentative="1">
      <w:start w:val="1"/>
      <w:numFmt w:val="bullet"/>
      <w:lvlText w:val=""/>
      <w:lvlJc w:val="left"/>
      <w:pPr>
        <w:ind w:left="2806" w:hanging="360"/>
      </w:pPr>
      <w:rPr>
        <w:rFonts w:ascii="Wingdings" w:hAnsi="Wingdings" w:hint="default"/>
      </w:rPr>
    </w:lvl>
    <w:lvl w:ilvl="3" w:tplc="04020001" w:tentative="1">
      <w:start w:val="1"/>
      <w:numFmt w:val="bullet"/>
      <w:lvlText w:val=""/>
      <w:lvlJc w:val="left"/>
      <w:pPr>
        <w:ind w:left="3526" w:hanging="360"/>
      </w:pPr>
      <w:rPr>
        <w:rFonts w:ascii="Symbol" w:hAnsi="Symbol" w:hint="default"/>
      </w:rPr>
    </w:lvl>
    <w:lvl w:ilvl="4" w:tplc="04020003" w:tentative="1">
      <w:start w:val="1"/>
      <w:numFmt w:val="bullet"/>
      <w:lvlText w:val="o"/>
      <w:lvlJc w:val="left"/>
      <w:pPr>
        <w:ind w:left="4246" w:hanging="360"/>
      </w:pPr>
      <w:rPr>
        <w:rFonts w:ascii="Courier New" w:hAnsi="Courier New" w:cs="Courier New" w:hint="default"/>
      </w:rPr>
    </w:lvl>
    <w:lvl w:ilvl="5" w:tplc="04020005" w:tentative="1">
      <w:start w:val="1"/>
      <w:numFmt w:val="bullet"/>
      <w:lvlText w:val=""/>
      <w:lvlJc w:val="left"/>
      <w:pPr>
        <w:ind w:left="4966" w:hanging="360"/>
      </w:pPr>
      <w:rPr>
        <w:rFonts w:ascii="Wingdings" w:hAnsi="Wingdings" w:hint="default"/>
      </w:rPr>
    </w:lvl>
    <w:lvl w:ilvl="6" w:tplc="04020001" w:tentative="1">
      <w:start w:val="1"/>
      <w:numFmt w:val="bullet"/>
      <w:lvlText w:val=""/>
      <w:lvlJc w:val="left"/>
      <w:pPr>
        <w:ind w:left="5686" w:hanging="360"/>
      </w:pPr>
      <w:rPr>
        <w:rFonts w:ascii="Symbol" w:hAnsi="Symbol" w:hint="default"/>
      </w:rPr>
    </w:lvl>
    <w:lvl w:ilvl="7" w:tplc="04020003" w:tentative="1">
      <w:start w:val="1"/>
      <w:numFmt w:val="bullet"/>
      <w:lvlText w:val="o"/>
      <w:lvlJc w:val="left"/>
      <w:pPr>
        <w:ind w:left="6406" w:hanging="360"/>
      </w:pPr>
      <w:rPr>
        <w:rFonts w:ascii="Courier New" w:hAnsi="Courier New" w:cs="Courier New" w:hint="default"/>
      </w:rPr>
    </w:lvl>
    <w:lvl w:ilvl="8" w:tplc="04020005" w:tentative="1">
      <w:start w:val="1"/>
      <w:numFmt w:val="bullet"/>
      <w:lvlText w:val=""/>
      <w:lvlJc w:val="left"/>
      <w:pPr>
        <w:ind w:left="7126" w:hanging="360"/>
      </w:pPr>
      <w:rPr>
        <w:rFonts w:ascii="Wingdings" w:hAnsi="Wingdings" w:hint="default"/>
      </w:rPr>
    </w:lvl>
  </w:abstractNum>
  <w:abstractNum w:abstractNumId="1">
    <w:nsid w:val="0A9F1547"/>
    <w:multiLevelType w:val="hybridMultilevel"/>
    <w:tmpl w:val="D4A42A0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1B5255B4"/>
    <w:multiLevelType w:val="hybridMultilevel"/>
    <w:tmpl w:val="90269CAA"/>
    <w:lvl w:ilvl="0" w:tplc="08090001">
      <w:start w:val="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93B71CA"/>
    <w:multiLevelType w:val="hybridMultilevel"/>
    <w:tmpl w:val="27149D6C"/>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
    <w:nsid w:val="3FD509F8"/>
    <w:multiLevelType w:val="hybridMultilevel"/>
    <w:tmpl w:val="E6D894F0"/>
    <w:lvl w:ilvl="0" w:tplc="580E6C52">
      <w:start w:val="4"/>
      <w:numFmt w:val="bullet"/>
      <w:lvlText w:val=""/>
      <w:lvlJc w:val="left"/>
      <w:pPr>
        <w:ind w:left="720" w:hanging="360"/>
      </w:pPr>
      <w:rPr>
        <w:rFonts w:ascii="Symbol" w:eastAsia="Times New Roman" w:hAnsi="Symbol"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1E66499"/>
    <w:multiLevelType w:val="hybridMultilevel"/>
    <w:tmpl w:val="3B4C22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6">
    <w:nsid w:val="421B4D8B"/>
    <w:multiLevelType w:val="hybridMultilevel"/>
    <w:tmpl w:val="28967A82"/>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7">
    <w:nsid w:val="4D7D0709"/>
    <w:multiLevelType w:val="hybridMultilevel"/>
    <w:tmpl w:val="E1CE1E36"/>
    <w:lvl w:ilvl="0" w:tplc="F314FBF8">
      <w:start w:val="1"/>
      <w:numFmt w:val="bullet"/>
      <w:lvlText w:val=""/>
      <w:lvlJc w:val="center"/>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8">
    <w:nsid w:val="725150E0"/>
    <w:multiLevelType w:val="hybridMultilevel"/>
    <w:tmpl w:val="C240AE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9">
    <w:nsid w:val="75B86231"/>
    <w:multiLevelType w:val="hybridMultilevel"/>
    <w:tmpl w:val="7EF28654"/>
    <w:lvl w:ilvl="0" w:tplc="0407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7A09077C"/>
    <w:multiLevelType w:val="hybridMultilevel"/>
    <w:tmpl w:val="41246D0A"/>
    <w:lvl w:ilvl="0" w:tplc="7C16BEAC">
      <w:start w:val="1"/>
      <w:numFmt w:val="decimal"/>
      <w:lvlText w:val="%1."/>
      <w:lvlJc w:val="left"/>
      <w:pPr>
        <w:ind w:left="360" w:hanging="360"/>
      </w:pPr>
      <w:rPr>
        <w:rFonts w:ascii="Arial" w:eastAsia="Times New Roman" w:hAnsi="Arial" w:cs="Arial"/>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0"/>
  </w:num>
  <w:num w:numId="2">
    <w:abstractNumId w:val="9"/>
  </w:num>
  <w:num w:numId="3">
    <w:abstractNumId w:val="6"/>
  </w:num>
  <w:num w:numId="4">
    <w:abstractNumId w:val="3"/>
  </w:num>
  <w:num w:numId="5">
    <w:abstractNumId w:val="0"/>
  </w:num>
  <w:num w:numId="6">
    <w:abstractNumId w:val="1"/>
  </w:num>
  <w:num w:numId="7">
    <w:abstractNumId w:val="7"/>
  </w:num>
  <w:num w:numId="8">
    <w:abstractNumId w:val="5"/>
  </w:num>
  <w:num w:numId="9">
    <w:abstractNumId w:val="8"/>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CB9"/>
    <w:rsid w:val="00000E7B"/>
    <w:rsid w:val="000144D9"/>
    <w:rsid w:val="0001496E"/>
    <w:rsid w:val="0002497A"/>
    <w:rsid w:val="00024DB1"/>
    <w:rsid w:val="00032EDB"/>
    <w:rsid w:val="0004366B"/>
    <w:rsid w:val="00046BB0"/>
    <w:rsid w:val="00046D50"/>
    <w:rsid w:val="00050832"/>
    <w:rsid w:val="000518AE"/>
    <w:rsid w:val="0005714A"/>
    <w:rsid w:val="0006687D"/>
    <w:rsid w:val="000678FD"/>
    <w:rsid w:val="0007208A"/>
    <w:rsid w:val="00081DAE"/>
    <w:rsid w:val="00091CD4"/>
    <w:rsid w:val="00093D4D"/>
    <w:rsid w:val="000A31F0"/>
    <w:rsid w:val="000A588F"/>
    <w:rsid w:val="000B2026"/>
    <w:rsid w:val="000B7B54"/>
    <w:rsid w:val="000D4350"/>
    <w:rsid w:val="001164FC"/>
    <w:rsid w:val="001173C3"/>
    <w:rsid w:val="00117A81"/>
    <w:rsid w:val="00120AD2"/>
    <w:rsid w:val="00125A06"/>
    <w:rsid w:val="00131A6D"/>
    <w:rsid w:val="00134872"/>
    <w:rsid w:val="0013606E"/>
    <w:rsid w:val="0014608C"/>
    <w:rsid w:val="001639CC"/>
    <w:rsid w:val="001712E1"/>
    <w:rsid w:val="00173E25"/>
    <w:rsid w:val="00180311"/>
    <w:rsid w:val="00180441"/>
    <w:rsid w:val="00186654"/>
    <w:rsid w:val="00193EEE"/>
    <w:rsid w:val="00194BE7"/>
    <w:rsid w:val="001A6A7A"/>
    <w:rsid w:val="001B1430"/>
    <w:rsid w:val="001B5399"/>
    <w:rsid w:val="001C3F62"/>
    <w:rsid w:val="001E1EAA"/>
    <w:rsid w:val="001E1F98"/>
    <w:rsid w:val="001E4050"/>
    <w:rsid w:val="001E4C01"/>
    <w:rsid w:val="001F2EC7"/>
    <w:rsid w:val="001F396B"/>
    <w:rsid w:val="00201022"/>
    <w:rsid w:val="00210721"/>
    <w:rsid w:val="002118F6"/>
    <w:rsid w:val="00215B7E"/>
    <w:rsid w:val="002163C0"/>
    <w:rsid w:val="00221CDF"/>
    <w:rsid w:val="00243CD4"/>
    <w:rsid w:val="0024546F"/>
    <w:rsid w:val="002521C1"/>
    <w:rsid w:val="002610A9"/>
    <w:rsid w:val="00262249"/>
    <w:rsid w:val="002653C2"/>
    <w:rsid w:val="002701DE"/>
    <w:rsid w:val="00274F4E"/>
    <w:rsid w:val="00275471"/>
    <w:rsid w:val="00285183"/>
    <w:rsid w:val="0029075B"/>
    <w:rsid w:val="002918DE"/>
    <w:rsid w:val="002920B7"/>
    <w:rsid w:val="0029220D"/>
    <w:rsid w:val="002A2BBE"/>
    <w:rsid w:val="002A2C5F"/>
    <w:rsid w:val="002A5150"/>
    <w:rsid w:val="002A6A4C"/>
    <w:rsid w:val="002B379D"/>
    <w:rsid w:val="002B44DA"/>
    <w:rsid w:val="002C1C0F"/>
    <w:rsid w:val="002C21A3"/>
    <w:rsid w:val="002C512F"/>
    <w:rsid w:val="002C5E9D"/>
    <w:rsid w:val="002C6EFE"/>
    <w:rsid w:val="002D0216"/>
    <w:rsid w:val="002D1A87"/>
    <w:rsid w:val="002D25F9"/>
    <w:rsid w:val="002D4BE9"/>
    <w:rsid w:val="002F1104"/>
    <w:rsid w:val="002F6211"/>
    <w:rsid w:val="002F7E40"/>
    <w:rsid w:val="00300FA3"/>
    <w:rsid w:val="00303C35"/>
    <w:rsid w:val="00304D05"/>
    <w:rsid w:val="00312DA6"/>
    <w:rsid w:val="00313FBA"/>
    <w:rsid w:val="00320AF0"/>
    <w:rsid w:val="0033369E"/>
    <w:rsid w:val="00353ACF"/>
    <w:rsid w:val="00382BB5"/>
    <w:rsid w:val="003877CA"/>
    <w:rsid w:val="003952CE"/>
    <w:rsid w:val="00396C28"/>
    <w:rsid w:val="003A56BA"/>
    <w:rsid w:val="003B1A8B"/>
    <w:rsid w:val="003B3CAB"/>
    <w:rsid w:val="003B7AAB"/>
    <w:rsid w:val="003C0E47"/>
    <w:rsid w:val="003C1BFF"/>
    <w:rsid w:val="003C3DEB"/>
    <w:rsid w:val="003C6D28"/>
    <w:rsid w:val="003D0C6C"/>
    <w:rsid w:val="003D4968"/>
    <w:rsid w:val="003D5B7F"/>
    <w:rsid w:val="003D6634"/>
    <w:rsid w:val="003E0404"/>
    <w:rsid w:val="003E118D"/>
    <w:rsid w:val="003E5CB2"/>
    <w:rsid w:val="00403CB9"/>
    <w:rsid w:val="00411829"/>
    <w:rsid w:val="0041186E"/>
    <w:rsid w:val="004133A8"/>
    <w:rsid w:val="00422311"/>
    <w:rsid w:val="0043388D"/>
    <w:rsid w:val="0044148C"/>
    <w:rsid w:val="00446398"/>
    <w:rsid w:val="0046415A"/>
    <w:rsid w:val="004923C1"/>
    <w:rsid w:val="00496775"/>
    <w:rsid w:val="004A0254"/>
    <w:rsid w:val="004A4C92"/>
    <w:rsid w:val="004B46D9"/>
    <w:rsid w:val="004D3B47"/>
    <w:rsid w:val="004F4705"/>
    <w:rsid w:val="004F5B54"/>
    <w:rsid w:val="004F5E4F"/>
    <w:rsid w:val="00502A0A"/>
    <w:rsid w:val="0051071D"/>
    <w:rsid w:val="005179AD"/>
    <w:rsid w:val="005247A5"/>
    <w:rsid w:val="0052706F"/>
    <w:rsid w:val="00530C09"/>
    <w:rsid w:val="00537A32"/>
    <w:rsid w:val="00542DE9"/>
    <w:rsid w:val="00550360"/>
    <w:rsid w:val="00557F56"/>
    <w:rsid w:val="00562C02"/>
    <w:rsid w:val="00563064"/>
    <w:rsid w:val="00594324"/>
    <w:rsid w:val="00596313"/>
    <w:rsid w:val="005A0184"/>
    <w:rsid w:val="005B1884"/>
    <w:rsid w:val="005B4574"/>
    <w:rsid w:val="005C1BB7"/>
    <w:rsid w:val="00623765"/>
    <w:rsid w:val="00626A3F"/>
    <w:rsid w:val="00627881"/>
    <w:rsid w:val="006367A9"/>
    <w:rsid w:val="00640162"/>
    <w:rsid w:val="00642BB6"/>
    <w:rsid w:val="00655CF3"/>
    <w:rsid w:val="0066078E"/>
    <w:rsid w:val="0066444F"/>
    <w:rsid w:val="00672B88"/>
    <w:rsid w:val="00682667"/>
    <w:rsid w:val="006961F0"/>
    <w:rsid w:val="006A081E"/>
    <w:rsid w:val="006A086F"/>
    <w:rsid w:val="006A094F"/>
    <w:rsid w:val="006A7391"/>
    <w:rsid w:val="006A739D"/>
    <w:rsid w:val="006C196D"/>
    <w:rsid w:val="006C46BA"/>
    <w:rsid w:val="006E13E9"/>
    <w:rsid w:val="006E7A46"/>
    <w:rsid w:val="006F38F7"/>
    <w:rsid w:val="0070200F"/>
    <w:rsid w:val="00705B40"/>
    <w:rsid w:val="00713942"/>
    <w:rsid w:val="00714838"/>
    <w:rsid w:val="00716D24"/>
    <w:rsid w:val="00726AB6"/>
    <w:rsid w:val="00734448"/>
    <w:rsid w:val="00743ABB"/>
    <w:rsid w:val="00750FB4"/>
    <w:rsid w:val="00755C8A"/>
    <w:rsid w:val="007601E6"/>
    <w:rsid w:val="007700D6"/>
    <w:rsid w:val="007712FE"/>
    <w:rsid w:val="00782D3D"/>
    <w:rsid w:val="007846E5"/>
    <w:rsid w:val="007A388B"/>
    <w:rsid w:val="007A70E6"/>
    <w:rsid w:val="007B03F2"/>
    <w:rsid w:val="007B0CB0"/>
    <w:rsid w:val="007C75B4"/>
    <w:rsid w:val="007D7438"/>
    <w:rsid w:val="007E475C"/>
    <w:rsid w:val="007F4E89"/>
    <w:rsid w:val="008030C3"/>
    <w:rsid w:val="00811B89"/>
    <w:rsid w:val="00816686"/>
    <w:rsid w:val="0082007C"/>
    <w:rsid w:val="008206C1"/>
    <w:rsid w:val="0083184F"/>
    <w:rsid w:val="0083232B"/>
    <w:rsid w:val="00845489"/>
    <w:rsid w:val="00852DE4"/>
    <w:rsid w:val="00861450"/>
    <w:rsid w:val="00862EA4"/>
    <w:rsid w:val="00865E24"/>
    <w:rsid w:val="0087702E"/>
    <w:rsid w:val="0087763E"/>
    <w:rsid w:val="008803A4"/>
    <w:rsid w:val="008828E2"/>
    <w:rsid w:val="008836F2"/>
    <w:rsid w:val="008933AB"/>
    <w:rsid w:val="008A1360"/>
    <w:rsid w:val="008B2118"/>
    <w:rsid w:val="008D0E78"/>
    <w:rsid w:val="008D2FF4"/>
    <w:rsid w:val="008E0F81"/>
    <w:rsid w:val="008F1C90"/>
    <w:rsid w:val="008F7ECC"/>
    <w:rsid w:val="009063C7"/>
    <w:rsid w:val="0090678A"/>
    <w:rsid w:val="00910462"/>
    <w:rsid w:val="009203FA"/>
    <w:rsid w:val="00934FA6"/>
    <w:rsid w:val="009355BA"/>
    <w:rsid w:val="00937592"/>
    <w:rsid w:val="00950C6D"/>
    <w:rsid w:val="00956512"/>
    <w:rsid w:val="009704A2"/>
    <w:rsid w:val="00977CA7"/>
    <w:rsid w:val="0099695D"/>
    <w:rsid w:val="009A2752"/>
    <w:rsid w:val="009A5D09"/>
    <w:rsid w:val="009B1FAD"/>
    <w:rsid w:val="009C043C"/>
    <w:rsid w:val="009D0924"/>
    <w:rsid w:val="009D6F1E"/>
    <w:rsid w:val="009D7406"/>
    <w:rsid w:val="009E45D3"/>
    <w:rsid w:val="009E6BDB"/>
    <w:rsid w:val="009E6F51"/>
    <w:rsid w:val="009F4E95"/>
    <w:rsid w:val="009F7022"/>
    <w:rsid w:val="00A02393"/>
    <w:rsid w:val="00A1170C"/>
    <w:rsid w:val="00A12E16"/>
    <w:rsid w:val="00A15D87"/>
    <w:rsid w:val="00A227FC"/>
    <w:rsid w:val="00A447C0"/>
    <w:rsid w:val="00A50E2C"/>
    <w:rsid w:val="00A56825"/>
    <w:rsid w:val="00A673EB"/>
    <w:rsid w:val="00A677B3"/>
    <w:rsid w:val="00A74737"/>
    <w:rsid w:val="00A77EC5"/>
    <w:rsid w:val="00A96100"/>
    <w:rsid w:val="00AA5F58"/>
    <w:rsid w:val="00AB140A"/>
    <w:rsid w:val="00AB1841"/>
    <w:rsid w:val="00AB2303"/>
    <w:rsid w:val="00AC73DE"/>
    <w:rsid w:val="00AD00EF"/>
    <w:rsid w:val="00AD504F"/>
    <w:rsid w:val="00AE0D25"/>
    <w:rsid w:val="00AE14FF"/>
    <w:rsid w:val="00AE2FF4"/>
    <w:rsid w:val="00B00B92"/>
    <w:rsid w:val="00B03285"/>
    <w:rsid w:val="00B16835"/>
    <w:rsid w:val="00B170A9"/>
    <w:rsid w:val="00B200ED"/>
    <w:rsid w:val="00B3223C"/>
    <w:rsid w:val="00B34793"/>
    <w:rsid w:val="00B36E39"/>
    <w:rsid w:val="00B41B9A"/>
    <w:rsid w:val="00B45B5F"/>
    <w:rsid w:val="00B5357E"/>
    <w:rsid w:val="00B539A9"/>
    <w:rsid w:val="00B55F76"/>
    <w:rsid w:val="00B6207E"/>
    <w:rsid w:val="00B64F87"/>
    <w:rsid w:val="00B73DA3"/>
    <w:rsid w:val="00B80E82"/>
    <w:rsid w:val="00B81125"/>
    <w:rsid w:val="00B8112B"/>
    <w:rsid w:val="00B853D4"/>
    <w:rsid w:val="00B90317"/>
    <w:rsid w:val="00B93F21"/>
    <w:rsid w:val="00BA5269"/>
    <w:rsid w:val="00BB0767"/>
    <w:rsid w:val="00BB756D"/>
    <w:rsid w:val="00BC35B8"/>
    <w:rsid w:val="00BC70E2"/>
    <w:rsid w:val="00BE3B93"/>
    <w:rsid w:val="00BE430A"/>
    <w:rsid w:val="00BE55CA"/>
    <w:rsid w:val="00BF118B"/>
    <w:rsid w:val="00BF28EC"/>
    <w:rsid w:val="00C00E01"/>
    <w:rsid w:val="00C00F88"/>
    <w:rsid w:val="00C05E95"/>
    <w:rsid w:val="00C123C1"/>
    <w:rsid w:val="00C20809"/>
    <w:rsid w:val="00C32962"/>
    <w:rsid w:val="00C3643A"/>
    <w:rsid w:val="00C37B23"/>
    <w:rsid w:val="00C44608"/>
    <w:rsid w:val="00C44A73"/>
    <w:rsid w:val="00C574EE"/>
    <w:rsid w:val="00C60D17"/>
    <w:rsid w:val="00C6312D"/>
    <w:rsid w:val="00C718EB"/>
    <w:rsid w:val="00C7577F"/>
    <w:rsid w:val="00C801BF"/>
    <w:rsid w:val="00CA35A8"/>
    <w:rsid w:val="00CA7960"/>
    <w:rsid w:val="00CB196D"/>
    <w:rsid w:val="00CB2886"/>
    <w:rsid w:val="00CC7CF0"/>
    <w:rsid w:val="00CD2FCF"/>
    <w:rsid w:val="00CE0913"/>
    <w:rsid w:val="00CE5E69"/>
    <w:rsid w:val="00CE7B20"/>
    <w:rsid w:val="00CF0DEA"/>
    <w:rsid w:val="00D000AE"/>
    <w:rsid w:val="00D100BD"/>
    <w:rsid w:val="00D1195A"/>
    <w:rsid w:val="00D167B1"/>
    <w:rsid w:val="00D2265F"/>
    <w:rsid w:val="00D25C9A"/>
    <w:rsid w:val="00D3159B"/>
    <w:rsid w:val="00D32B06"/>
    <w:rsid w:val="00D43BBD"/>
    <w:rsid w:val="00D61B59"/>
    <w:rsid w:val="00D6359C"/>
    <w:rsid w:val="00D63914"/>
    <w:rsid w:val="00D66C0F"/>
    <w:rsid w:val="00D758EF"/>
    <w:rsid w:val="00D80D84"/>
    <w:rsid w:val="00D83E74"/>
    <w:rsid w:val="00D8519B"/>
    <w:rsid w:val="00D86732"/>
    <w:rsid w:val="00DA44A9"/>
    <w:rsid w:val="00DA4860"/>
    <w:rsid w:val="00DA681F"/>
    <w:rsid w:val="00DC5A8E"/>
    <w:rsid w:val="00DE0059"/>
    <w:rsid w:val="00DE752F"/>
    <w:rsid w:val="00DF57A9"/>
    <w:rsid w:val="00DF7E91"/>
    <w:rsid w:val="00E02B6A"/>
    <w:rsid w:val="00E11648"/>
    <w:rsid w:val="00E17E07"/>
    <w:rsid w:val="00E2125A"/>
    <w:rsid w:val="00E23670"/>
    <w:rsid w:val="00E24FA2"/>
    <w:rsid w:val="00E256E7"/>
    <w:rsid w:val="00E35D6F"/>
    <w:rsid w:val="00E4290A"/>
    <w:rsid w:val="00E44DF1"/>
    <w:rsid w:val="00E47639"/>
    <w:rsid w:val="00E51A6D"/>
    <w:rsid w:val="00E5449B"/>
    <w:rsid w:val="00E6099A"/>
    <w:rsid w:val="00E60B1D"/>
    <w:rsid w:val="00E67885"/>
    <w:rsid w:val="00EA4B29"/>
    <w:rsid w:val="00EA4B99"/>
    <w:rsid w:val="00EA5878"/>
    <w:rsid w:val="00EB0F17"/>
    <w:rsid w:val="00EB289B"/>
    <w:rsid w:val="00EB783C"/>
    <w:rsid w:val="00EC0DDC"/>
    <w:rsid w:val="00EC4213"/>
    <w:rsid w:val="00EC6BA3"/>
    <w:rsid w:val="00EE1065"/>
    <w:rsid w:val="00EE38E7"/>
    <w:rsid w:val="00EE7B1B"/>
    <w:rsid w:val="00F0360F"/>
    <w:rsid w:val="00F12C83"/>
    <w:rsid w:val="00F23EFD"/>
    <w:rsid w:val="00F30D26"/>
    <w:rsid w:val="00F40970"/>
    <w:rsid w:val="00F43319"/>
    <w:rsid w:val="00F4416D"/>
    <w:rsid w:val="00F531AD"/>
    <w:rsid w:val="00F6008B"/>
    <w:rsid w:val="00F60500"/>
    <w:rsid w:val="00F67B7A"/>
    <w:rsid w:val="00F70B6C"/>
    <w:rsid w:val="00F72B07"/>
    <w:rsid w:val="00F73C4B"/>
    <w:rsid w:val="00F74337"/>
    <w:rsid w:val="00FD4196"/>
    <w:rsid w:val="00FE14C1"/>
    <w:rsid w:val="00FE657F"/>
    <w:rsid w:val="00FF041A"/>
    <w:rsid w:val="00FF3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bg-BG"/>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uiPriority w:val="99"/>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bg-BG"/>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uiPriority w:val="99"/>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48927">
      <w:bodyDiv w:val="1"/>
      <w:marLeft w:val="0"/>
      <w:marRight w:val="0"/>
      <w:marTop w:val="0"/>
      <w:marBottom w:val="0"/>
      <w:divBdr>
        <w:top w:val="none" w:sz="0" w:space="0" w:color="auto"/>
        <w:left w:val="none" w:sz="0" w:space="0" w:color="auto"/>
        <w:bottom w:val="none" w:sz="0" w:space="0" w:color="auto"/>
        <w:right w:val="none" w:sz="0" w:space="0" w:color="auto"/>
      </w:divBdr>
    </w:div>
    <w:div w:id="142357604">
      <w:bodyDiv w:val="1"/>
      <w:marLeft w:val="0"/>
      <w:marRight w:val="0"/>
      <w:marTop w:val="0"/>
      <w:marBottom w:val="0"/>
      <w:divBdr>
        <w:top w:val="none" w:sz="0" w:space="0" w:color="auto"/>
        <w:left w:val="none" w:sz="0" w:space="0" w:color="auto"/>
        <w:bottom w:val="none" w:sz="0" w:space="0" w:color="auto"/>
        <w:right w:val="none" w:sz="0" w:space="0" w:color="auto"/>
      </w:divBdr>
    </w:div>
    <w:div w:id="241644202">
      <w:bodyDiv w:val="1"/>
      <w:marLeft w:val="0"/>
      <w:marRight w:val="0"/>
      <w:marTop w:val="0"/>
      <w:marBottom w:val="0"/>
      <w:divBdr>
        <w:top w:val="none" w:sz="0" w:space="0" w:color="auto"/>
        <w:left w:val="none" w:sz="0" w:space="0" w:color="auto"/>
        <w:bottom w:val="none" w:sz="0" w:space="0" w:color="auto"/>
        <w:right w:val="none" w:sz="0" w:space="0" w:color="auto"/>
      </w:divBdr>
    </w:div>
    <w:div w:id="433937666">
      <w:bodyDiv w:val="1"/>
      <w:marLeft w:val="0"/>
      <w:marRight w:val="0"/>
      <w:marTop w:val="0"/>
      <w:marBottom w:val="0"/>
      <w:divBdr>
        <w:top w:val="none" w:sz="0" w:space="0" w:color="auto"/>
        <w:left w:val="none" w:sz="0" w:space="0" w:color="auto"/>
        <w:bottom w:val="none" w:sz="0" w:space="0" w:color="auto"/>
        <w:right w:val="none" w:sz="0" w:space="0" w:color="auto"/>
      </w:divBdr>
    </w:div>
    <w:div w:id="508523875">
      <w:bodyDiv w:val="1"/>
      <w:marLeft w:val="0"/>
      <w:marRight w:val="0"/>
      <w:marTop w:val="0"/>
      <w:marBottom w:val="0"/>
      <w:divBdr>
        <w:top w:val="none" w:sz="0" w:space="0" w:color="auto"/>
        <w:left w:val="none" w:sz="0" w:space="0" w:color="auto"/>
        <w:bottom w:val="none" w:sz="0" w:space="0" w:color="auto"/>
        <w:right w:val="none" w:sz="0" w:space="0" w:color="auto"/>
      </w:divBdr>
    </w:div>
    <w:div w:id="560021652">
      <w:bodyDiv w:val="1"/>
      <w:marLeft w:val="0"/>
      <w:marRight w:val="0"/>
      <w:marTop w:val="0"/>
      <w:marBottom w:val="0"/>
      <w:divBdr>
        <w:top w:val="none" w:sz="0" w:space="0" w:color="auto"/>
        <w:left w:val="none" w:sz="0" w:space="0" w:color="auto"/>
        <w:bottom w:val="none" w:sz="0" w:space="0" w:color="auto"/>
        <w:right w:val="none" w:sz="0" w:space="0" w:color="auto"/>
      </w:divBdr>
    </w:div>
    <w:div w:id="677850184">
      <w:bodyDiv w:val="1"/>
      <w:marLeft w:val="0"/>
      <w:marRight w:val="0"/>
      <w:marTop w:val="0"/>
      <w:marBottom w:val="0"/>
      <w:divBdr>
        <w:top w:val="none" w:sz="0" w:space="0" w:color="auto"/>
        <w:left w:val="none" w:sz="0" w:space="0" w:color="auto"/>
        <w:bottom w:val="none" w:sz="0" w:space="0" w:color="auto"/>
        <w:right w:val="none" w:sz="0" w:space="0" w:color="auto"/>
      </w:divBdr>
    </w:div>
    <w:div w:id="792866796">
      <w:bodyDiv w:val="1"/>
      <w:marLeft w:val="0"/>
      <w:marRight w:val="0"/>
      <w:marTop w:val="0"/>
      <w:marBottom w:val="0"/>
      <w:divBdr>
        <w:top w:val="none" w:sz="0" w:space="0" w:color="auto"/>
        <w:left w:val="none" w:sz="0" w:space="0" w:color="auto"/>
        <w:bottom w:val="none" w:sz="0" w:space="0" w:color="auto"/>
        <w:right w:val="none" w:sz="0" w:space="0" w:color="auto"/>
      </w:divBdr>
    </w:div>
    <w:div w:id="811601868">
      <w:bodyDiv w:val="1"/>
      <w:marLeft w:val="0"/>
      <w:marRight w:val="0"/>
      <w:marTop w:val="0"/>
      <w:marBottom w:val="0"/>
      <w:divBdr>
        <w:top w:val="none" w:sz="0" w:space="0" w:color="auto"/>
        <w:left w:val="none" w:sz="0" w:space="0" w:color="auto"/>
        <w:bottom w:val="none" w:sz="0" w:space="0" w:color="auto"/>
        <w:right w:val="none" w:sz="0" w:space="0" w:color="auto"/>
      </w:divBdr>
    </w:div>
    <w:div w:id="932930611">
      <w:bodyDiv w:val="1"/>
      <w:marLeft w:val="0"/>
      <w:marRight w:val="0"/>
      <w:marTop w:val="0"/>
      <w:marBottom w:val="0"/>
      <w:divBdr>
        <w:top w:val="none" w:sz="0" w:space="0" w:color="auto"/>
        <w:left w:val="none" w:sz="0" w:space="0" w:color="auto"/>
        <w:bottom w:val="none" w:sz="0" w:space="0" w:color="auto"/>
        <w:right w:val="none" w:sz="0" w:space="0" w:color="auto"/>
      </w:divBdr>
    </w:div>
    <w:div w:id="953755776">
      <w:bodyDiv w:val="1"/>
      <w:marLeft w:val="0"/>
      <w:marRight w:val="0"/>
      <w:marTop w:val="0"/>
      <w:marBottom w:val="0"/>
      <w:divBdr>
        <w:top w:val="none" w:sz="0" w:space="0" w:color="auto"/>
        <w:left w:val="none" w:sz="0" w:space="0" w:color="auto"/>
        <w:bottom w:val="none" w:sz="0" w:space="0" w:color="auto"/>
        <w:right w:val="none" w:sz="0" w:space="0" w:color="auto"/>
      </w:divBdr>
    </w:div>
    <w:div w:id="1203246228">
      <w:bodyDiv w:val="1"/>
      <w:marLeft w:val="0"/>
      <w:marRight w:val="0"/>
      <w:marTop w:val="0"/>
      <w:marBottom w:val="0"/>
      <w:divBdr>
        <w:top w:val="none" w:sz="0" w:space="0" w:color="auto"/>
        <w:left w:val="none" w:sz="0" w:space="0" w:color="auto"/>
        <w:bottom w:val="none" w:sz="0" w:space="0" w:color="auto"/>
        <w:right w:val="none" w:sz="0" w:space="0" w:color="auto"/>
      </w:divBdr>
    </w:div>
    <w:div w:id="1496415349">
      <w:bodyDiv w:val="1"/>
      <w:marLeft w:val="0"/>
      <w:marRight w:val="0"/>
      <w:marTop w:val="0"/>
      <w:marBottom w:val="0"/>
      <w:divBdr>
        <w:top w:val="none" w:sz="0" w:space="0" w:color="auto"/>
        <w:left w:val="none" w:sz="0" w:space="0" w:color="auto"/>
        <w:bottom w:val="none" w:sz="0" w:space="0" w:color="auto"/>
        <w:right w:val="none" w:sz="0" w:space="0" w:color="auto"/>
      </w:divBdr>
      <w:divsChild>
        <w:div w:id="46338098">
          <w:marLeft w:val="0"/>
          <w:marRight w:val="0"/>
          <w:marTop w:val="0"/>
          <w:marBottom w:val="150"/>
          <w:divBdr>
            <w:top w:val="none" w:sz="0" w:space="0" w:color="auto"/>
            <w:left w:val="none" w:sz="0" w:space="0" w:color="auto"/>
            <w:bottom w:val="none" w:sz="0" w:space="0" w:color="auto"/>
            <w:right w:val="none" w:sz="0" w:space="0" w:color="auto"/>
          </w:divBdr>
        </w:div>
      </w:divsChild>
    </w:div>
    <w:div w:id="1750037718">
      <w:bodyDiv w:val="1"/>
      <w:marLeft w:val="0"/>
      <w:marRight w:val="0"/>
      <w:marTop w:val="0"/>
      <w:marBottom w:val="0"/>
      <w:divBdr>
        <w:top w:val="none" w:sz="0" w:space="0" w:color="auto"/>
        <w:left w:val="none" w:sz="0" w:space="0" w:color="auto"/>
        <w:bottom w:val="none" w:sz="0" w:space="0" w:color="auto"/>
        <w:right w:val="none" w:sz="0" w:space="0" w:color="auto"/>
      </w:divBdr>
    </w:div>
    <w:div w:id="1850102912">
      <w:bodyDiv w:val="1"/>
      <w:marLeft w:val="0"/>
      <w:marRight w:val="0"/>
      <w:marTop w:val="0"/>
      <w:marBottom w:val="0"/>
      <w:divBdr>
        <w:top w:val="none" w:sz="0" w:space="0" w:color="auto"/>
        <w:left w:val="none" w:sz="0" w:space="0" w:color="auto"/>
        <w:bottom w:val="none" w:sz="0" w:space="0" w:color="auto"/>
        <w:right w:val="none" w:sz="0" w:space="0" w:color="auto"/>
      </w:divBdr>
    </w:div>
    <w:div w:id="1961834929">
      <w:bodyDiv w:val="1"/>
      <w:marLeft w:val="0"/>
      <w:marRight w:val="0"/>
      <w:marTop w:val="0"/>
      <w:marBottom w:val="0"/>
      <w:divBdr>
        <w:top w:val="none" w:sz="0" w:space="0" w:color="auto"/>
        <w:left w:val="none" w:sz="0" w:space="0" w:color="auto"/>
        <w:bottom w:val="none" w:sz="0" w:space="0" w:color="auto"/>
        <w:right w:val="none" w:sz="0" w:space="0" w:color="auto"/>
      </w:divBdr>
    </w:div>
    <w:div w:id="211670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info/food-farming-fisheries/key-policies/common-agricultural-policy/evaluation-policy-measures/sustainability/impact-cap-water_e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ec.europa.eu/info/food-farming-fisheries/key-policies/common-agricultural-policy/evaluation-policy-measures/sustainability/impact-cap-habitats-landscapes-biodiversity-0_en" TargetMode="External"/><Relationship Id="rId4" Type="http://schemas.microsoft.com/office/2007/relationships/stylesWithEffects" Target="stylesWithEffects.xml"/><Relationship Id="rId9" Type="http://schemas.openxmlformats.org/officeDocument/2006/relationships/hyperlink" Target="https://www.mzh.government.bg/media/filer_public/2020/03/20/rd_09-306_20032020_YwRysig.pdf"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B5950-0244-46BA-8D1D-221179CB1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2758</Words>
  <Characters>15727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Dimitar Nikolov</dc:creator>
  <cp:lastModifiedBy>Potrebitel</cp:lastModifiedBy>
  <cp:revision>2</cp:revision>
  <dcterms:created xsi:type="dcterms:W3CDTF">2020-03-30T16:15:00Z</dcterms:created>
  <dcterms:modified xsi:type="dcterms:W3CDTF">2020-03-30T16:15:00Z</dcterms:modified>
</cp:coreProperties>
</file>