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403CB9" w:rsidRPr="00A944C7" w:rsidTr="00DF42CC">
        <w:tc>
          <w:tcPr>
            <w:tcW w:w="9923" w:type="dxa"/>
            <w:shd w:val="clear" w:color="auto" w:fill="C0C0C0"/>
          </w:tcPr>
          <w:p w:rsidR="00403CB9" w:rsidRPr="00A944C7" w:rsidRDefault="00403CB9" w:rsidP="00DF42CC">
            <w:pPr>
              <w:jc w:val="both"/>
              <w:rPr>
                <w:rFonts w:ascii="Arial" w:hAnsi="Arial" w:cs="Arial"/>
                <w:b/>
                <w:i/>
                <w:sz w:val="20"/>
                <w:lang w:val="bg-BG"/>
              </w:rPr>
            </w:pPr>
            <w:r w:rsidRPr="00A944C7">
              <w:rPr>
                <w:rFonts w:ascii="Arial" w:hAnsi="Arial" w:cs="Arial"/>
                <w:b/>
                <w:i/>
                <w:sz w:val="20"/>
                <w:lang w:val="bg-BG"/>
              </w:rPr>
              <w:t>Директни плащания</w:t>
            </w:r>
          </w:p>
        </w:tc>
      </w:tr>
    </w:tbl>
    <w:p w:rsidR="00403CB9" w:rsidRPr="00A944C7" w:rsidRDefault="00403CB9" w:rsidP="00403CB9">
      <w:pPr>
        <w:jc w:val="both"/>
        <w:rPr>
          <w:rStyle w:val="longtext"/>
          <w:rFonts w:ascii="Arial" w:hAnsi="Arial" w:cs="Arial"/>
          <w:b/>
          <w:sz w:val="20"/>
          <w:lang w:val="bg-BG"/>
        </w:rPr>
      </w:pPr>
    </w:p>
    <w:p w:rsidR="0003559B" w:rsidRDefault="0003559B" w:rsidP="0003559B">
      <w:pPr>
        <w:tabs>
          <w:tab w:val="left" w:pos="4177"/>
        </w:tabs>
        <w:jc w:val="both"/>
        <w:rPr>
          <w:rFonts w:ascii="Arial" w:hAnsi="Arial" w:cs="Arial"/>
          <w:sz w:val="20"/>
          <w:lang w:val="bg-BG"/>
        </w:rPr>
      </w:pPr>
      <w:r w:rsidRPr="00A944C7">
        <w:rPr>
          <w:rFonts w:ascii="Arial" w:hAnsi="Arial" w:cs="Arial"/>
          <w:b/>
          <w:sz w:val="20"/>
          <w:lang w:val="bg-BG"/>
        </w:rPr>
        <w:t xml:space="preserve">1. В ход е общественото обсъждане на проекта на Наредба за изменение и допълнение на Наредба № 3 от 2015 г. за условията и реда за прилагане на схемите за директни плащания. </w:t>
      </w:r>
      <w:r w:rsidRPr="00A944C7">
        <w:rPr>
          <w:rFonts w:ascii="Arial" w:hAnsi="Arial" w:cs="Arial"/>
          <w:sz w:val="20"/>
          <w:lang w:val="bg-BG"/>
        </w:rPr>
        <w:t xml:space="preserve">Проектът на наредба е </w:t>
      </w:r>
      <w:r w:rsidR="00A516BA">
        <w:rPr>
          <w:rFonts w:ascii="Arial" w:hAnsi="Arial" w:cs="Arial"/>
          <w:sz w:val="20"/>
          <w:lang w:val="bg-BG"/>
        </w:rPr>
        <w:t>публикуван</w:t>
      </w:r>
      <w:r w:rsidRPr="00A944C7">
        <w:rPr>
          <w:rFonts w:ascii="Arial" w:hAnsi="Arial" w:cs="Arial"/>
          <w:sz w:val="20"/>
          <w:lang w:val="bg-BG"/>
        </w:rPr>
        <w:t xml:space="preserve"> на електронната страница на Министерство на земеделието, храните и горите, в секция „Нормативни документи“, подсекция „Проекти на нормативни документи“. Проектът на наредба включва актуалните изменения на условията </w:t>
      </w:r>
      <w:r w:rsidR="00A516BA">
        <w:rPr>
          <w:rFonts w:ascii="Arial" w:hAnsi="Arial" w:cs="Arial"/>
          <w:sz w:val="20"/>
          <w:lang w:val="bg-BG"/>
        </w:rPr>
        <w:t>по</w:t>
      </w:r>
      <w:r w:rsidRPr="00A944C7">
        <w:rPr>
          <w:rFonts w:ascii="Arial" w:hAnsi="Arial" w:cs="Arial"/>
          <w:sz w:val="20"/>
          <w:lang w:val="bg-BG"/>
        </w:rPr>
        <w:t xml:space="preserve"> схемите за директни плащания, които ще бъдат прилагани за Кампания 2020. Срокът за предоставяне на становища от заинтересованите</w:t>
      </w:r>
      <w:r w:rsidR="00A516BA">
        <w:rPr>
          <w:rFonts w:ascii="Arial" w:hAnsi="Arial" w:cs="Arial"/>
          <w:sz w:val="20"/>
          <w:lang w:val="bg-BG"/>
        </w:rPr>
        <w:t xml:space="preserve"> страни е 17 февруари 2020 год. Проектът на наредба може</w:t>
      </w:r>
      <w:r w:rsidRPr="00A944C7">
        <w:rPr>
          <w:rFonts w:ascii="Arial" w:hAnsi="Arial" w:cs="Arial"/>
          <w:sz w:val="20"/>
          <w:lang w:val="bg-BG"/>
        </w:rPr>
        <w:t xml:space="preserve"> </w:t>
      </w:r>
      <w:r w:rsidR="00A516BA">
        <w:rPr>
          <w:rFonts w:ascii="Arial" w:hAnsi="Arial" w:cs="Arial"/>
          <w:sz w:val="20"/>
          <w:lang w:val="bg-BG"/>
        </w:rPr>
        <w:t>да бъде видян</w:t>
      </w:r>
      <w:r w:rsidR="00CF22EC">
        <w:rPr>
          <w:rFonts w:ascii="Arial" w:hAnsi="Arial" w:cs="Arial"/>
          <w:sz w:val="20"/>
          <w:lang w:val="bg-BG"/>
        </w:rPr>
        <w:t>, като се използва</w:t>
      </w:r>
      <w:r w:rsidR="00A516BA">
        <w:rPr>
          <w:rFonts w:ascii="Arial" w:hAnsi="Arial" w:cs="Arial"/>
          <w:sz w:val="20"/>
          <w:lang w:val="bg-BG"/>
        </w:rPr>
        <w:t xml:space="preserve"> </w:t>
      </w:r>
      <w:r w:rsidRPr="00A944C7">
        <w:rPr>
          <w:rFonts w:ascii="Arial" w:hAnsi="Arial" w:cs="Arial"/>
          <w:sz w:val="20"/>
          <w:lang w:val="bg-BG"/>
        </w:rPr>
        <w:t xml:space="preserve">следната връзка: </w:t>
      </w:r>
      <w:hyperlink r:id="rId8" w:history="1">
        <w:r w:rsidRPr="00A944C7">
          <w:rPr>
            <w:rStyle w:val="Hyperlink"/>
            <w:rFonts w:ascii="Arial" w:hAnsi="Arial" w:cs="Arial"/>
            <w:sz w:val="20"/>
            <w:lang w:val="bg-BG"/>
          </w:rPr>
          <w:t>https://www.mzh.government.bg/bg/normativni-aktove/proekti-na-normativni-aktove/proekt-na-naredba-za-izmenenie-i-doplnenie160120/</w:t>
        </w:r>
      </w:hyperlink>
      <w:r w:rsidRPr="00A944C7">
        <w:rPr>
          <w:rFonts w:ascii="Arial" w:hAnsi="Arial" w:cs="Arial"/>
          <w:sz w:val="20"/>
          <w:lang w:val="bg-BG"/>
        </w:rPr>
        <w:t xml:space="preserve"> </w:t>
      </w:r>
    </w:p>
    <w:p w:rsidR="00C72D96" w:rsidRPr="00A944C7" w:rsidRDefault="00C72D96" w:rsidP="0003559B">
      <w:pPr>
        <w:tabs>
          <w:tab w:val="left" w:pos="4177"/>
        </w:tabs>
        <w:jc w:val="both"/>
        <w:rPr>
          <w:rFonts w:ascii="Arial" w:hAnsi="Arial" w:cs="Arial"/>
          <w:sz w:val="20"/>
          <w:lang w:val="bg-BG"/>
        </w:rPr>
      </w:pPr>
    </w:p>
    <w:p w:rsidR="0003559B" w:rsidRDefault="0003559B" w:rsidP="0003559B">
      <w:pPr>
        <w:pStyle w:val="Title"/>
        <w:tabs>
          <w:tab w:val="num" w:pos="2880"/>
        </w:tabs>
        <w:jc w:val="both"/>
        <w:rPr>
          <w:rFonts w:ascii="Arial" w:hAnsi="Arial" w:cs="Arial"/>
          <w:b w:val="0"/>
          <w:sz w:val="20"/>
          <w:lang w:val="en-US" w:eastAsia="en-US"/>
        </w:rPr>
      </w:pPr>
      <w:r w:rsidRPr="00A944C7">
        <w:rPr>
          <w:rFonts w:ascii="Arial" w:hAnsi="Arial" w:cs="Arial"/>
          <w:sz w:val="20"/>
          <w:lang w:eastAsia="en-US"/>
        </w:rPr>
        <w:t xml:space="preserve">2. </w:t>
      </w:r>
      <w:r w:rsidR="00AA74BC">
        <w:rPr>
          <w:rFonts w:ascii="Arial" w:hAnsi="Arial" w:cs="Arial"/>
          <w:sz w:val="20"/>
          <w:lang w:eastAsia="en-US"/>
        </w:rPr>
        <w:t>Периодът за подаване на</w:t>
      </w:r>
      <w:r w:rsidRPr="00A944C7">
        <w:rPr>
          <w:rFonts w:ascii="Arial" w:hAnsi="Arial" w:cs="Arial"/>
          <w:sz w:val="20"/>
          <w:lang w:eastAsia="en-US"/>
        </w:rPr>
        <w:t xml:space="preserve"> </w:t>
      </w:r>
      <w:r w:rsidR="00AA74BC" w:rsidRPr="00A944C7">
        <w:rPr>
          <w:rFonts w:ascii="Arial" w:hAnsi="Arial" w:cs="Arial"/>
          <w:sz w:val="20"/>
          <w:lang w:eastAsia="en-US"/>
        </w:rPr>
        <w:t xml:space="preserve">документи за реализация на </w:t>
      </w:r>
      <w:r w:rsidR="00AA74BC">
        <w:rPr>
          <w:rFonts w:ascii="Arial" w:hAnsi="Arial" w:cs="Arial"/>
          <w:sz w:val="20"/>
          <w:lang w:eastAsia="en-US"/>
        </w:rPr>
        <w:t>продукцията</w:t>
      </w:r>
      <w:r w:rsidR="00AA74BC" w:rsidRPr="00A944C7">
        <w:rPr>
          <w:rFonts w:ascii="Arial" w:hAnsi="Arial" w:cs="Arial"/>
          <w:sz w:val="20"/>
          <w:lang w:eastAsia="en-US"/>
        </w:rPr>
        <w:t xml:space="preserve"> по схемите за обвързано подпомагане за плодове и зеленчуци за Кампания 201</w:t>
      </w:r>
      <w:r w:rsidR="00AA74BC">
        <w:rPr>
          <w:rFonts w:ascii="Arial" w:hAnsi="Arial" w:cs="Arial"/>
          <w:sz w:val="20"/>
          <w:lang w:eastAsia="en-US"/>
        </w:rPr>
        <w:t>9 е от</w:t>
      </w:r>
      <w:r w:rsidRPr="00A944C7">
        <w:rPr>
          <w:rFonts w:ascii="Arial" w:hAnsi="Arial" w:cs="Arial"/>
          <w:sz w:val="20"/>
          <w:lang w:eastAsia="en-US"/>
        </w:rPr>
        <w:t xml:space="preserve"> 1 до 31 януари 2020 год. </w:t>
      </w:r>
      <w:r w:rsidR="00AA74BC">
        <w:rPr>
          <w:rFonts w:ascii="Arial" w:hAnsi="Arial" w:cs="Arial"/>
          <w:b w:val="0"/>
          <w:sz w:val="20"/>
          <w:lang w:eastAsia="en-US"/>
        </w:rPr>
        <w:t>Кандидатите по схемите удостоверяват добиви от заявените площи, като</w:t>
      </w:r>
      <w:r w:rsidR="00351624">
        <w:rPr>
          <w:rFonts w:ascii="Arial" w:hAnsi="Arial" w:cs="Arial"/>
          <w:b w:val="0"/>
          <w:sz w:val="20"/>
          <w:lang w:eastAsia="en-US"/>
        </w:rPr>
        <w:t xml:space="preserve"> представят</w:t>
      </w:r>
      <w:r w:rsidRPr="00A944C7">
        <w:rPr>
          <w:rFonts w:ascii="Arial" w:hAnsi="Arial" w:cs="Arial"/>
          <w:b w:val="0"/>
          <w:sz w:val="20"/>
          <w:lang w:eastAsia="en-US"/>
        </w:rPr>
        <w:t xml:space="preserve"> декларация и опис (по образец) за произведената продукция през стопанската 2019 год., както и документи</w:t>
      </w:r>
      <w:r w:rsidR="00351624">
        <w:rPr>
          <w:rFonts w:ascii="Arial" w:hAnsi="Arial" w:cs="Arial"/>
          <w:b w:val="0"/>
          <w:sz w:val="20"/>
          <w:lang w:eastAsia="en-US"/>
        </w:rPr>
        <w:t>, които доказват нейната</w:t>
      </w:r>
      <w:r w:rsidRPr="00A944C7">
        <w:rPr>
          <w:rFonts w:ascii="Arial" w:hAnsi="Arial" w:cs="Arial"/>
          <w:b w:val="0"/>
          <w:sz w:val="20"/>
          <w:lang w:eastAsia="en-US"/>
        </w:rPr>
        <w:t xml:space="preserve"> реализация.</w:t>
      </w:r>
      <w:r w:rsidRPr="00A944C7">
        <w:t xml:space="preserve"> </w:t>
      </w:r>
      <w:r w:rsidRPr="00A944C7">
        <w:rPr>
          <w:rFonts w:ascii="Arial" w:hAnsi="Arial" w:cs="Arial"/>
          <w:b w:val="0"/>
          <w:sz w:val="20"/>
          <w:lang w:eastAsia="en-US"/>
        </w:rPr>
        <w:t xml:space="preserve">Документите се представят от кандидатите (или чрез техен представител, упълномощен с нотариално заверено пълномощно) в съответните областни дирекции на ДФЗ-РА. </w:t>
      </w:r>
      <w:r w:rsidR="00375A2B">
        <w:rPr>
          <w:rFonts w:ascii="Arial" w:hAnsi="Arial" w:cs="Arial"/>
          <w:b w:val="0"/>
          <w:sz w:val="20"/>
          <w:lang w:eastAsia="en-US"/>
        </w:rPr>
        <w:t>У</w:t>
      </w:r>
      <w:r w:rsidRPr="00A944C7">
        <w:rPr>
          <w:rFonts w:ascii="Arial" w:hAnsi="Arial" w:cs="Arial"/>
          <w:b w:val="0"/>
          <w:sz w:val="20"/>
          <w:lang w:eastAsia="en-US"/>
        </w:rPr>
        <w:t>словия, свързани с подаване на документи по схемите за обвързано подпомагане за плодове и зеленчуци, са описани в чл. 32 от Наредба № 3 от 17.02.2015 г. за условията и реда за прилагане на схемите за директни плащания.</w:t>
      </w:r>
    </w:p>
    <w:p w:rsidR="006D781C" w:rsidRDefault="006D781C" w:rsidP="0003559B">
      <w:pPr>
        <w:pStyle w:val="Title"/>
        <w:tabs>
          <w:tab w:val="num" w:pos="2880"/>
        </w:tabs>
        <w:jc w:val="both"/>
        <w:rPr>
          <w:rFonts w:ascii="Arial" w:hAnsi="Arial" w:cs="Arial"/>
          <w:b w:val="0"/>
          <w:sz w:val="20"/>
          <w:lang w:val="en-US" w:eastAsia="en-US"/>
        </w:rPr>
      </w:pPr>
    </w:p>
    <w:p w:rsidR="006D781C" w:rsidRPr="006D781C" w:rsidRDefault="006D781C" w:rsidP="0003559B">
      <w:pPr>
        <w:pStyle w:val="Title"/>
        <w:tabs>
          <w:tab w:val="num" w:pos="2880"/>
        </w:tabs>
        <w:jc w:val="both"/>
        <w:rPr>
          <w:rFonts w:ascii="Arial" w:hAnsi="Arial" w:cs="Arial"/>
          <w:b w:val="0"/>
          <w:sz w:val="20"/>
          <w:lang w:val="ru-RU" w:eastAsia="en-US"/>
        </w:rPr>
      </w:pPr>
      <w:r w:rsidRPr="006D781C">
        <w:rPr>
          <w:rFonts w:ascii="Arial" w:hAnsi="Arial" w:cs="Arial"/>
          <w:color w:val="222222"/>
          <w:sz w:val="20"/>
          <w:lang w:val="ru-RU"/>
        </w:rPr>
        <w:t>3</w:t>
      </w:r>
      <w:r w:rsidRPr="009E445E">
        <w:rPr>
          <w:rFonts w:ascii="Arial" w:hAnsi="Arial" w:cs="Arial"/>
          <w:color w:val="222222"/>
          <w:sz w:val="20"/>
        </w:rPr>
        <w:t>.</w:t>
      </w:r>
      <w:r w:rsidRPr="006D781C">
        <w:rPr>
          <w:rFonts w:ascii="Arial" w:hAnsi="Arial" w:cs="Arial"/>
          <w:color w:val="222222"/>
          <w:sz w:val="20"/>
          <w:lang w:val="ru-RU"/>
        </w:rPr>
        <w:t xml:space="preserve"> </w:t>
      </w:r>
      <w:r>
        <w:rPr>
          <w:rFonts w:ascii="Arial" w:hAnsi="Arial" w:cs="Arial"/>
          <w:color w:val="222222"/>
          <w:sz w:val="20"/>
        </w:rPr>
        <w:t xml:space="preserve">На 24 януари в Брюксел (Белгия) бяха проведени заседания на експертната група и комитета по директни плащания, организирани от Комисията с участието на експерти от държавите членки. </w:t>
      </w:r>
      <w:r w:rsidRPr="006D781C">
        <w:rPr>
          <w:rFonts w:ascii="Arial" w:hAnsi="Arial" w:cs="Arial"/>
          <w:b w:val="0"/>
          <w:color w:val="222222"/>
          <w:sz w:val="20"/>
        </w:rPr>
        <w:t>По време на комитета по директни плащания, Комисията представи напредъка, постигнат до момента и предвидените действия през 2020 год. за насърчаване и подпомагане на държавите членки за предоставяне на информация от ИСАК до други публични органи (</w:t>
      </w:r>
      <w:r w:rsidRPr="006D781C">
        <w:rPr>
          <w:rFonts w:ascii="Arial" w:hAnsi="Arial" w:cs="Arial" w:hint="eastAsia"/>
          <w:b w:val="0"/>
          <w:color w:val="222222"/>
          <w:sz w:val="20"/>
        </w:rPr>
        <w:t>вкл</w:t>
      </w:r>
      <w:r w:rsidRPr="006D781C">
        <w:rPr>
          <w:rFonts w:ascii="Arial" w:hAnsi="Arial" w:cs="Arial"/>
          <w:b w:val="0"/>
          <w:color w:val="222222"/>
          <w:sz w:val="20"/>
        </w:rPr>
        <w:t xml:space="preserve">. </w:t>
      </w:r>
      <w:r w:rsidRPr="006D781C">
        <w:rPr>
          <w:rFonts w:ascii="Arial" w:hAnsi="Arial" w:cs="Arial" w:hint="eastAsia"/>
          <w:b w:val="0"/>
          <w:color w:val="222222"/>
          <w:sz w:val="20"/>
        </w:rPr>
        <w:t>Комисията</w:t>
      </w:r>
      <w:r w:rsidRPr="006D781C">
        <w:rPr>
          <w:rFonts w:ascii="Arial" w:hAnsi="Arial" w:cs="Arial"/>
          <w:b w:val="0"/>
          <w:color w:val="222222"/>
          <w:sz w:val="20"/>
        </w:rPr>
        <w:t xml:space="preserve">) в контекста на европейското законодателство. В подкрепа на държавите членки, Комисията е разработила два технически документа, които предоставят допълнителни насоки за прилагането. Делегациите подкрепиха идеята за споделяне на данни от ИСАК, като са започнали работа по отношение изпълнението на директивата INSPIRE. ДЧ зададоха допълнителни уточняващи въпроси на Комисията, свързани с текстовете на насоките, както и подхода за адаптиране на национално законодателство към изискванията на </w:t>
      </w:r>
      <w:r w:rsidRPr="006D781C">
        <w:rPr>
          <w:rFonts w:ascii="Arial" w:hAnsi="Arial" w:cs="Arial" w:hint="eastAsia"/>
          <w:b w:val="0"/>
          <w:color w:val="222222"/>
          <w:sz w:val="20"/>
        </w:rPr>
        <w:t>директива</w:t>
      </w:r>
      <w:r w:rsidRPr="006D781C">
        <w:rPr>
          <w:rFonts w:ascii="Arial" w:hAnsi="Arial" w:cs="Arial"/>
          <w:b w:val="0"/>
          <w:color w:val="222222"/>
          <w:sz w:val="20"/>
        </w:rPr>
        <w:t xml:space="preserve">та. По време на експертната група по директни плащания, бяха направени презентации от компаниите, доставчици в момента на услуги за предоставяне на данни и информация от програмата „Коперник“ на ЕС (т.нар. </w:t>
      </w:r>
      <w:r w:rsidRPr="006D781C">
        <w:rPr>
          <w:rFonts w:ascii="Arial" w:hAnsi="Arial" w:cs="Arial"/>
          <w:b w:val="0"/>
          <w:color w:val="222222"/>
          <w:sz w:val="20"/>
          <w:lang w:val="en-US"/>
        </w:rPr>
        <w:t>DIAS</w:t>
      </w:r>
      <w:r w:rsidRPr="006D781C">
        <w:rPr>
          <w:rFonts w:ascii="Arial" w:hAnsi="Arial" w:cs="Arial"/>
          <w:b w:val="0"/>
          <w:color w:val="222222"/>
          <w:sz w:val="20"/>
          <w:lang w:val="ru-RU"/>
        </w:rPr>
        <w:t xml:space="preserve"> </w:t>
      </w:r>
      <w:r w:rsidRPr="006D781C">
        <w:rPr>
          <w:rFonts w:ascii="Arial" w:hAnsi="Arial" w:cs="Arial"/>
          <w:b w:val="0"/>
          <w:color w:val="222222"/>
          <w:sz w:val="20"/>
        </w:rPr>
        <w:t xml:space="preserve">услуга). Презентациите са свързани с прилагането на дистанционния мониторинг  на площите чрез сателитни изображения (бел. система за наблюдение на площите и дейността на земеделските стопани чрез сателитни изображения по отношение на всички площни мерки за подпомагане, финансирани от ОСП) и различните функционалности и предимства, които доставчиците могат да предоставят на ДЧ. В момента системата за </w:t>
      </w:r>
      <w:r w:rsidRPr="006D781C">
        <w:rPr>
          <w:rFonts w:ascii="Arial" w:hAnsi="Arial" w:cs="Arial" w:hint="eastAsia"/>
          <w:b w:val="0"/>
          <w:color w:val="222222"/>
          <w:sz w:val="20"/>
        </w:rPr>
        <w:t>дистанцион</w:t>
      </w:r>
      <w:r w:rsidRPr="006D781C">
        <w:rPr>
          <w:rFonts w:ascii="Arial" w:hAnsi="Arial" w:cs="Arial"/>
          <w:b w:val="0"/>
          <w:color w:val="222222"/>
          <w:sz w:val="20"/>
        </w:rPr>
        <w:t xml:space="preserve">ен </w:t>
      </w:r>
      <w:r w:rsidRPr="006D781C">
        <w:rPr>
          <w:rFonts w:ascii="Arial" w:hAnsi="Arial" w:cs="Arial" w:hint="eastAsia"/>
          <w:b w:val="0"/>
          <w:color w:val="222222"/>
          <w:sz w:val="20"/>
        </w:rPr>
        <w:t>мониторинг</w:t>
      </w:r>
      <w:r w:rsidRPr="006D781C">
        <w:rPr>
          <w:rFonts w:ascii="Arial" w:hAnsi="Arial" w:cs="Arial"/>
          <w:b w:val="0"/>
          <w:color w:val="222222"/>
          <w:sz w:val="20"/>
        </w:rPr>
        <w:t xml:space="preserve"> се прилага тестово от пет ДЧ, като с реформата на законодателството на ОСП за следващия програмен период 2021-2027 год. ще бъде въведена задължително от всички ДЧ на ЕС. ДЧ, Комисията и компаниите обсъдиха технически аспекти, свързани с подготовката на служителите и реалното въвеждане на системата за дистанционен мониторинг на площите в експлоатация.</w:t>
      </w:r>
    </w:p>
    <w:p w:rsidR="009D0924" w:rsidRPr="006D781C" w:rsidRDefault="009D0924" w:rsidP="00403CB9">
      <w:pPr>
        <w:jc w:val="both"/>
        <w:rPr>
          <w:rFonts w:ascii="Arial" w:eastAsia="SimSun" w:hAnsi="Arial" w:cs="Arial"/>
          <w:bCs/>
          <w:color w:val="000000"/>
          <w:sz w:val="20"/>
          <w:lang w:val="bg-BG" w:eastAsia="bg-BG"/>
        </w:rPr>
      </w:pPr>
    </w:p>
    <w:tbl>
      <w:tblPr>
        <w:tblW w:w="10156" w:type="dxa"/>
        <w:tblInd w:w="108" w:type="dxa"/>
        <w:tblLook w:val="01E0" w:firstRow="1" w:lastRow="1" w:firstColumn="1" w:lastColumn="1" w:noHBand="0" w:noVBand="0"/>
      </w:tblPr>
      <w:tblGrid>
        <w:gridCol w:w="9900"/>
        <w:gridCol w:w="256"/>
      </w:tblGrid>
      <w:tr w:rsidR="00403CB9" w:rsidRPr="006D781C" w:rsidTr="00DF42CC">
        <w:tc>
          <w:tcPr>
            <w:tcW w:w="9900" w:type="dxa"/>
            <w:shd w:val="clear" w:color="auto" w:fill="C0C0C0"/>
            <w:hideMark/>
          </w:tcPr>
          <w:p w:rsidR="00403CB9" w:rsidRPr="00A944C7" w:rsidRDefault="00403CB9" w:rsidP="00DF42CC">
            <w:pPr>
              <w:tabs>
                <w:tab w:val="left" w:pos="1020"/>
              </w:tabs>
              <w:autoSpaceDE w:val="0"/>
              <w:autoSpaceDN w:val="0"/>
              <w:adjustRightInd w:val="0"/>
              <w:jc w:val="both"/>
              <w:rPr>
                <w:rFonts w:ascii="Arial" w:hAnsi="Arial" w:cs="Arial"/>
                <w:b/>
                <w:i/>
                <w:iCs/>
                <w:sz w:val="20"/>
                <w:lang w:val="bg-BG"/>
              </w:rPr>
            </w:pPr>
            <w:r w:rsidRPr="00A944C7">
              <w:rPr>
                <w:rFonts w:ascii="Arial" w:hAnsi="Arial" w:cs="Arial"/>
                <w:b/>
                <w:i/>
                <w:sz w:val="20"/>
                <w:lang w:val="bg-BG"/>
              </w:rPr>
              <w:t>Визия за ОСП след 2020 г.</w:t>
            </w:r>
          </w:p>
        </w:tc>
        <w:tc>
          <w:tcPr>
            <w:tcW w:w="256" w:type="dxa"/>
          </w:tcPr>
          <w:p w:rsidR="00403CB9" w:rsidRPr="00A944C7" w:rsidRDefault="00403CB9" w:rsidP="00DF42CC">
            <w:pPr>
              <w:jc w:val="both"/>
              <w:rPr>
                <w:rFonts w:ascii="Arial" w:hAnsi="Arial" w:cs="Arial"/>
                <w:b/>
                <w:sz w:val="20"/>
                <w:lang w:val="bg-BG"/>
              </w:rPr>
            </w:pPr>
          </w:p>
        </w:tc>
      </w:tr>
    </w:tbl>
    <w:p w:rsidR="00673240" w:rsidRDefault="00673240" w:rsidP="00550F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222222"/>
          <w:sz w:val="20"/>
          <w:lang w:val="bg-BG" w:eastAsia="bg-BG"/>
        </w:rPr>
      </w:pPr>
    </w:p>
    <w:p w:rsidR="00550FDC" w:rsidRPr="00A944C7" w:rsidRDefault="006D781C" w:rsidP="00550F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lang w:val="bg-BG"/>
        </w:rPr>
      </w:pPr>
      <w:r w:rsidRPr="006D781C">
        <w:rPr>
          <w:rFonts w:ascii="Arial" w:hAnsi="Arial" w:cs="Arial"/>
          <w:b/>
          <w:color w:val="222222"/>
          <w:sz w:val="20"/>
          <w:lang w:val="ru-RU" w:eastAsia="bg-BG"/>
        </w:rPr>
        <w:t>4</w:t>
      </w:r>
      <w:r w:rsidR="00550FDC" w:rsidRPr="00A944C7">
        <w:rPr>
          <w:rFonts w:ascii="Arial" w:hAnsi="Arial" w:cs="Arial"/>
          <w:b/>
          <w:color w:val="222222"/>
          <w:sz w:val="20"/>
          <w:lang w:val="bg-BG" w:eastAsia="bg-BG"/>
        </w:rPr>
        <w:t xml:space="preserve">. </w:t>
      </w:r>
      <w:r w:rsidR="00550FDC" w:rsidRPr="00A944C7">
        <w:rPr>
          <w:rFonts w:ascii="Arial" w:hAnsi="Arial" w:cs="Arial"/>
          <w:b/>
          <w:bCs/>
          <w:sz w:val="20"/>
          <w:lang w:val="bg-BG"/>
        </w:rPr>
        <w:t xml:space="preserve">Министрите на земеделието на Германия, Франция и Испания призовават за по-опростена и зелена ОСП, която запазва общностния си характер в ЕС. </w:t>
      </w:r>
      <w:r w:rsidR="00550FDC" w:rsidRPr="00A944C7">
        <w:rPr>
          <w:rFonts w:ascii="Arial" w:hAnsi="Arial" w:cs="Arial"/>
          <w:bCs/>
          <w:sz w:val="20"/>
          <w:lang w:val="bg-BG"/>
        </w:rPr>
        <w:t xml:space="preserve">Призивът е заявен посредством обща декларация, която трите страни представиха преди заседанието на Съвета на ЕС по земеделие и рибарство на 27 януари 2020 г. В декларацията се подчертава, че ОСП трябва да остане важна политика на ЕС като се подчертава нейната роля за хранителната сигурност и жизнеспособността на фермите и селските райони. Германия, Франция и Испания считат, че политиката трябва да допринася повече за опазване на околната среда и борбата срещу климатичните промени, съпътствайки прехода към по-устойчиви производствени системи с оглед достигане неутралност към климата през 2050 г. В декларацията се призовава за ОСП, базирана на общ набор от приложими правила, избягващи изкривяването на конкурентоспособността и ограничаването на броя възможни механизми, за да осигури на европейските фермери обща рамка за производство в съответствие с високи екологични стандарти. Германия, Франция и Испания твърдо подкрепят новата екологична архитектура, предложена от Европейската комисия, която въвежда засилена условност и създава основа за завишени екологични изисквания посредством задължителна екосхема по първи стълб и агроекологични мерки по втори стълб. Трите държави членки подчертават, че условността следва да бъде общ набор от принципи и следва да се прилага справедливо за всички земеделски системи, дори ако контрола се коригира по отношение на малките фермери. Декларацията призовава за екосхема, задължителна за държавите членки и доброволна за фермерите, която да осигурява стимулиращи плащания по първи стълб за екологично и климатично ориентирани практики. Германия, Франция и Испания изразяват позиция в подкрепа на минимален бюджет, който да се разпредели за екосхемите и смятат, че предложението на Финландското Председателство за минимален дял от общия бюджет по първи и втори стълб, отделен за разходи, свързани с околната среда и климата е стъпка в правилната посока. В декларацията се подчертава, че повишените екологични и климатични амбиции на ОСП, както и повишените амбиции в областта на хуманното отношение към животните и нуждата от укрепване на социално-икономическото устройство на селските райони, трябва да вървят ръка за ръка с осигуряването на адекватно финансиране за тяхното прилагане и бюджетът, определен за бъдещата ОСП трябва да съответства на нивото на екологичните и климатични предизвикателства. Пълният текст на декларацията е достъпен на: </w:t>
      </w:r>
      <w:hyperlink r:id="rId9" w:history="1">
        <w:r w:rsidR="00550FDC" w:rsidRPr="00A944C7">
          <w:rPr>
            <w:rStyle w:val="Hyperlink"/>
            <w:rFonts w:ascii="Arial" w:hAnsi="Arial" w:cs="Arial"/>
            <w:bCs/>
            <w:sz w:val="20"/>
            <w:lang w:val="bg-BG"/>
          </w:rPr>
          <w:t>https://www.bmel.de/SharedDocs/Pressemitteilungen/2019/191220-gap.html</w:t>
        </w:r>
      </w:hyperlink>
      <w:r w:rsidR="00550FDC" w:rsidRPr="00A944C7">
        <w:rPr>
          <w:rFonts w:ascii="Arial" w:hAnsi="Arial" w:cs="Arial"/>
          <w:bCs/>
          <w:sz w:val="20"/>
          <w:lang w:val="bg-BG"/>
        </w:rPr>
        <w:t xml:space="preserve">  </w:t>
      </w:r>
    </w:p>
    <w:p w:rsidR="004A5181" w:rsidRDefault="004A5181" w:rsidP="00A944C7">
      <w:pPr>
        <w:jc w:val="both"/>
        <w:rPr>
          <w:rFonts w:ascii="Arial" w:hAnsi="Arial" w:cs="Arial"/>
          <w:b/>
          <w:sz w:val="20"/>
          <w:lang w:val="bg-BG"/>
        </w:rPr>
      </w:pPr>
    </w:p>
    <w:p w:rsidR="00A944C7" w:rsidRPr="00A944C7" w:rsidRDefault="006D781C" w:rsidP="00A944C7">
      <w:pPr>
        <w:jc w:val="both"/>
        <w:rPr>
          <w:rFonts w:ascii="Arial" w:hAnsi="Arial" w:cs="Arial"/>
          <w:sz w:val="20"/>
          <w:lang w:val="bg-BG"/>
        </w:rPr>
      </w:pPr>
      <w:r w:rsidRPr="006D781C">
        <w:rPr>
          <w:rFonts w:ascii="Arial" w:hAnsi="Arial" w:cs="Arial"/>
          <w:b/>
          <w:sz w:val="20"/>
          <w:lang w:val="ru-RU"/>
        </w:rPr>
        <w:t>5</w:t>
      </w:r>
      <w:r w:rsidR="00A944C7" w:rsidRPr="00A944C7">
        <w:rPr>
          <w:rFonts w:ascii="Arial" w:hAnsi="Arial" w:cs="Arial"/>
          <w:b/>
          <w:sz w:val="20"/>
          <w:lang w:val="bg-BG"/>
        </w:rPr>
        <w:t>. На заседанието на Специалния комитет по селско стопанство (СКСС), проведено на 20.01.2020 г., Хърватското председателство представи приоритети</w:t>
      </w:r>
      <w:r w:rsidR="004A5181">
        <w:rPr>
          <w:rFonts w:ascii="Arial" w:hAnsi="Arial" w:cs="Arial"/>
          <w:b/>
          <w:sz w:val="20"/>
          <w:lang w:val="bg-BG"/>
        </w:rPr>
        <w:t>те</w:t>
      </w:r>
      <w:r w:rsidR="00A944C7" w:rsidRPr="00A944C7">
        <w:rPr>
          <w:rFonts w:ascii="Arial" w:hAnsi="Arial" w:cs="Arial"/>
          <w:b/>
          <w:sz w:val="20"/>
          <w:lang w:val="bg-BG"/>
        </w:rPr>
        <w:t xml:space="preserve"> си в сектор земеделие.</w:t>
      </w:r>
      <w:r w:rsidR="00A944C7" w:rsidRPr="00A944C7">
        <w:rPr>
          <w:rFonts w:ascii="Arial" w:hAnsi="Arial" w:cs="Arial"/>
          <w:sz w:val="20"/>
          <w:lang w:val="bg-BG"/>
        </w:rPr>
        <w:t xml:space="preserve"> </w:t>
      </w:r>
      <w:r w:rsidR="007E5459">
        <w:rPr>
          <w:rFonts w:ascii="Arial" w:hAnsi="Arial" w:cs="Arial"/>
          <w:sz w:val="20"/>
          <w:lang w:val="bg-BG"/>
        </w:rPr>
        <w:t>Председателството ще</w:t>
      </w:r>
      <w:r w:rsidR="00A944C7" w:rsidRPr="00A944C7">
        <w:rPr>
          <w:rFonts w:ascii="Arial" w:hAnsi="Arial" w:cs="Arial"/>
          <w:sz w:val="20"/>
          <w:lang w:val="bg-BG"/>
        </w:rPr>
        <w:t xml:space="preserve"> работи приоритетно по постигане на частичен общ поход по </w:t>
      </w:r>
      <w:r w:rsidR="007E5459">
        <w:rPr>
          <w:rFonts w:ascii="Arial" w:hAnsi="Arial" w:cs="Arial"/>
          <w:sz w:val="20"/>
          <w:lang w:val="bg-BG"/>
        </w:rPr>
        <w:t>Преходния регламент</w:t>
      </w:r>
      <w:r w:rsidR="00A944C7" w:rsidRPr="00A944C7">
        <w:rPr>
          <w:rFonts w:ascii="Arial" w:hAnsi="Arial" w:cs="Arial"/>
          <w:sz w:val="20"/>
          <w:lang w:val="bg-BG"/>
        </w:rPr>
        <w:t xml:space="preserve"> за ОСП, напр</w:t>
      </w:r>
      <w:r w:rsidR="007E5459">
        <w:rPr>
          <w:rFonts w:ascii="Arial" w:hAnsi="Arial" w:cs="Arial"/>
          <w:sz w:val="20"/>
          <w:lang w:val="bg-BG"/>
        </w:rPr>
        <w:t>едък по позицията на Съвета по п</w:t>
      </w:r>
      <w:r w:rsidR="00A944C7" w:rsidRPr="00A944C7">
        <w:rPr>
          <w:rFonts w:ascii="Arial" w:hAnsi="Arial" w:cs="Arial"/>
          <w:sz w:val="20"/>
          <w:lang w:val="bg-BG"/>
        </w:rPr>
        <w:t xml:space="preserve">акета за ОСП и постигане на общ подход, ако преговорите по МФР позволят, </w:t>
      </w:r>
      <w:r w:rsidR="007E5459">
        <w:rPr>
          <w:rFonts w:ascii="Arial" w:hAnsi="Arial" w:cs="Arial"/>
          <w:sz w:val="20"/>
          <w:lang w:val="bg-BG"/>
        </w:rPr>
        <w:t xml:space="preserve">както </w:t>
      </w:r>
      <w:r w:rsidR="00A944C7" w:rsidRPr="00A944C7">
        <w:rPr>
          <w:rFonts w:ascii="Arial" w:hAnsi="Arial" w:cs="Arial"/>
          <w:sz w:val="20"/>
          <w:lang w:val="bg-BG"/>
        </w:rPr>
        <w:t>и хоризонтални теми, свързани с биоикономика, елементите на Зелен</w:t>
      </w:r>
      <w:r w:rsidR="00186ED5">
        <w:rPr>
          <w:rFonts w:ascii="Arial" w:hAnsi="Arial" w:cs="Arial"/>
          <w:sz w:val="20"/>
          <w:lang w:val="bg-BG"/>
        </w:rPr>
        <w:t>ата сделка</w:t>
      </w:r>
      <w:r w:rsidR="00A944C7" w:rsidRPr="00A944C7">
        <w:rPr>
          <w:rFonts w:ascii="Arial" w:hAnsi="Arial" w:cs="Arial"/>
          <w:sz w:val="20"/>
          <w:lang w:val="bg-BG"/>
        </w:rPr>
        <w:t xml:space="preserve"> и др. По предложението за </w:t>
      </w:r>
      <w:r w:rsidR="003573CC">
        <w:rPr>
          <w:rFonts w:ascii="Arial" w:hAnsi="Arial" w:cs="Arial"/>
          <w:sz w:val="20"/>
          <w:lang w:val="bg-BG"/>
        </w:rPr>
        <w:t>Преходен регламент</w:t>
      </w:r>
      <w:r w:rsidR="0078265A">
        <w:rPr>
          <w:rFonts w:ascii="Arial" w:hAnsi="Arial" w:cs="Arial"/>
          <w:sz w:val="20"/>
          <w:lang w:val="bg-BG"/>
        </w:rPr>
        <w:t>, п</w:t>
      </w:r>
      <w:r w:rsidR="00A944C7" w:rsidRPr="00A944C7">
        <w:rPr>
          <w:rFonts w:ascii="Arial" w:hAnsi="Arial" w:cs="Arial"/>
          <w:sz w:val="20"/>
          <w:lang w:val="bg-BG"/>
        </w:rPr>
        <w:t>редседателството цели постигане на споразумение без финансовите параметри до</w:t>
      </w:r>
      <w:r w:rsidR="003573CC" w:rsidRPr="003573CC">
        <w:rPr>
          <w:rFonts w:ascii="Arial" w:hAnsi="Arial" w:cs="Arial"/>
          <w:sz w:val="20"/>
          <w:lang w:val="bg-BG"/>
        </w:rPr>
        <w:t xml:space="preserve"> </w:t>
      </w:r>
      <w:r w:rsidR="003573CC" w:rsidRPr="00A944C7">
        <w:rPr>
          <w:rFonts w:ascii="Arial" w:hAnsi="Arial" w:cs="Arial"/>
          <w:sz w:val="20"/>
          <w:lang w:val="bg-BG"/>
        </w:rPr>
        <w:t xml:space="preserve">месец </w:t>
      </w:r>
      <w:r w:rsidR="00A944C7" w:rsidRPr="00A944C7">
        <w:rPr>
          <w:rFonts w:ascii="Arial" w:hAnsi="Arial" w:cs="Arial"/>
          <w:sz w:val="20"/>
          <w:lang w:val="bg-BG"/>
        </w:rPr>
        <w:t>март 2020 г.</w:t>
      </w:r>
      <w:r w:rsidR="0078265A">
        <w:rPr>
          <w:rFonts w:ascii="Arial" w:hAnsi="Arial" w:cs="Arial"/>
          <w:sz w:val="20"/>
          <w:lang w:val="bg-BG"/>
        </w:rPr>
        <w:t>,</w:t>
      </w:r>
      <w:r w:rsidR="00A944C7" w:rsidRPr="00A944C7">
        <w:rPr>
          <w:rFonts w:ascii="Arial" w:hAnsi="Arial" w:cs="Arial"/>
          <w:sz w:val="20"/>
          <w:lang w:val="bg-BG"/>
        </w:rPr>
        <w:t xml:space="preserve"> </w:t>
      </w:r>
      <w:r w:rsidR="0078265A">
        <w:rPr>
          <w:rFonts w:ascii="Arial" w:hAnsi="Arial" w:cs="Arial"/>
          <w:sz w:val="20"/>
          <w:lang w:val="bg-BG"/>
        </w:rPr>
        <w:t>за да могат</w:t>
      </w:r>
      <w:r w:rsidR="003573CC">
        <w:rPr>
          <w:rFonts w:ascii="Arial" w:hAnsi="Arial" w:cs="Arial"/>
          <w:sz w:val="20"/>
          <w:lang w:val="bg-BG"/>
        </w:rPr>
        <w:t xml:space="preserve"> да</w:t>
      </w:r>
      <w:r w:rsidR="00A944C7" w:rsidRPr="00A944C7">
        <w:rPr>
          <w:rFonts w:ascii="Arial" w:hAnsi="Arial" w:cs="Arial"/>
          <w:sz w:val="20"/>
          <w:lang w:val="bg-BG"/>
        </w:rPr>
        <w:t xml:space="preserve"> стартира</w:t>
      </w:r>
      <w:r w:rsidR="003573CC">
        <w:rPr>
          <w:rFonts w:ascii="Arial" w:hAnsi="Arial" w:cs="Arial"/>
          <w:sz w:val="20"/>
          <w:lang w:val="bg-BG"/>
        </w:rPr>
        <w:t>т</w:t>
      </w:r>
      <w:r w:rsidR="00A944C7" w:rsidRPr="00A944C7">
        <w:rPr>
          <w:rFonts w:ascii="Arial" w:hAnsi="Arial" w:cs="Arial"/>
          <w:sz w:val="20"/>
          <w:lang w:val="bg-BG"/>
        </w:rPr>
        <w:t xml:space="preserve"> преговори</w:t>
      </w:r>
      <w:r w:rsidR="003573CC">
        <w:rPr>
          <w:rFonts w:ascii="Arial" w:hAnsi="Arial" w:cs="Arial"/>
          <w:sz w:val="20"/>
          <w:lang w:val="bg-BG"/>
        </w:rPr>
        <w:t>те</w:t>
      </w:r>
      <w:r w:rsidR="00A944C7" w:rsidRPr="00A944C7">
        <w:rPr>
          <w:rFonts w:ascii="Arial" w:hAnsi="Arial" w:cs="Arial"/>
          <w:sz w:val="20"/>
          <w:lang w:val="bg-BG"/>
        </w:rPr>
        <w:t xml:space="preserve"> с Е</w:t>
      </w:r>
      <w:r w:rsidR="003573CC">
        <w:rPr>
          <w:rFonts w:ascii="Arial" w:hAnsi="Arial" w:cs="Arial"/>
          <w:sz w:val="20"/>
          <w:lang w:val="bg-BG"/>
        </w:rPr>
        <w:t>вропейския парламент (Е</w:t>
      </w:r>
      <w:r w:rsidR="00A944C7" w:rsidRPr="00A944C7">
        <w:rPr>
          <w:rFonts w:ascii="Arial" w:hAnsi="Arial" w:cs="Arial"/>
          <w:sz w:val="20"/>
          <w:lang w:val="bg-BG"/>
        </w:rPr>
        <w:t>П</w:t>
      </w:r>
      <w:r w:rsidR="003573CC">
        <w:rPr>
          <w:rFonts w:ascii="Arial" w:hAnsi="Arial" w:cs="Arial"/>
          <w:sz w:val="20"/>
          <w:lang w:val="bg-BG"/>
        </w:rPr>
        <w:t>)</w:t>
      </w:r>
      <w:r w:rsidR="00A944C7" w:rsidRPr="00A944C7">
        <w:rPr>
          <w:rFonts w:ascii="Arial" w:hAnsi="Arial" w:cs="Arial"/>
          <w:sz w:val="20"/>
          <w:lang w:val="bg-BG"/>
        </w:rPr>
        <w:t>. Въпреки, че СКСС смята, че водещ принцип в обсъждане</w:t>
      </w:r>
      <w:r w:rsidR="00435C0F">
        <w:rPr>
          <w:rFonts w:ascii="Arial" w:hAnsi="Arial" w:cs="Arial"/>
          <w:sz w:val="20"/>
          <w:lang w:val="bg-BG"/>
        </w:rPr>
        <w:t>то</w:t>
      </w:r>
      <w:r w:rsidR="00A944C7" w:rsidRPr="00A944C7">
        <w:rPr>
          <w:rFonts w:ascii="Arial" w:hAnsi="Arial" w:cs="Arial"/>
          <w:sz w:val="20"/>
          <w:lang w:val="bg-BG"/>
        </w:rPr>
        <w:t xml:space="preserve"> на </w:t>
      </w:r>
      <w:r w:rsidR="00435C0F">
        <w:rPr>
          <w:rFonts w:ascii="Arial" w:hAnsi="Arial" w:cs="Arial"/>
          <w:sz w:val="20"/>
          <w:lang w:val="bg-BG"/>
        </w:rPr>
        <w:t>текстовете</w:t>
      </w:r>
      <w:r w:rsidR="00A944C7" w:rsidRPr="00A944C7">
        <w:rPr>
          <w:rFonts w:ascii="Arial" w:hAnsi="Arial" w:cs="Arial"/>
          <w:sz w:val="20"/>
          <w:lang w:val="bg-BG"/>
        </w:rPr>
        <w:t xml:space="preserve"> трябва да остане „стари правила, нови пари“, остават редица елементи, на които трябва да бъде обърнато внимание</w:t>
      </w:r>
      <w:r w:rsidR="00435C0F">
        <w:rPr>
          <w:rFonts w:ascii="Arial" w:hAnsi="Arial" w:cs="Arial"/>
          <w:sz w:val="20"/>
          <w:lang w:val="bg-BG"/>
        </w:rPr>
        <w:t>,</w:t>
      </w:r>
      <w:r w:rsidR="00A944C7" w:rsidRPr="00A944C7">
        <w:rPr>
          <w:rFonts w:ascii="Arial" w:hAnsi="Arial" w:cs="Arial"/>
          <w:sz w:val="20"/>
          <w:lang w:val="bg-BG"/>
        </w:rPr>
        <w:t xml:space="preserve"> като преходна</w:t>
      </w:r>
      <w:r w:rsidR="00435C0F">
        <w:rPr>
          <w:rFonts w:ascii="Arial" w:hAnsi="Arial" w:cs="Arial"/>
          <w:sz w:val="20"/>
          <w:lang w:val="bg-BG"/>
        </w:rPr>
        <w:t>та</w:t>
      </w:r>
      <w:r w:rsidR="00A944C7" w:rsidRPr="00A944C7">
        <w:rPr>
          <w:rFonts w:ascii="Arial" w:hAnsi="Arial" w:cs="Arial"/>
          <w:sz w:val="20"/>
          <w:lang w:val="bg-BG"/>
        </w:rPr>
        <w:t xml:space="preserve"> национална помощ, правила</w:t>
      </w:r>
      <w:r w:rsidR="00435C0F">
        <w:rPr>
          <w:rFonts w:ascii="Arial" w:hAnsi="Arial" w:cs="Arial"/>
          <w:sz w:val="20"/>
          <w:lang w:val="bg-BG"/>
        </w:rPr>
        <w:t>та</w:t>
      </w:r>
      <w:r w:rsidR="00A944C7" w:rsidRPr="00A944C7">
        <w:rPr>
          <w:rFonts w:ascii="Arial" w:hAnsi="Arial" w:cs="Arial"/>
          <w:sz w:val="20"/>
          <w:lang w:val="bg-BG"/>
        </w:rPr>
        <w:t xml:space="preserve"> за одобрение на удължаването на ПРСР, </w:t>
      </w:r>
      <w:r w:rsidR="00435C0F">
        <w:rPr>
          <w:rFonts w:ascii="Arial" w:hAnsi="Arial" w:cs="Arial"/>
          <w:sz w:val="20"/>
          <w:lang w:val="bg-BG"/>
        </w:rPr>
        <w:t>продължителност</w:t>
      </w:r>
      <w:r w:rsidR="00A944C7" w:rsidRPr="00A944C7">
        <w:rPr>
          <w:rFonts w:ascii="Arial" w:hAnsi="Arial" w:cs="Arial"/>
          <w:sz w:val="20"/>
          <w:lang w:val="bg-BG"/>
        </w:rPr>
        <w:t xml:space="preserve"> на нови</w:t>
      </w:r>
      <w:r w:rsidR="00435C0F">
        <w:rPr>
          <w:rFonts w:ascii="Arial" w:hAnsi="Arial" w:cs="Arial"/>
          <w:sz w:val="20"/>
          <w:lang w:val="bg-BG"/>
        </w:rPr>
        <w:t>те</w:t>
      </w:r>
      <w:r w:rsidR="00A944C7" w:rsidRPr="00A944C7">
        <w:rPr>
          <w:rFonts w:ascii="Arial" w:hAnsi="Arial" w:cs="Arial"/>
          <w:sz w:val="20"/>
          <w:lang w:val="bg-BG"/>
        </w:rPr>
        <w:t xml:space="preserve"> агроекологични ангажименти, </w:t>
      </w:r>
      <w:r w:rsidR="00792E98">
        <w:rPr>
          <w:rFonts w:ascii="Arial" w:hAnsi="Arial" w:cs="Arial"/>
          <w:sz w:val="20"/>
          <w:lang w:val="bg-BG"/>
        </w:rPr>
        <w:t>удължаване</w:t>
      </w:r>
      <w:r w:rsidR="00A944C7" w:rsidRPr="00A944C7">
        <w:rPr>
          <w:rFonts w:ascii="Arial" w:hAnsi="Arial" w:cs="Arial"/>
          <w:sz w:val="20"/>
          <w:lang w:val="bg-BG"/>
        </w:rPr>
        <w:t xml:space="preserve"> на срока за прехвърляне на средства между стълбове, правила </w:t>
      </w:r>
      <w:r w:rsidR="00435C0F">
        <w:rPr>
          <w:rFonts w:ascii="Arial" w:hAnsi="Arial" w:cs="Arial"/>
          <w:sz w:val="20"/>
          <w:lang w:val="bg-BG"/>
        </w:rPr>
        <w:t>по</w:t>
      </w:r>
      <w:r w:rsidR="00A944C7" w:rsidRPr="00A944C7">
        <w:rPr>
          <w:rFonts w:ascii="Arial" w:hAnsi="Arial" w:cs="Arial"/>
          <w:sz w:val="20"/>
          <w:lang w:val="bg-BG"/>
        </w:rPr>
        <w:t xml:space="preserve"> приключването на програмите за плодове и зеленчуци и др.</w:t>
      </w:r>
      <w:r w:rsidR="00792E98">
        <w:rPr>
          <w:rFonts w:ascii="Arial" w:hAnsi="Arial" w:cs="Arial"/>
          <w:sz w:val="20"/>
          <w:lang w:val="bg-BG"/>
        </w:rPr>
        <w:t xml:space="preserve"> </w:t>
      </w:r>
      <w:r w:rsidR="00A944C7" w:rsidRPr="00A944C7">
        <w:rPr>
          <w:rFonts w:ascii="Arial" w:hAnsi="Arial" w:cs="Arial"/>
          <w:sz w:val="20"/>
          <w:lang w:val="bg-BG"/>
        </w:rPr>
        <w:t>По отношение на Зелен</w:t>
      </w:r>
      <w:r w:rsidR="00792E98">
        <w:rPr>
          <w:rFonts w:ascii="Arial" w:hAnsi="Arial" w:cs="Arial"/>
          <w:sz w:val="20"/>
          <w:lang w:val="bg-BG"/>
        </w:rPr>
        <w:t>ата сделка</w:t>
      </w:r>
      <w:r w:rsidR="00A944C7" w:rsidRPr="00A944C7">
        <w:rPr>
          <w:rFonts w:ascii="Arial" w:hAnsi="Arial" w:cs="Arial"/>
          <w:sz w:val="20"/>
          <w:lang w:val="bg-BG"/>
        </w:rPr>
        <w:t>, основните елементи, които касаят селското стопанство са бъдещия климатичен закон (очаква се март, 2020 г.) с последващ план за действие, който може да съдържа конкретни целеви стойности (очаква се октомври, 2020), Стратегия за биоразнообразие</w:t>
      </w:r>
      <w:r w:rsidR="00792E98">
        <w:rPr>
          <w:rFonts w:ascii="Arial" w:hAnsi="Arial" w:cs="Arial"/>
          <w:sz w:val="20"/>
          <w:lang w:val="bg-BG"/>
        </w:rPr>
        <w:t>то</w:t>
      </w:r>
      <w:r w:rsidR="00A944C7" w:rsidRPr="00A944C7">
        <w:rPr>
          <w:rFonts w:ascii="Arial" w:hAnsi="Arial" w:cs="Arial"/>
          <w:sz w:val="20"/>
          <w:lang w:val="bg-BG"/>
        </w:rPr>
        <w:t xml:space="preserve"> за периода 2020-2030 (очаква се март, 2020), Стратегия за горско стопанство и мерки към нея, Стратегия „От фермата до трапезата“, която ще включва като основни елементи намаляване на използване на пестициди, антибиотици и прилагане на практики за биологично земеделие. Към момента ЕК смята, че предложението за секторното законодателство дава възможност ОСП да отговори на амбицията на Зелен</w:t>
      </w:r>
      <w:r w:rsidR="00CE6E18">
        <w:rPr>
          <w:rFonts w:ascii="Arial" w:hAnsi="Arial" w:cs="Arial"/>
          <w:sz w:val="20"/>
          <w:lang w:val="bg-BG"/>
        </w:rPr>
        <w:t>ата сделка</w:t>
      </w:r>
      <w:r w:rsidR="00A944C7" w:rsidRPr="00A944C7">
        <w:rPr>
          <w:rFonts w:ascii="Arial" w:hAnsi="Arial" w:cs="Arial"/>
          <w:sz w:val="20"/>
          <w:lang w:val="bg-BG"/>
        </w:rPr>
        <w:t xml:space="preserve">, но ще трябва да се проследи хода на разработваните документи и мерки в тях, така че да се вземат предвид в тристранните преговори и при планиране на Стратегическия план. </w:t>
      </w:r>
    </w:p>
    <w:p w:rsidR="00A944C7" w:rsidRPr="00A944C7" w:rsidRDefault="00A944C7" w:rsidP="00A944C7">
      <w:pPr>
        <w:jc w:val="both"/>
        <w:rPr>
          <w:rFonts w:ascii="Arial" w:hAnsi="Arial" w:cs="Arial"/>
          <w:sz w:val="20"/>
          <w:lang w:val="bg-BG"/>
        </w:rPr>
      </w:pPr>
    </w:p>
    <w:p w:rsidR="005372A6" w:rsidRDefault="006D781C" w:rsidP="005372A6">
      <w:pPr>
        <w:pStyle w:val="ListParagraph"/>
        <w:spacing w:after="0" w:line="240" w:lineRule="auto"/>
        <w:ind w:left="0"/>
        <w:jc w:val="both"/>
        <w:rPr>
          <w:rFonts w:ascii="Arial" w:hAnsi="Arial" w:cs="Arial"/>
          <w:sz w:val="20"/>
          <w:szCs w:val="20"/>
        </w:rPr>
      </w:pPr>
      <w:r w:rsidRPr="006D781C">
        <w:rPr>
          <w:rFonts w:ascii="Arial" w:hAnsi="Arial" w:cs="Arial"/>
          <w:b/>
          <w:sz w:val="20"/>
          <w:szCs w:val="20"/>
          <w:lang w:val="ru-RU"/>
        </w:rPr>
        <w:t>6</w:t>
      </w:r>
      <w:r w:rsidR="005372A6" w:rsidRPr="00A944C7">
        <w:rPr>
          <w:rFonts w:ascii="Arial" w:hAnsi="Arial" w:cs="Arial"/>
          <w:b/>
          <w:sz w:val="20"/>
          <w:szCs w:val="20"/>
        </w:rPr>
        <w:t>.</w:t>
      </w:r>
      <w:r w:rsidR="005372A6" w:rsidRPr="00A944C7">
        <w:rPr>
          <w:rFonts w:ascii="Arial" w:hAnsi="Arial" w:cs="Arial"/>
          <w:sz w:val="20"/>
          <w:szCs w:val="20"/>
        </w:rPr>
        <w:t xml:space="preserve"> </w:t>
      </w:r>
      <w:r w:rsidR="005372A6" w:rsidRPr="00A944C7">
        <w:rPr>
          <w:rFonts w:ascii="Arial" w:hAnsi="Arial" w:cs="Arial"/>
          <w:b/>
          <w:sz w:val="20"/>
          <w:szCs w:val="20"/>
        </w:rPr>
        <w:t>На първото заседание на Работната група по хоризонтални земеделски въпроси под предс</w:t>
      </w:r>
      <w:r w:rsidR="00261C03">
        <w:rPr>
          <w:rFonts w:ascii="Arial" w:hAnsi="Arial" w:cs="Arial"/>
          <w:b/>
          <w:sz w:val="20"/>
          <w:szCs w:val="20"/>
        </w:rPr>
        <w:t>едателството на Хърватия на 23-2</w:t>
      </w:r>
      <w:r w:rsidR="005372A6" w:rsidRPr="00A944C7">
        <w:rPr>
          <w:rFonts w:ascii="Arial" w:hAnsi="Arial" w:cs="Arial"/>
          <w:b/>
          <w:sz w:val="20"/>
          <w:szCs w:val="20"/>
        </w:rPr>
        <w:t xml:space="preserve">4 януари 2020 </w:t>
      </w:r>
      <w:r w:rsidR="00A944C7" w:rsidRPr="00A944C7">
        <w:rPr>
          <w:rFonts w:ascii="Arial" w:hAnsi="Arial" w:cs="Arial"/>
          <w:b/>
          <w:sz w:val="20"/>
          <w:szCs w:val="20"/>
        </w:rPr>
        <w:t>г</w:t>
      </w:r>
      <w:r w:rsidR="005372A6" w:rsidRPr="00A944C7">
        <w:rPr>
          <w:rFonts w:ascii="Arial" w:hAnsi="Arial" w:cs="Arial"/>
          <w:b/>
          <w:sz w:val="20"/>
          <w:szCs w:val="20"/>
        </w:rPr>
        <w:t>.</w:t>
      </w:r>
      <w:r w:rsidR="005372A6" w:rsidRPr="00A944C7">
        <w:rPr>
          <w:rFonts w:ascii="Arial" w:hAnsi="Arial" w:cs="Arial"/>
          <w:sz w:val="20"/>
          <w:szCs w:val="20"/>
        </w:rPr>
        <w:t xml:space="preserve"> продължи техниче</w:t>
      </w:r>
      <w:r w:rsidR="00CE6E18">
        <w:rPr>
          <w:rFonts w:ascii="Arial" w:hAnsi="Arial" w:cs="Arial"/>
          <w:sz w:val="20"/>
          <w:szCs w:val="20"/>
        </w:rPr>
        <w:t xml:space="preserve">ската дискусия по предложението на Финландското председателство </w:t>
      </w:r>
      <w:r w:rsidR="005372A6" w:rsidRPr="00A944C7">
        <w:rPr>
          <w:rFonts w:ascii="Arial" w:hAnsi="Arial" w:cs="Arial"/>
          <w:sz w:val="20"/>
          <w:szCs w:val="20"/>
        </w:rPr>
        <w:t xml:space="preserve">да се замени минимума от 30% от разходите, свързани с околна среда и климат по ЕЗФРСР, с единен процент или фиксирана сума от целия бюджет на стратегическия план на ОСП. Обсъдено беше дали в списъка с интервенциите да се </w:t>
      </w:r>
      <w:r w:rsidR="00CE6E18">
        <w:rPr>
          <w:rFonts w:ascii="Arial" w:hAnsi="Arial" w:cs="Arial"/>
          <w:sz w:val="20"/>
          <w:szCs w:val="20"/>
        </w:rPr>
        <w:t>включат</w:t>
      </w:r>
      <w:r w:rsidR="005372A6" w:rsidRPr="00A944C7">
        <w:rPr>
          <w:rFonts w:ascii="Arial" w:hAnsi="Arial" w:cs="Arial"/>
          <w:sz w:val="20"/>
          <w:szCs w:val="20"/>
        </w:rPr>
        <w:t xml:space="preserve"> само тези, които пряко допринасят за постигането на целите, свързани с околната среда и климата или да </w:t>
      </w:r>
      <w:r w:rsidR="00CE6E18">
        <w:rPr>
          <w:rFonts w:ascii="Arial" w:hAnsi="Arial" w:cs="Arial"/>
          <w:sz w:val="20"/>
          <w:szCs w:val="20"/>
        </w:rPr>
        <w:t>вземат предвид</w:t>
      </w:r>
      <w:r w:rsidR="005372A6" w:rsidRPr="00A944C7">
        <w:rPr>
          <w:rFonts w:ascii="Arial" w:hAnsi="Arial" w:cs="Arial"/>
          <w:sz w:val="20"/>
          <w:szCs w:val="20"/>
        </w:rPr>
        <w:t xml:space="preserve"> и интервенциите, които частично допринасят за тези цели. Делегациите изказаха различни мнения в подкрепа и на двата подхода.</w:t>
      </w:r>
      <w:r w:rsidR="005372A6" w:rsidRPr="00A944C7">
        <w:rPr>
          <w:rFonts w:ascii="Arial" w:hAnsi="Arial" w:cs="Arial"/>
          <w:bCs/>
          <w:sz w:val="20"/>
          <w:szCs w:val="20"/>
        </w:rPr>
        <w:t xml:space="preserve"> </w:t>
      </w:r>
      <w:r w:rsidR="005372A6" w:rsidRPr="00A944C7">
        <w:rPr>
          <w:rFonts w:ascii="Arial" w:hAnsi="Arial" w:cs="Arial"/>
          <w:sz w:val="20"/>
          <w:szCs w:val="20"/>
        </w:rPr>
        <w:t>По отношение</w:t>
      </w:r>
      <w:r w:rsidR="00CE6E18">
        <w:rPr>
          <w:rFonts w:ascii="Arial" w:hAnsi="Arial" w:cs="Arial"/>
          <w:sz w:val="20"/>
          <w:szCs w:val="20"/>
        </w:rPr>
        <w:t xml:space="preserve"> на източниците на финансиране </w:t>
      </w:r>
      <w:r w:rsidR="005372A6" w:rsidRPr="00A944C7">
        <w:rPr>
          <w:rFonts w:ascii="Arial" w:hAnsi="Arial" w:cs="Arial"/>
          <w:sz w:val="20"/>
          <w:szCs w:val="20"/>
        </w:rPr>
        <w:t xml:space="preserve">беше обсъдено дали да се </w:t>
      </w:r>
      <w:r w:rsidR="00CE6E18">
        <w:rPr>
          <w:rFonts w:ascii="Arial" w:hAnsi="Arial" w:cs="Arial"/>
          <w:sz w:val="20"/>
          <w:szCs w:val="20"/>
        </w:rPr>
        <w:t>вземат предвид средствата от</w:t>
      </w:r>
      <w:r w:rsidR="005372A6" w:rsidRPr="00A944C7">
        <w:rPr>
          <w:rFonts w:ascii="Arial" w:hAnsi="Arial" w:cs="Arial"/>
          <w:sz w:val="20"/>
          <w:szCs w:val="20"/>
        </w:rPr>
        <w:t xml:space="preserve"> двата фонда- ЕФГЗ, ЕЗФРСР и националното съфинансиране по ПРСР или да се </w:t>
      </w:r>
      <w:r w:rsidR="00CE6E18">
        <w:rPr>
          <w:rFonts w:ascii="Arial" w:hAnsi="Arial" w:cs="Arial"/>
          <w:sz w:val="20"/>
          <w:szCs w:val="20"/>
        </w:rPr>
        <w:t>включи</w:t>
      </w:r>
      <w:r w:rsidR="005372A6" w:rsidRPr="00A944C7">
        <w:rPr>
          <w:rFonts w:ascii="Arial" w:hAnsi="Arial" w:cs="Arial"/>
          <w:sz w:val="20"/>
          <w:szCs w:val="20"/>
        </w:rPr>
        <w:t xml:space="preserve"> само приноса на ЕС (т.е. само ЕФГЗ и ЕЗФРСР), без национално съфинансиране</w:t>
      </w:r>
      <w:r w:rsidR="00CE6E18">
        <w:rPr>
          <w:rFonts w:ascii="Arial" w:hAnsi="Arial" w:cs="Arial"/>
          <w:sz w:val="20"/>
          <w:szCs w:val="20"/>
        </w:rPr>
        <w:t xml:space="preserve"> </w:t>
      </w:r>
      <w:r w:rsidR="00CE6E18" w:rsidRPr="00A944C7">
        <w:rPr>
          <w:rFonts w:ascii="Arial" w:hAnsi="Arial" w:cs="Arial"/>
          <w:sz w:val="20"/>
          <w:szCs w:val="20"/>
        </w:rPr>
        <w:t xml:space="preserve">при изчисляването на единния процент или </w:t>
      </w:r>
      <w:r w:rsidR="00CE6E18">
        <w:rPr>
          <w:rFonts w:ascii="Arial" w:hAnsi="Arial" w:cs="Arial"/>
          <w:sz w:val="20"/>
          <w:szCs w:val="20"/>
        </w:rPr>
        <w:t xml:space="preserve">на </w:t>
      </w:r>
      <w:r w:rsidR="00CE6E18" w:rsidRPr="00A944C7">
        <w:rPr>
          <w:rFonts w:ascii="Arial" w:hAnsi="Arial" w:cs="Arial"/>
          <w:sz w:val="20"/>
          <w:szCs w:val="20"/>
        </w:rPr>
        <w:t>фиксираната сума</w:t>
      </w:r>
      <w:r w:rsidR="005372A6" w:rsidRPr="00A944C7">
        <w:rPr>
          <w:rFonts w:ascii="Arial" w:hAnsi="Arial" w:cs="Arial"/>
          <w:sz w:val="20"/>
          <w:szCs w:val="20"/>
        </w:rPr>
        <w:t xml:space="preserve">. Част от държавите членки подкрепиха първия подход, а други </w:t>
      </w:r>
      <w:r w:rsidR="00842786">
        <w:rPr>
          <w:rFonts w:ascii="Arial" w:hAnsi="Arial" w:cs="Arial"/>
          <w:sz w:val="20"/>
          <w:szCs w:val="20"/>
        </w:rPr>
        <w:t>се изказаха в подкрепа на</w:t>
      </w:r>
      <w:r w:rsidR="005372A6" w:rsidRPr="00A944C7">
        <w:rPr>
          <w:rFonts w:ascii="Arial" w:hAnsi="Arial" w:cs="Arial"/>
          <w:sz w:val="20"/>
          <w:szCs w:val="20"/>
        </w:rPr>
        <w:t xml:space="preserve"> втория подход. Повечето делегации бяха против въвеждането на допълнител</w:t>
      </w:r>
      <w:r w:rsidR="00842786">
        <w:rPr>
          <w:rFonts w:ascii="Arial" w:hAnsi="Arial" w:cs="Arial"/>
          <w:sz w:val="20"/>
          <w:szCs w:val="20"/>
        </w:rPr>
        <w:t xml:space="preserve">ни правила по тези въпроси с аргумента, че </w:t>
      </w:r>
      <w:r w:rsidR="005372A6" w:rsidRPr="00A944C7">
        <w:rPr>
          <w:rFonts w:ascii="Arial" w:hAnsi="Arial" w:cs="Arial"/>
          <w:sz w:val="20"/>
          <w:szCs w:val="20"/>
        </w:rPr>
        <w:t xml:space="preserve">ще доведат до по-голяма административна тежест. Няколко делегации отбелязаха, че е необходима разпоредба, от която да е видно, че приносът към амбицията за околна среда и климат произхожда от двата стълба – ЕФГЗ и ЕЗФРСР. По отношение на метода за наблюдение на постигането на единния процент или фиксираната сума повечето делегации подкрепиха </w:t>
      </w:r>
      <w:r w:rsidR="00842786">
        <w:rPr>
          <w:rFonts w:ascii="Arial" w:hAnsi="Arial" w:cs="Arial"/>
          <w:sz w:val="20"/>
          <w:szCs w:val="20"/>
        </w:rPr>
        <w:t>това да става</w:t>
      </w:r>
      <w:r w:rsidR="005372A6" w:rsidRPr="00A944C7">
        <w:rPr>
          <w:rFonts w:ascii="Arial" w:hAnsi="Arial" w:cs="Arial"/>
          <w:sz w:val="20"/>
          <w:szCs w:val="20"/>
        </w:rPr>
        <w:t xml:space="preserve"> чрез информацията, предоставена в Годишния доклад за изпълнението. Обсъдено беше и Предложението на Комисията за Преходен регламент, с който се осигуряват преходните правила относно директните плащания, РСР и секторните мерки. За хърватското председателство е приоритет да приеме правилата на Преходния регламент възможно най-скоро, така че да се осигури достатъчно време за подготовка за всички заинтересовани страни преди преходните правила да станат приложими през 2021 г.</w:t>
      </w:r>
      <w:r w:rsidR="00842786">
        <w:rPr>
          <w:rFonts w:ascii="Arial" w:hAnsi="Arial" w:cs="Arial"/>
          <w:sz w:val="20"/>
          <w:szCs w:val="20"/>
        </w:rPr>
        <w:t>, както и</w:t>
      </w:r>
      <w:r w:rsidR="005372A6" w:rsidRPr="00A944C7">
        <w:rPr>
          <w:rFonts w:ascii="Arial" w:hAnsi="Arial" w:cs="Arial"/>
          <w:sz w:val="20"/>
          <w:szCs w:val="20"/>
        </w:rPr>
        <w:t xml:space="preserve"> да се гарантира приложимостта на правилата през 2021 г. България, подкрепена от Полша, Чешката република и Унгария още веднъж постави въпроса за запазване на Преходната национална помощ през преходния период, отчитайки нейната важност за секторите, които се подпомагат с този вид подкрепа.</w:t>
      </w:r>
    </w:p>
    <w:p w:rsidR="00261C03" w:rsidRDefault="00261C03" w:rsidP="005372A6">
      <w:pPr>
        <w:pStyle w:val="ListParagraph"/>
        <w:spacing w:after="0" w:line="240" w:lineRule="auto"/>
        <w:ind w:left="0"/>
        <w:jc w:val="both"/>
        <w:rPr>
          <w:rFonts w:ascii="Arial" w:hAnsi="Arial" w:cs="Arial"/>
          <w:sz w:val="20"/>
          <w:szCs w:val="20"/>
        </w:rPr>
      </w:pPr>
    </w:p>
    <w:tbl>
      <w:tblPr>
        <w:tblW w:w="10159" w:type="dxa"/>
        <w:tblInd w:w="108" w:type="dxa"/>
        <w:tblLook w:val="01E0" w:firstRow="1" w:lastRow="1" w:firstColumn="1" w:lastColumn="1" w:noHBand="0" w:noVBand="0"/>
      </w:tblPr>
      <w:tblGrid>
        <w:gridCol w:w="9923"/>
        <w:gridCol w:w="236"/>
      </w:tblGrid>
      <w:tr w:rsidR="00403CB9" w:rsidRPr="006D781C" w:rsidTr="00DF42CC">
        <w:tc>
          <w:tcPr>
            <w:tcW w:w="9923" w:type="dxa"/>
            <w:shd w:val="clear" w:color="auto" w:fill="C0C0C0"/>
            <w:hideMark/>
          </w:tcPr>
          <w:p w:rsidR="00403CB9" w:rsidRPr="00A944C7" w:rsidRDefault="00403CB9" w:rsidP="00DF42CC">
            <w:pPr>
              <w:jc w:val="both"/>
              <w:rPr>
                <w:rStyle w:val="longtext"/>
                <w:rFonts w:ascii="Arial" w:hAnsi="Arial" w:cs="Arial"/>
                <w:b/>
                <w:i/>
                <w:sz w:val="20"/>
                <w:lang w:val="bg-BG"/>
              </w:rPr>
            </w:pPr>
            <w:r w:rsidRPr="00A944C7">
              <w:rPr>
                <w:rStyle w:val="longtext"/>
                <w:rFonts w:ascii="Arial" w:hAnsi="Arial" w:cs="Arial"/>
                <w:b/>
                <w:i/>
                <w:sz w:val="20"/>
                <w:lang w:val="bg-BG"/>
              </w:rPr>
              <w:t>Още от ЕС и света</w:t>
            </w:r>
          </w:p>
        </w:tc>
        <w:tc>
          <w:tcPr>
            <w:tcW w:w="236" w:type="dxa"/>
          </w:tcPr>
          <w:p w:rsidR="00403CB9" w:rsidRPr="00A944C7" w:rsidRDefault="00403CB9" w:rsidP="00DF42CC">
            <w:pPr>
              <w:jc w:val="both"/>
              <w:rPr>
                <w:rStyle w:val="longtext"/>
                <w:rFonts w:ascii="Arial" w:hAnsi="Arial" w:cs="Arial"/>
                <w:b/>
                <w:sz w:val="20"/>
                <w:lang w:val="bg-BG"/>
              </w:rPr>
            </w:pPr>
          </w:p>
        </w:tc>
      </w:tr>
    </w:tbl>
    <w:p w:rsidR="00403CB9" w:rsidRPr="00A944C7" w:rsidRDefault="00403CB9" w:rsidP="00403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sz w:val="20"/>
          <w:lang w:val="bg-BG"/>
        </w:rPr>
      </w:pPr>
    </w:p>
    <w:p w:rsidR="00DC61F7" w:rsidRPr="00A944C7" w:rsidRDefault="006B5F22" w:rsidP="00DC61F7">
      <w:pPr>
        <w:jc w:val="both"/>
        <w:rPr>
          <w:rFonts w:ascii="Arial" w:hAnsi="Arial" w:cs="Arial"/>
          <w:sz w:val="20"/>
          <w:lang w:val="bg-BG"/>
        </w:rPr>
      </w:pPr>
      <w:r>
        <w:rPr>
          <w:rStyle w:val="longtext"/>
          <w:rFonts w:ascii="Arial" w:hAnsi="Arial" w:cs="Arial"/>
          <w:b/>
          <w:sz w:val="20"/>
          <w:lang w:val="bg-BG"/>
        </w:rPr>
        <w:t>7</w:t>
      </w:r>
      <w:r w:rsidR="006E7A46" w:rsidRPr="00A944C7">
        <w:rPr>
          <w:rStyle w:val="longtext"/>
          <w:rFonts w:ascii="Arial" w:hAnsi="Arial" w:cs="Arial"/>
          <w:b/>
          <w:sz w:val="20"/>
          <w:lang w:val="bg-BG"/>
        </w:rPr>
        <w:t>.</w:t>
      </w:r>
      <w:r w:rsidR="00DC61F7" w:rsidRPr="00A944C7">
        <w:rPr>
          <w:rStyle w:val="longtext"/>
          <w:rFonts w:ascii="Arial" w:hAnsi="Arial" w:cs="Arial"/>
          <w:b/>
          <w:sz w:val="20"/>
          <w:lang w:val="bg-BG"/>
        </w:rPr>
        <w:t xml:space="preserve"> </w:t>
      </w:r>
      <w:r w:rsidR="00DC61F7" w:rsidRPr="006D781C">
        <w:rPr>
          <w:rFonts w:ascii="Arial" w:hAnsi="Arial" w:cs="Arial"/>
          <w:b/>
          <w:sz w:val="20"/>
          <w:lang w:val="bg-BG"/>
        </w:rPr>
        <w:t>На 22 януари Европейската комисия представи идеите си за подготовката на Конференцията за бъдещето на Европа, която трябва официално да </w:t>
      </w:r>
      <w:r w:rsidR="00DC61F7" w:rsidRPr="006D781C">
        <w:rPr>
          <w:rFonts w:ascii="Arial" w:hAnsi="Arial" w:cs="Arial"/>
          <w:b/>
          <w:bCs/>
          <w:sz w:val="20"/>
          <w:lang w:val="bg-BG"/>
        </w:rPr>
        <w:t xml:space="preserve">стартира в Деня на Европа на 9 май 2020 г. – </w:t>
      </w:r>
      <w:r w:rsidR="00DC61F7" w:rsidRPr="006D781C">
        <w:rPr>
          <w:rFonts w:ascii="Arial" w:hAnsi="Arial" w:cs="Arial"/>
          <w:b/>
          <w:sz w:val="20"/>
          <w:lang w:val="bg-BG"/>
        </w:rPr>
        <w:t>70 години след подписването на Декларацията на Шуман и 75 години след края на Втората световна война и да продължи две години.</w:t>
      </w:r>
      <w:r w:rsidR="00DC61F7" w:rsidRPr="006D781C">
        <w:rPr>
          <w:rFonts w:ascii="Arial" w:hAnsi="Arial" w:cs="Arial"/>
          <w:sz w:val="20"/>
          <w:lang w:val="bg-BG"/>
        </w:rPr>
        <w:t xml:space="preserve">  Конференцията за бъдещето на Европа е проект, обявен в </w:t>
      </w:r>
      <w:hyperlink r:id="rId10" w:history="1">
        <w:r w:rsidR="00DC61F7" w:rsidRPr="006D781C">
          <w:rPr>
            <w:rStyle w:val="Hyperlink"/>
            <w:rFonts w:ascii="Arial" w:hAnsi="Arial" w:cs="Arial"/>
            <w:color w:val="auto"/>
            <w:sz w:val="20"/>
            <w:u w:val="none"/>
            <w:lang w:val="bg-BG"/>
          </w:rPr>
          <w:t>политическите насоки</w:t>
        </w:r>
      </w:hyperlink>
      <w:r w:rsidR="00DC61F7" w:rsidRPr="006D781C">
        <w:rPr>
          <w:rFonts w:ascii="Arial" w:hAnsi="Arial" w:cs="Arial"/>
          <w:sz w:val="20"/>
          <w:lang w:val="bg-BG"/>
        </w:rPr>
        <w:t> на председателя на ЕК </w:t>
      </w:r>
      <w:r w:rsidR="00DC61F7" w:rsidRPr="006D781C">
        <w:rPr>
          <w:rFonts w:ascii="Arial" w:hAnsi="Arial" w:cs="Arial"/>
          <w:bCs/>
          <w:sz w:val="20"/>
          <w:lang w:val="bg-BG"/>
        </w:rPr>
        <w:t xml:space="preserve">Урсула фон дер Лайен. </w:t>
      </w:r>
      <w:r w:rsidR="00DC61F7" w:rsidRPr="006D781C">
        <w:rPr>
          <w:rFonts w:ascii="Arial" w:hAnsi="Arial" w:cs="Arial"/>
          <w:sz w:val="20"/>
          <w:lang w:val="bg-BG"/>
        </w:rPr>
        <w:t>Конференцията ще осигури възможност за провеждане на открит, приобщаващ, прозрачен и структуриран дебат с граждани с различен произход и от всички прослойки на обществото. EК се ангажира с предприемането на последващи действия във връзка с резултатите от този дебат.</w:t>
      </w:r>
      <w:r w:rsidR="006D781C" w:rsidRPr="006D781C">
        <w:rPr>
          <w:rFonts w:ascii="Arial" w:hAnsi="Arial" w:cs="Arial"/>
          <w:sz w:val="20"/>
          <w:lang w:val="ru-RU"/>
        </w:rPr>
        <w:t xml:space="preserve"> </w:t>
      </w:r>
      <w:r w:rsidR="00DC61F7" w:rsidRPr="006D781C">
        <w:rPr>
          <w:rFonts w:ascii="Arial" w:hAnsi="Arial" w:cs="Arial"/>
          <w:sz w:val="20"/>
          <w:lang w:val="bg-BG"/>
        </w:rPr>
        <w:t>ЕК предлага </w:t>
      </w:r>
      <w:r w:rsidR="00DC61F7" w:rsidRPr="006D781C">
        <w:rPr>
          <w:rFonts w:ascii="Arial" w:hAnsi="Arial" w:cs="Arial"/>
          <w:bCs/>
          <w:sz w:val="20"/>
          <w:lang w:val="bg-BG"/>
        </w:rPr>
        <w:t>две паралелни работни направления за дебатите</w:t>
      </w:r>
      <w:r w:rsidR="00DC61F7" w:rsidRPr="006D781C">
        <w:rPr>
          <w:rFonts w:ascii="Arial" w:hAnsi="Arial" w:cs="Arial"/>
          <w:sz w:val="20"/>
          <w:lang w:val="bg-BG"/>
        </w:rPr>
        <w:t>. Първото трябва да е съсредоточено върху приоритетите на ЕС и върху резултатите, които Съюзът трябва да се стреми да постигне като сред тях са борбата с изменението на климата и екологичните предизвикателства, икономика, която работи в полза на хората, социална справедливост и равенство, цифрова трансформация на Европа, утвърждаване на нашите европейски ценности, засилване на ролята на ЕС на световната сцена, както и укрепване на демократичните основи на Съюза. Второто направление трябва да бъде насочено към разглеждането на теми, които са свързани конкретно с демократичните процеси и с институционалните въпроси и по-специално системата за водещите кандидати и транснационалните листи за изборите за Европейски парламент.</w:t>
      </w:r>
      <w:r w:rsidR="006D781C" w:rsidRPr="006D781C">
        <w:rPr>
          <w:rFonts w:ascii="Arial" w:hAnsi="Arial" w:cs="Arial"/>
          <w:sz w:val="20"/>
          <w:lang w:val="ru-RU"/>
        </w:rPr>
        <w:t xml:space="preserve"> </w:t>
      </w:r>
      <w:r w:rsidR="00DC61F7" w:rsidRPr="006D781C">
        <w:rPr>
          <w:rFonts w:ascii="Arial" w:hAnsi="Arial" w:cs="Arial"/>
          <w:sz w:val="20"/>
          <w:lang w:val="bg-BG"/>
        </w:rPr>
        <w:t>Председателят на ЕК  </w:t>
      </w:r>
      <w:r w:rsidR="00DC61F7" w:rsidRPr="006D781C">
        <w:rPr>
          <w:rFonts w:ascii="Arial" w:hAnsi="Arial" w:cs="Arial"/>
          <w:bCs/>
          <w:sz w:val="20"/>
          <w:lang w:val="bg-BG"/>
        </w:rPr>
        <w:t>Урсула фон дер Лайен</w:t>
      </w:r>
      <w:r w:rsidR="00DC61F7" w:rsidRPr="006D781C">
        <w:rPr>
          <w:rFonts w:ascii="Arial" w:hAnsi="Arial" w:cs="Arial"/>
          <w:sz w:val="20"/>
          <w:lang w:val="bg-BG"/>
        </w:rPr>
        <w:t> заяви, че х</w:t>
      </w:r>
      <w:r w:rsidR="00DC61F7" w:rsidRPr="006D781C">
        <w:rPr>
          <w:rFonts w:ascii="Arial" w:hAnsi="Arial" w:cs="Arial"/>
          <w:iCs/>
          <w:sz w:val="20"/>
          <w:lang w:val="bg-BG"/>
        </w:rPr>
        <w:t>ората трябва да заемат централно място във всичките политики и затова би искала всички европейци да допринасят активно за Конференцията за бъдещето на Европа и да играят водеща роля за определянето на приорите</w:t>
      </w:r>
      <w:r w:rsidR="006D781C" w:rsidRPr="006D781C">
        <w:rPr>
          <w:rFonts w:ascii="Arial" w:hAnsi="Arial" w:cs="Arial"/>
          <w:iCs/>
          <w:sz w:val="20"/>
          <w:lang w:val="bg-BG"/>
        </w:rPr>
        <w:t>тите на Европейския съюз (ЕС).</w:t>
      </w:r>
      <w:r w:rsidR="006D781C" w:rsidRPr="006D781C">
        <w:rPr>
          <w:rFonts w:ascii="Arial" w:hAnsi="Arial" w:cs="Arial"/>
          <w:iCs/>
          <w:sz w:val="20"/>
          <w:lang w:val="ru-RU"/>
        </w:rPr>
        <w:t xml:space="preserve"> </w:t>
      </w:r>
      <w:r w:rsidR="00DC61F7" w:rsidRPr="006D781C">
        <w:rPr>
          <w:rFonts w:ascii="Arial" w:hAnsi="Arial" w:cs="Arial"/>
          <w:sz w:val="20"/>
          <w:lang w:val="bg-BG"/>
        </w:rPr>
        <w:t>За ЕК Конференцията е форум, в който взаимодействието се осъществява от долу нагоре и който е достъпен за хората далеч отвъд европейските столици, от всички краища на Съюза. Другите институции на ЕС, националните парламенти, социалните партньори, регионалните и местните органи и гражданското общество са поканени да се присъединят. Многоезична онлайн платформа ще осигури прозрачност на дебата и ще подкрепи по-широкото участие. ЕК се е ангажирала да предприеме най-ефективните действия заедно с другите институции на ЕС, за да може идеите на гражданите и дадената от тях обратна информация да бъдат включени в процеса на вземане на решения в ЕС.</w:t>
      </w:r>
      <w:r w:rsidR="006D781C" w:rsidRPr="006D781C">
        <w:rPr>
          <w:rFonts w:ascii="Arial" w:hAnsi="Arial" w:cs="Arial"/>
          <w:sz w:val="20"/>
          <w:lang w:val="ru-RU"/>
        </w:rPr>
        <w:t xml:space="preserve"> </w:t>
      </w:r>
      <w:r w:rsidR="00DC61F7" w:rsidRPr="006D781C">
        <w:rPr>
          <w:rFonts w:ascii="Arial" w:hAnsi="Arial" w:cs="Arial"/>
          <w:sz w:val="20"/>
          <w:lang w:val="bg-BG"/>
        </w:rPr>
        <w:t>Работата на ЕК във връзка с Конференцията ще се ръководи от заместник-председател </w:t>
      </w:r>
      <w:r w:rsidR="00DC61F7" w:rsidRPr="006D781C">
        <w:rPr>
          <w:rFonts w:ascii="Arial" w:hAnsi="Arial" w:cs="Arial"/>
          <w:bCs/>
          <w:sz w:val="20"/>
          <w:lang w:val="bg-BG"/>
        </w:rPr>
        <w:t>Шуица</w:t>
      </w:r>
      <w:r w:rsidR="00DC61F7" w:rsidRPr="006D781C">
        <w:rPr>
          <w:rFonts w:ascii="Arial" w:hAnsi="Arial" w:cs="Arial"/>
          <w:sz w:val="20"/>
          <w:lang w:val="bg-BG"/>
        </w:rPr>
        <w:t> с подкрепата на заместник-председател </w:t>
      </w:r>
      <w:r w:rsidR="00DC61F7" w:rsidRPr="006D781C">
        <w:rPr>
          <w:rFonts w:ascii="Arial" w:hAnsi="Arial" w:cs="Arial"/>
          <w:bCs/>
          <w:sz w:val="20"/>
          <w:lang w:val="bg-BG"/>
        </w:rPr>
        <w:t>Йоурова</w:t>
      </w:r>
      <w:r w:rsidR="00DC61F7" w:rsidRPr="006D781C">
        <w:rPr>
          <w:rFonts w:ascii="Arial" w:hAnsi="Arial" w:cs="Arial"/>
          <w:sz w:val="20"/>
          <w:lang w:val="bg-BG"/>
        </w:rPr>
        <w:t> в сферата на институционалното направление и заместник-председател </w:t>
      </w:r>
      <w:r w:rsidR="00DC61F7" w:rsidRPr="006D781C">
        <w:rPr>
          <w:rFonts w:ascii="Arial" w:hAnsi="Arial" w:cs="Arial"/>
          <w:bCs/>
          <w:sz w:val="20"/>
          <w:lang w:val="bg-BG"/>
        </w:rPr>
        <w:t>Шефчович</w:t>
      </w:r>
      <w:r w:rsidR="00DC61F7" w:rsidRPr="006D781C">
        <w:rPr>
          <w:rFonts w:ascii="Arial" w:hAnsi="Arial" w:cs="Arial"/>
          <w:sz w:val="20"/>
          <w:lang w:val="bg-BG"/>
        </w:rPr>
        <w:t> в областта на прогнозирането и по отношение на междуинституционалния аспект.</w:t>
      </w:r>
      <w:r w:rsidR="00560AD5" w:rsidRPr="006D781C">
        <w:rPr>
          <w:rFonts w:ascii="Arial" w:hAnsi="Arial" w:cs="Arial"/>
          <w:sz w:val="20"/>
          <w:lang w:val="bg-BG"/>
        </w:rPr>
        <w:t xml:space="preserve"> </w:t>
      </w:r>
      <w:r w:rsidR="00DC61F7" w:rsidRPr="006D781C">
        <w:rPr>
          <w:rFonts w:ascii="Arial" w:hAnsi="Arial" w:cs="Arial"/>
          <w:sz w:val="20"/>
          <w:lang w:val="bg-BG"/>
        </w:rPr>
        <w:t>Европейският парламент и Съветът също работят върху своя принос за Конференцията</w:t>
      </w:r>
      <w:r w:rsidR="00560AD5" w:rsidRPr="006D781C">
        <w:rPr>
          <w:rFonts w:ascii="Arial" w:hAnsi="Arial" w:cs="Arial"/>
          <w:sz w:val="20"/>
          <w:lang w:val="bg-BG"/>
        </w:rPr>
        <w:t xml:space="preserve">. </w:t>
      </w:r>
      <w:r w:rsidR="00DC61F7" w:rsidRPr="006D781C">
        <w:rPr>
          <w:rFonts w:ascii="Arial" w:hAnsi="Arial" w:cs="Arial"/>
          <w:sz w:val="20"/>
          <w:lang w:val="bg-BG"/>
        </w:rPr>
        <w:t>Хърватско председателство обяви Конференцията сред приоритетите на председателството си</w:t>
      </w:r>
      <w:r w:rsidR="00DC61F7" w:rsidRPr="00A944C7">
        <w:rPr>
          <w:rFonts w:ascii="Arial" w:hAnsi="Arial" w:cs="Arial"/>
          <w:sz w:val="20"/>
          <w:lang w:val="bg-BG"/>
        </w:rPr>
        <w:t>.</w:t>
      </w:r>
    </w:p>
    <w:p w:rsidR="006E7A46" w:rsidRPr="00A944C7" w:rsidRDefault="006E7A46" w:rsidP="00403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sz w:val="20"/>
          <w:lang w:val="bg-BG"/>
        </w:rPr>
      </w:pPr>
    </w:p>
    <w:sectPr w:rsidR="006E7A46" w:rsidRPr="00A944C7" w:rsidSect="00852688">
      <w:headerReference w:type="even" r:id="rId11"/>
      <w:headerReference w:type="default" r:id="rId12"/>
      <w:footerReference w:type="even" r:id="rId13"/>
      <w:footerReference w:type="default" r:id="rId14"/>
      <w:headerReference w:type="first" r:id="rId15"/>
      <w:footerReference w:type="first" r:id="rId16"/>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A21" w:rsidRDefault="00DB6A21">
      <w:r>
        <w:separator/>
      </w:r>
    </w:p>
  </w:endnote>
  <w:endnote w:type="continuationSeparator" w:id="0">
    <w:p w:rsidR="00DB6A21" w:rsidRDefault="00DB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entury Gothic"/>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DB6A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DB6A21"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lang w:val="bg-BG"/>
      </w:rPr>
      <w:t>Д</w:t>
    </w:r>
    <w:r w:rsidR="00AB2303">
      <w:rPr>
        <w:rFonts w:ascii="Arial" w:hAnsi="Arial"/>
        <w:i/>
        <w:iCs/>
        <w:color w:val="800080"/>
        <w:sz w:val="18"/>
        <w:szCs w:val="18"/>
        <w:lang w:val="bg-BG"/>
      </w:rPr>
      <w:t xml:space="preserve">ирекции „Директни плащания </w:t>
    </w:r>
    <w:r>
      <w:rPr>
        <w:rFonts w:ascii="Arial" w:hAnsi="Arial"/>
        <w:i/>
        <w:iCs/>
        <w:color w:val="800080"/>
        <w:sz w:val="18"/>
        <w:szCs w:val="18"/>
        <w:lang w:val="bg-BG"/>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lang w:val="bg-BG"/>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6D781C">
      <w:rPr>
        <w:rFonts w:ascii="Arial" w:hAnsi="Arial"/>
        <w:i/>
        <w:iCs/>
        <w:noProof/>
        <w:color w:val="800080"/>
        <w:sz w:val="18"/>
        <w:szCs w:val="18"/>
        <w:lang w:val="bg-BG"/>
      </w:rPr>
      <w:t>2</w:t>
    </w:r>
    <w:r w:rsidRPr="004B3CB3">
      <w:rPr>
        <w:rFonts w:ascii="Arial" w:hAnsi="Arial"/>
        <w:i/>
        <w:iCs/>
        <w:color w:val="800080"/>
        <w:sz w:val="18"/>
        <w:szCs w:val="18"/>
        <w:lang w:val="bg-BG"/>
      </w:rPr>
      <w:fldChar w:fldCharType="end"/>
    </w:r>
  </w:p>
  <w:p w:rsidR="005618E1" w:rsidRPr="004B3CB3" w:rsidRDefault="00DB6A21">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8FD" w:rsidRDefault="00067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A21" w:rsidRDefault="00DB6A21">
      <w:r>
        <w:separator/>
      </w:r>
    </w:p>
  </w:footnote>
  <w:footnote w:type="continuationSeparator" w:id="0">
    <w:p w:rsidR="00DB6A21" w:rsidRDefault="00DB6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8FD" w:rsidRDefault="000678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08065A25" wp14:editId="76BCFACE">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DB6A21"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DB6A21">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050832">
      <w:rPr>
        <w:rFonts w:ascii="Arial" w:hAnsi="Arial"/>
        <w:b/>
        <w:bCs/>
        <w:color w:val="800080"/>
        <w:sz w:val="20"/>
        <w:lang w:val="en-US"/>
      </w:rPr>
      <w:t>40</w:t>
    </w:r>
    <w:r w:rsidR="000678FD">
      <w:rPr>
        <w:rFonts w:ascii="Arial" w:hAnsi="Arial"/>
        <w:b/>
        <w:bCs/>
        <w:color w:val="800080"/>
        <w:sz w:val="20"/>
        <w:lang w:val="en-US"/>
      </w:rPr>
      <w:t>4</w:t>
    </w:r>
    <w:r>
      <w:rPr>
        <w:rFonts w:ascii="Arial" w:hAnsi="Arial"/>
        <w:b/>
        <w:bCs/>
        <w:color w:val="800080"/>
        <w:sz w:val="20"/>
        <w:lang w:val="bg-BG"/>
      </w:rPr>
      <w:t>/</w:t>
    </w:r>
    <w:r w:rsidR="007B0CB0">
      <w:rPr>
        <w:rFonts w:ascii="Arial" w:hAnsi="Arial"/>
        <w:b/>
        <w:bCs/>
        <w:color w:val="800080"/>
        <w:sz w:val="20"/>
        <w:lang w:val="en-US"/>
      </w:rPr>
      <w:t>2</w:t>
    </w:r>
    <w:r w:rsidR="000678FD">
      <w:rPr>
        <w:rFonts w:ascii="Arial" w:hAnsi="Arial"/>
        <w:b/>
        <w:bCs/>
        <w:color w:val="800080"/>
        <w:sz w:val="20"/>
        <w:lang w:val="en-US"/>
      </w:rPr>
      <w:t>7</w:t>
    </w:r>
    <w:r w:rsidR="006E7A46">
      <w:rPr>
        <w:rFonts w:ascii="Arial" w:hAnsi="Arial"/>
        <w:b/>
        <w:bCs/>
        <w:color w:val="800080"/>
        <w:sz w:val="20"/>
        <w:lang w:val="en-US"/>
      </w:rPr>
      <w:t>.</w:t>
    </w:r>
    <w:r w:rsidR="00B36E39">
      <w:rPr>
        <w:rFonts w:ascii="Arial" w:hAnsi="Arial"/>
        <w:b/>
        <w:bCs/>
        <w:color w:val="800080"/>
        <w:sz w:val="20"/>
        <w:lang w:val="en-US"/>
      </w:rPr>
      <w:t>01</w:t>
    </w:r>
    <w:r>
      <w:rPr>
        <w:rFonts w:ascii="Arial" w:hAnsi="Arial"/>
        <w:b/>
        <w:bCs/>
        <w:color w:val="800080"/>
        <w:sz w:val="20"/>
        <w:lang w:val="bg-BG"/>
      </w:rPr>
      <w:t>.20</w:t>
    </w:r>
    <w:r w:rsidR="00B36E39">
      <w:rPr>
        <w:rFonts w:ascii="Arial" w:hAnsi="Arial"/>
        <w:b/>
        <w:bCs/>
        <w:color w:val="800080"/>
        <w:sz w:val="20"/>
        <w:lang w:val="en-US"/>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8FD" w:rsidRDefault="000678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2497A"/>
    <w:rsid w:val="0003559B"/>
    <w:rsid w:val="00046D50"/>
    <w:rsid w:val="00050832"/>
    <w:rsid w:val="000678FD"/>
    <w:rsid w:val="00081DAE"/>
    <w:rsid w:val="00091CD4"/>
    <w:rsid w:val="000A31F0"/>
    <w:rsid w:val="000B2026"/>
    <w:rsid w:val="00131A6D"/>
    <w:rsid w:val="00134872"/>
    <w:rsid w:val="0013606E"/>
    <w:rsid w:val="0014608C"/>
    <w:rsid w:val="001639CC"/>
    <w:rsid w:val="00173E25"/>
    <w:rsid w:val="00180441"/>
    <w:rsid w:val="00186654"/>
    <w:rsid w:val="00186ED5"/>
    <w:rsid w:val="001E1EAA"/>
    <w:rsid w:val="001E4C01"/>
    <w:rsid w:val="001F2EC7"/>
    <w:rsid w:val="002118F6"/>
    <w:rsid w:val="00221CDF"/>
    <w:rsid w:val="00226E16"/>
    <w:rsid w:val="002521C1"/>
    <w:rsid w:val="00253FDA"/>
    <w:rsid w:val="002610A9"/>
    <w:rsid w:val="00261C03"/>
    <w:rsid w:val="00274F4E"/>
    <w:rsid w:val="00285183"/>
    <w:rsid w:val="002918DE"/>
    <w:rsid w:val="0029220D"/>
    <w:rsid w:val="002A5150"/>
    <w:rsid w:val="002A6A4C"/>
    <w:rsid w:val="002B44DA"/>
    <w:rsid w:val="002D1A87"/>
    <w:rsid w:val="002D25F9"/>
    <w:rsid w:val="002F1104"/>
    <w:rsid w:val="002F6211"/>
    <w:rsid w:val="00300FA3"/>
    <w:rsid w:val="00304D05"/>
    <w:rsid w:val="00313FBA"/>
    <w:rsid w:val="00320AF0"/>
    <w:rsid w:val="00351624"/>
    <w:rsid w:val="00353ACF"/>
    <w:rsid w:val="003573CC"/>
    <w:rsid w:val="00375A2B"/>
    <w:rsid w:val="003877CA"/>
    <w:rsid w:val="003952CE"/>
    <w:rsid w:val="003A56BA"/>
    <w:rsid w:val="003B7AAB"/>
    <w:rsid w:val="003C0E47"/>
    <w:rsid w:val="003C1BFF"/>
    <w:rsid w:val="003D0C6C"/>
    <w:rsid w:val="003E118D"/>
    <w:rsid w:val="003E5CB2"/>
    <w:rsid w:val="00403CB9"/>
    <w:rsid w:val="004133A8"/>
    <w:rsid w:val="00422311"/>
    <w:rsid w:val="00435C0F"/>
    <w:rsid w:val="0044148C"/>
    <w:rsid w:val="00446398"/>
    <w:rsid w:val="004923C1"/>
    <w:rsid w:val="004A5181"/>
    <w:rsid w:val="00502A0A"/>
    <w:rsid w:val="005247A5"/>
    <w:rsid w:val="00530C09"/>
    <w:rsid w:val="005372A6"/>
    <w:rsid w:val="00537A32"/>
    <w:rsid w:val="00550FDC"/>
    <w:rsid w:val="00560AD5"/>
    <w:rsid w:val="00563064"/>
    <w:rsid w:val="005A0184"/>
    <w:rsid w:val="005B4574"/>
    <w:rsid w:val="005C1BB7"/>
    <w:rsid w:val="00623765"/>
    <w:rsid w:val="006367A9"/>
    <w:rsid w:val="00673240"/>
    <w:rsid w:val="00682667"/>
    <w:rsid w:val="006961F0"/>
    <w:rsid w:val="006A094F"/>
    <w:rsid w:val="006A739D"/>
    <w:rsid w:val="006B5F22"/>
    <w:rsid w:val="006D781C"/>
    <w:rsid w:val="006E7A46"/>
    <w:rsid w:val="00705B40"/>
    <w:rsid w:val="00734448"/>
    <w:rsid w:val="00750FB4"/>
    <w:rsid w:val="0078265A"/>
    <w:rsid w:val="007846E5"/>
    <w:rsid w:val="00792E98"/>
    <w:rsid w:val="007A388B"/>
    <w:rsid w:val="007A70E6"/>
    <w:rsid w:val="007B03F2"/>
    <w:rsid w:val="007B0CB0"/>
    <w:rsid w:val="007D7438"/>
    <w:rsid w:val="007E5459"/>
    <w:rsid w:val="007F4E89"/>
    <w:rsid w:val="008030C3"/>
    <w:rsid w:val="00816686"/>
    <w:rsid w:val="0082007C"/>
    <w:rsid w:val="008206C1"/>
    <w:rsid w:val="0083184F"/>
    <w:rsid w:val="0083232B"/>
    <w:rsid w:val="00842786"/>
    <w:rsid w:val="00845489"/>
    <w:rsid w:val="00852DE4"/>
    <w:rsid w:val="00861450"/>
    <w:rsid w:val="0087702E"/>
    <w:rsid w:val="0087763E"/>
    <w:rsid w:val="008836F2"/>
    <w:rsid w:val="008933AB"/>
    <w:rsid w:val="008E0F81"/>
    <w:rsid w:val="008E543B"/>
    <w:rsid w:val="008F7ECC"/>
    <w:rsid w:val="00910462"/>
    <w:rsid w:val="00934FA6"/>
    <w:rsid w:val="009355BA"/>
    <w:rsid w:val="009704A2"/>
    <w:rsid w:val="0099695D"/>
    <w:rsid w:val="009A5D09"/>
    <w:rsid w:val="009D0924"/>
    <w:rsid w:val="009D6F1E"/>
    <w:rsid w:val="009F4E95"/>
    <w:rsid w:val="009F7022"/>
    <w:rsid w:val="00A1170C"/>
    <w:rsid w:val="00A447C0"/>
    <w:rsid w:val="00A516BA"/>
    <w:rsid w:val="00A56825"/>
    <w:rsid w:val="00A673EB"/>
    <w:rsid w:val="00A944C7"/>
    <w:rsid w:val="00AA74BC"/>
    <w:rsid w:val="00AB1841"/>
    <w:rsid w:val="00AB2303"/>
    <w:rsid w:val="00AC73DE"/>
    <w:rsid w:val="00AE0D25"/>
    <w:rsid w:val="00AE14FF"/>
    <w:rsid w:val="00AE2FF4"/>
    <w:rsid w:val="00B16835"/>
    <w:rsid w:val="00B34793"/>
    <w:rsid w:val="00B36E39"/>
    <w:rsid w:val="00B64F87"/>
    <w:rsid w:val="00B73DA3"/>
    <w:rsid w:val="00B8112B"/>
    <w:rsid w:val="00B853D4"/>
    <w:rsid w:val="00B90317"/>
    <w:rsid w:val="00B93F21"/>
    <w:rsid w:val="00BC70E2"/>
    <w:rsid w:val="00BE55CA"/>
    <w:rsid w:val="00BF118B"/>
    <w:rsid w:val="00BF16A0"/>
    <w:rsid w:val="00BF28EC"/>
    <w:rsid w:val="00C00F88"/>
    <w:rsid w:val="00C20809"/>
    <w:rsid w:val="00C3643A"/>
    <w:rsid w:val="00C37B23"/>
    <w:rsid w:val="00C60D17"/>
    <w:rsid w:val="00C6312D"/>
    <w:rsid w:val="00C718EB"/>
    <w:rsid w:val="00C72D96"/>
    <w:rsid w:val="00CA35A8"/>
    <w:rsid w:val="00CB196D"/>
    <w:rsid w:val="00CB2886"/>
    <w:rsid w:val="00CE5E69"/>
    <w:rsid w:val="00CE6E18"/>
    <w:rsid w:val="00CF22EC"/>
    <w:rsid w:val="00D1195A"/>
    <w:rsid w:val="00D167B1"/>
    <w:rsid w:val="00D3159B"/>
    <w:rsid w:val="00D32B06"/>
    <w:rsid w:val="00D43BBD"/>
    <w:rsid w:val="00D61B59"/>
    <w:rsid w:val="00D80D84"/>
    <w:rsid w:val="00D8519B"/>
    <w:rsid w:val="00DA4860"/>
    <w:rsid w:val="00DB6A21"/>
    <w:rsid w:val="00DC5A8E"/>
    <w:rsid w:val="00DC61F7"/>
    <w:rsid w:val="00DF7E91"/>
    <w:rsid w:val="00E02B6A"/>
    <w:rsid w:val="00E1525F"/>
    <w:rsid w:val="00E17E07"/>
    <w:rsid w:val="00E2125A"/>
    <w:rsid w:val="00E23670"/>
    <w:rsid w:val="00E24FA2"/>
    <w:rsid w:val="00E256E7"/>
    <w:rsid w:val="00E44DF1"/>
    <w:rsid w:val="00E6099A"/>
    <w:rsid w:val="00EA4B29"/>
    <w:rsid w:val="00EA4B99"/>
    <w:rsid w:val="00EB0F17"/>
    <w:rsid w:val="00EB3E81"/>
    <w:rsid w:val="00EB783C"/>
    <w:rsid w:val="00EC0DDC"/>
    <w:rsid w:val="00EE38E7"/>
    <w:rsid w:val="00EE7B1B"/>
    <w:rsid w:val="00F0360F"/>
    <w:rsid w:val="00F23EFD"/>
    <w:rsid w:val="00F4416D"/>
    <w:rsid w:val="00F531AD"/>
    <w:rsid w:val="00FD4196"/>
    <w:rsid w:val="00FE14C1"/>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h.government.bg/bg/normativni-aktove/proekti-na-normativni-aktove/proekt-na-naredba-za-izmenenie-i-doplnenie160120/"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c.europa.eu/commission/sites/beta-political/files/political-guidelines-next-commission_en.pdf" TargetMode="External"/><Relationship Id="rId4" Type="http://schemas.openxmlformats.org/officeDocument/2006/relationships/settings" Target="settings.xml"/><Relationship Id="rId9" Type="http://schemas.openxmlformats.org/officeDocument/2006/relationships/hyperlink" Target="https://www.bmel.de/SharedDocs/Pressemitteilungen/2019/191220-gap.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23</cp:revision>
  <dcterms:created xsi:type="dcterms:W3CDTF">2020-01-27T11:22:00Z</dcterms:created>
  <dcterms:modified xsi:type="dcterms:W3CDTF">2020-01-27T14:58:00Z</dcterms:modified>
</cp:coreProperties>
</file>