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6E7A46" w:rsidTr="00DF42CC">
        <w:tc>
          <w:tcPr>
            <w:tcW w:w="9923" w:type="dxa"/>
            <w:shd w:val="clear" w:color="auto" w:fill="C0C0C0"/>
          </w:tcPr>
          <w:p w:rsidR="00403CB9" w:rsidRPr="006E7A46" w:rsidRDefault="00403CB9" w:rsidP="00DF42CC">
            <w:pPr>
              <w:jc w:val="both"/>
              <w:rPr>
                <w:rFonts w:ascii="Arial" w:hAnsi="Arial" w:cs="Arial"/>
                <w:b/>
                <w:i/>
                <w:sz w:val="20"/>
                <w:lang w:val="bg-BG"/>
              </w:rPr>
            </w:pPr>
            <w:r w:rsidRPr="006E7A46">
              <w:rPr>
                <w:rFonts w:ascii="Arial" w:hAnsi="Arial" w:cs="Arial"/>
                <w:b/>
                <w:i/>
                <w:sz w:val="20"/>
                <w:lang w:val="bg-BG"/>
              </w:rPr>
              <w:t>Директни плащания</w:t>
            </w:r>
          </w:p>
        </w:tc>
      </w:tr>
    </w:tbl>
    <w:p w:rsidR="00403CB9" w:rsidRPr="006E7A46" w:rsidRDefault="00403CB9" w:rsidP="00403CB9">
      <w:pPr>
        <w:jc w:val="both"/>
        <w:rPr>
          <w:rStyle w:val="longtext"/>
          <w:rFonts w:ascii="Arial" w:hAnsi="Arial" w:cs="Arial"/>
          <w:b/>
          <w:sz w:val="20"/>
          <w:lang w:val="bg-BG"/>
        </w:rPr>
      </w:pPr>
    </w:p>
    <w:p w:rsidR="002D3D9C" w:rsidRDefault="002D3D9C" w:rsidP="002D3D9C">
      <w:pPr>
        <w:jc w:val="both"/>
        <w:rPr>
          <w:rFonts w:ascii="Arial" w:hAnsi="Arial" w:cs="Arial"/>
          <w:sz w:val="20"/>
          <w:lang w:val="en-US"/>
        </w:rPr>
      </w:pPr>
      <w:r w:rsidRPr="00C34E7C">
        <w:rPr>
          <w:rFonts w:ascii="Arial" w:hAnsi="Arial" w:cs="Arial"/>
          <w:b/>
          <w:color w:val="000000"/>
          <w:sz w:val="20"/>
          <w:lang w:val="bg-BG"/>
        </w:rPr>
        <w:t>1.</w:t>
      </w:r>
      <w:r w:rsidRPr="00C34E7C">
        <w:rPr>
          <w:rFonts w:ascii="Arial" w:hAnsi="Arial" w:cs="Arial"/>
          <w:b/>
          <w:color w:val="666666"/>
          <w:sz w:val="20"/>
          <w:lang w:val="bg-BG"/>
        </w:rPr>
        <w:t xml:space="preserve"> </w:t>
      </w:r>
      <w:r w:rsidRPr="00C34E7C">
        <w:rPr>
          <w:rFonts w:ascii="Arial" w:hAnsi="Arial" w:cs="Arial"/>
          <w:b/>
          <w:sz w:val="20"/>
          <w:lang w:val="bg-BG"/>
        </w:rPr>
        <w:t xml:space="preserve">На 16 януари 2020 г. беше изплатен втори транш по Схемата за преходна национална помощ за говеда, необвързани с производството (ПНДЖ1) за Кампания 2019. </w:t>
      </w:r>
      <w:r w:rsidRPr="00C34E7C">
        <w:rPr>
          <w:rFonts w:ascii="Arial" w:hAnsi="Arial" w:cs="Arial"/>
          <w:sz w:val="20"/>
          <w:lang w:val="bg-BG"/>
        </w:rPr>
        <w:t>Помощ в размер на  15 871 860 лева</w:t>
      </w:r>
      <w:r w:rsidRPr="00C34E7C">
        <w:rPr>
          <w:rFonts w:ascii="Arial" w:hAnsi="Arial" w:cs="Arial"/>
          <w:b/>
          <w:sz w:val="20"/>
          <w:lang w:val="bg-BG"/>
        </w:rPr>
        <w:t xml:space="preserve"> </w:t>
      </w:r>
      <w:r w:rsidRPr="00C34E7C">
        <w:rPr>
          <w:rFonts w:ascii="Arial" w:hAnsi="Arial" w:cs="Arial"/>
          <w:sz w:val="20"/>
          <w:lang w:val="bg-BG"/>
        </w:rPr>
        <w:t>получиха 4461 животновъди. Първият транш беше преведен в средата на октомври 2019 г. Общата изплатената сума по схемата за кампания 2019 възлиза на 35 065 737 лева.</w:t>
      </w:r>
    </w:p>
    <w:p w:rsidR="002D3D9C" w:rsidRPr="00C34E7C" w:rsidRDefault="00B35BF3" w:rsidP="002D3D9C">
      <w:pPr>
        <w:jc w:val="both"/>
        <w:rPr>
          <w:rFonts w:ascii="Arial" w:hAnsi="Arial" w:cs="Arial"/>
          <w:sz w:val="20"/>
          <w:lang w:val="bg-BG"/>
        </w:rPr>
      </w:pPr>
      <w:r>
        <w:rPr>
          <w:rFonts w:ascii="Arial" w:hAnsi="Arial" w:cs="Arial"/>
          <w:b/>
          <w:sz w:val="20"/>
          <w:lang w:val="en-US"/>
        </w:rPr>
        <w:t>2</w:t>
      </w:r>
      <w:r w:rsidR="002D3D9C" w:rsidRPr="00C34E7C">
        <w:rPr>
          <w:rFonts w:ascii="Arial" w:hAnsi="Arial" w:cs="Arial"/>
          <w:b/>
          <w:sz w:val="20"/>
          <w:lang w:val="bg-BG"/>
        </w:rPr>
        <w:t xml:space="preserve">. На интернет страницата на ДФЗ е публикуван Индикативен график за извършване на плащания по схемите и мерките за директни плащания за Кампания 2019. </w:t>
      </w:r>
      <w:r w:rsidR="002D3D9C" w:rsidRPr="00C34E7C">
        <w:rPr>
          <w:rFonts w:ascii="Arial" w:hAnsi="Arial" w:cs="Arial"/>
          <w:sz w:val="20"/>
          <w:lang w:val="bg-BG"/>
        </w:rPr>
        <w:t xml:space="preserve">Повече информация можете да получите на следния адрес </w:t>
      </w:r>
      <w:hyperlink r:id="rId8" w:history="1">
        <w:r w:rsidR="002D3D9C" w:rsidRPr="00C34E7C">
          <w:rPr>
            <w:rStyle w:val="Hyperlink"/>
            <w:rFonts w:ascii="Arial" w:hAnsi="Arial" w:cs="Arial"/>
            <w:sz w:val="20"/>
            <w:lang w:val="bg-BG"/>
          </w:rPr>
          <w:t>http://www.dfz.bg/bg/dp-2014-2020/-2019/</w:t>
        </w:r>
      </w:hyperlink>
      <w:r w:rsidR="002D3D9C" w:rsidRPr="00C34E7C">
        <w:rPr>
          <w:rFonts w:ascii="Arial" w:hAnsi="Arial" w:cs="Arial"/>
          <w:sz w:val="20"/>
          <w:lang w:val="bg-BG"/>
        </w:rPr>
        <w:t xml:space="preserve"> .</w:t>
      </w:r>
    </w:p>
    <w:p w:rsidR="002D3D9C" w:rsidRPr="00C34E7C" w:rsidRDefault="002D3D9C" w:rsidP="002D3D9C">
      <w:pPr>
        <w:jc w:val="both"/>
        <w:rPr>
          <w:rFonts w:ascii="Arial" w:hAnsi="Arial" w:cs="Arial"/>
          <w:sz w:val="20"/>
          <w:lang w:val="bg-BG"/>
        </w:rPr>
      </w:pPr>
    </w:p>
    <w:tbl>
      <w:tblPr>
        <w:tblW w:w="10159" w:type="dxa"/>
        <w:tblInd w:w="108" w:type="dxa"/>
        <w:tblLook w:val="01E0" w:firstRow="1" w:lastRow="1" w:firstColumn="1" w:lastColumn="1" w:noHBand="0" w:noVBand="0"/>
      </w:tblPr>
      <w:tblGrid>
        <w:gridCol w:w="9923"/>
        <w:gridCol w:w="236"/>
      </w:tblGrid>
      <w:tr w:rsidR="00403CB9" w:rsidRPr="006E7A46" w:rsidTr="00DF42CC">
        <w:tc>
          <w:tcPr>
            <w:tcW w:w="9923" w:type="dxa"/>
            <w:shd w:val="clear" w:color="auto" w:fill="C0C0C0"/>
            <w:hideMark/>
          </w:tcPr>
          <w:p w:rsidR="00403CB9" w:rsidRPr="006E7A46" w:rsidRDefault="00403CB9" w:rsidP="00DF42CC">
            <w:pPr>
              <w:jc w:val="both"/>
              <w:rPr>
                <w:rFonts w:ascii="Arial" w:hAnsi="Arial" w:cs="Arial"/>
                <w:b/>
                <w:i/>
                <w:sz w:val="20"/>
                <w:lang w:val="bg-BG"/>
              </w:rPr>
            </w:pPr>
            <w:r w:rsidRPr="006E7A46">
              <w:rPr>
                <w:rFonts w:ascii="Arial" w:hAnsi="Arial" w:cs="Arial"/>
                <w:b/>
                <w:i/>
                <w:sz w:val="20"/>
                <w:lang w:val="bg-BG"/>
              </w:rPr>
              <w:t>Пазарна подкрепа</w:t>
            </w:r>
          </w:p>
        </w:tc>
        <w:tc>
          <w:tcPr>
            <w:tcW w:w="236" w:type="dxa"/>
          </w:tcPr>
          <w:p w:rsidR="00403CB9" w:rsidRPr="006E7A46" w:rsidRDefault="00403CB9" w:rsidP="00DF42CC">
            <w:pPr>
              <w:jc w:val="both"/>
              <w:rPr>
                <w:rFonts w:ascii="Arial" w:hAnsi="Arial" w:cs="Arial"/>
                <w:b/>
                <w:i/>
                <w:sz w:val="20"/>
                <w:lang w:val="bg-BG"/>
              </w:rPr>
            </w:pPr>
          </w:p>
        </w:tc>
      </w:tr>
    </w:tbl>
    <w:p w:rsidR="00B90317" w:rsidRPr="006E7A46" w:rsidRDefault="00B90317" w:rsidP="00403CB9">
      <w:pPr>
        <w:jc w:val="both"/>
        <w:rPr>
          <w:rFonts w:ascii="Arial" w:eastAsia="SimSun" w:hAnsi="Arial" w:cs="Arial"/>
          <w:b/>
          <w:bCs/>
          <w:color w:val="000000"/>
          <w:sz w:val="20"/>
          <w:lang w:val="en-US" w:eastAsia="bg-BG"/>
        </w:rPr>
      </w:pPr>
    </w:p>
    <w:p w:rsidR="00655A10" w:rsidRPr="00655AEB" w:rsidRDefault="00B35BF3" w:rsidP="00655A10">
      <w:pPr>
        <w:jc w:val="both"/>
        <w:rPr>
          <w:rFonts w:ascii="Arial" w:hAnsi="Arial" w:cs="Arial"/>
          <w:noProof/>
          <w:sz w:val="20"/>
          <w:lang w:val="bg-BG"/>
        </w:rPr>
      </w:pPr>
      <w:r w:rsidRPr="00655AEB">
        <w:rPr>
          <w:rFonts w:ascii="Arial" w:eastAsia="SimSun" w:hAnsi="Arial" w:cs="Arial"/>
          <w:b/>
          <w:bCs/>
          <w:noProof/>
          <w:color w:val="000000"/>
          <w:sz w:val="20"/>
          <w:lang w:val="bg-BG" w:eastAsia="bg-BG"/>
        </w:rPr>
        <w:t>3</w:t>
      </w:r>
      <w:r w:rsidR="00655A10" w:rsidRPr="00655AEB">
        <w:rPr>
          <w:rFonts w:ascii="Arial" w:eastAsia="SimSun" w:hAnsi="Arial" w:cs="Arial"/>
          <w:b/>
          <w:bCs/>
          <w:noProof/>
          <w:color w:val="000000"/>
          <w:sz w:val="20"/>
          <w:lang w:val="bg-BG" w:eastAsia="bg-BG"/>
        </w:rPr>
        <w:t xml:space="preserve">. </w:t>
      </w:r>
      <w:r w:rsidR="00655A10" w:rsidRPr="00655AEB">
        <w:rPr>
          <w:rFonts w:ascii="Arial" w:hAnsi="Arial" w:cs="Arial"/>
          <w:b/>
          <w:noProof/>
          <w:sz w:val="20"/>
          <w:lang w:val="bg-BG"/>
        </w:rPr>
        <w:t xml:space="preserve">От 14 януари 2020 г. е в сила ново изменение на 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 </w:t>
      </w:r>
      <w:r w:rsidR="00655A10" w:rsidRPr="00655AEB">
        <w:rPr>
          <w:rFonts w:ascii="Arial" w:hAnsi="Arial" w:cs="Arial"/>
          <w:noProof/>
          <w:sz w:val="20"/>
          <w:lang w:val="bg-BG"/>
        </w:rPr>
        <w:t>С изменението са определени правила за прилагането на нова мярка от Националната програма - „Събиране на реколтата на зелено“.</w:t>
      </w:r>
      <w:r w:rsidR="00655A10" w:rsidRPr="00655AEB">
        <w:rPr>
          <w:noProof/>
          <w:lang w:val="bg-BG"/>
        </w:rPr>
        <w:t xml:space="preserve"> </w:t>
      </w:r>
      <w:r w:rsidR="00655A10" w:rsidRPr="00655AEB">
        <w:rPr>
          <w:rFonts w:ascii="Arial" w:hAnsi="Arial" w:cs="Arial"/>
          <w:noProof/>
          <w:sz w:val="20"/>
          <w:lang w:val="bg-BG"/>
        </w:rPr>
        <w:t>Събиране на реколтата на зелено представлява пълното отстраняване на гроздовете, докато все още не са узрели, като по този начин добивът от съответната площ се намалява до нула.Това е кризисна мярка, която ще се прилага в случай на прогнозиран дисбаланс на пазара в лозаро-винарския сектор с цел стабилизиране на равновесието между търсенето и предлагането в сектора. Финансовата помощ по мярка „Събиране на реколтата на зелено“ ще се предоставя като обезщетение с фиксиран размер за хектар и няма да надвишава 50 на сто от сумата на преките разходи за операциите по отстраняването на гроздовете и на загубата на приходи, произтичаща от отстраняването. По мярка „Инвестиции в предприятия“ е предвидено подпомагане за дейности по строително-монтажни работи за изграждане, надстрояване, пристрояване и/или реконструкция на сграда, предназначена за: производство на вино (от обработка на гроздето до бутилиране и етикетиране на виното в изба), контрол на качеството на виното – анализиращи лаборатории, съхранение на виното, предлагане на виното и подобряване на инфраструктурата в предприятието, като създаването на изцяло нови предприятия не е обект на подпомагане по мярката.</w:t>
      </w:r>
      <w:r w:rsidR="00655A10" w:rsidRPr="00655AEB">
        <w:rPr>
          <w:noProof/>
          <w:lang w:val="bg-BG"/>
        </w:rPr>
        <w:t xml:space="preserve"> </w:t>
      </w:r>
      <w:r w:rsidR="00655A10" w:rsidRPr="00655AEB">
        <w:rPr>
          <w:rFonts w:ascii="Arial" w:hAnsi="Arial" w:cs="Arial"/>
          <w:noProof/>
          <w:sz w:val="20"/>
          <w:lang w:val="bg-BG"/>
        </w:rPr>
        <w:t>Поради разширения обхват на допустимите дейности по мярка „Инвестиции в предприятия“ е увеличен и максималният размер на помощта по един проект от 600 000 евро на 800 000 евро, а максималният размер на всички разходи по проекти, подадени от един кандидат за целия период на Националната програма от 1 500 000 на  2 000 000 евро. По мярка „Застраховане на реколтата“ е определен период на прием от 1 май до 30 юни всяка година, като този период е съобразен със застрахователната практика в лозаро-винарския сектор. От наредбата е премахнато изискването за предоставяне на цифрови географски данни за застрахованите площи, тъй като тази процедура утежнява прилагането и не е предвидена в приложимото европейско законодателство. По мярка „Преструктуриране и конверсия на лозя“ е намален максималният размер на всички разходи по проекти, подадени от един кандидат в рамките на един прием - от 3 000 000 лв. на  1 500 000 лева, респективно и максималният размер на подпомагането за един кандидат в рамките на целия програмен период – от 6 000 000 лв. на 4 500 000 лв. Така се дава възможност по-голям брой проекти да се възползват от финансова помощ по мярката. По мярка „Популяризиране в трети държави“ е предвидено изискването за пазарен дял да бъде относимо само към професионалните организации, организациите на производители и асоциациите на организации на производители, да бъде намалено от 10% на 6% и да бъде условие за допустимост по мярката. За търговските дружества е предвидено като условие за допустимост делът на приходите им от дейността в лозаро-винарския сектор да бъде минимум 50% от общите приходи на фирмата.</w:t>
      </w:r>
      <w:r w:rsidR="00655A10" w:rsidRPr="00655AEB">
        <w:rPr>
          <w:noProof/>
          <w:lang w:val="bg-BG"/>
        </w:rPr>
        <w:t xml:space="preserve"> </w:t>
      </w:r>
      <w:r w:rsidR="00655A10" w:rsidRPr="00655AEB">
        <w:rPr>
          <w:rFonts w:ascii="Arial" w:hAnsi="Arial" w:cs="Arial"/>
          <w:noProof/>
          <w:sz w:val="20"/>
          <w:lang w:val="bg-BG"/>
        </w:rPr>
        <w:t>Облекчена е и цялостната процедура по оценяване на промоционалните проекти, като е заличено изискването за разглеждане на проектите от Комисия за оценка на проектите.</w:t>
      </w:r>
    </w:p>
    <w:p w:rsidR="009D0924" w:rsidRPr="00655AEB" w:rsidRDefault="009D0924" w:rsidP="00403CB9">
      <w:pPr>
        <w:jc w:val="both"/>
        <w:rPr>
          <w:rFonts w:ascii="Arial" w:eastAsia="SimSun" w:hAnsi="Arial" w:cs="Arial"/>
          <w:b/>
          <w:bCs/>
          <w:noProof/>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655AEB" w:rsidTr="00DF42CC">
        <w:tc>
          <w:tcPr>
            <w:tcW w:w="9900" w:type="dxa"/>
            <w:shd w:val="clear" w:color="auto" w:fill="C0C0C0"/>
            <w:hideMark/>
          </w:tcPr>
          <w:p w:rsidR="00403CB9" w:rsidRPr="00655AEB" w:rsidRDefault="00403CB9" w:rsidP="00DF42CC">
            <w:pPr>
              <w:tabs>
                <w:tab w:val="left" w:pos="1020"/>
              </w:tabs>
              <w:autoSpaceDE w:val="0"/>
              <w:autoSpaceDN w:val="0"/>
              <w:adjustRightInd w:val="0"/>
              <w:jc w:val="both"/>
              <w:rPr>
                <w:rFonts w:ascii="Arial" w:hAnsi="Arial" w:cs="Arial"/>
                <w:b/>
                <w:i/>
                <w:iCs/>
                <w:noProof/>
                <w:sz w:val="20"/>
                <w:lang w:val="bg-BG"/>
              </w:rPr>
            </w:pPr>
            <w:r w:rsidRPr="00655AEB">
              <w:rPr>
                <w:rFonts w:ascii="Arial" w:hAnsi="Arial" w:cs="Arial"/>
                <w:b/>
                <w:i/>
                <w:noProof/>
                <w:sz w:val="20"/>
                <w:lang w:val="bg-BG"/>
              </w:rPr>
              <w:t>Визия за ОСП след 2020 г.</w:t>
            </w:r>
          </w:p>
        </w:tc>
        <w:tc>
          <w:tcPr>
            <w:tcW w:w="256" w:type="dxa"/>
          </w:tcPr>
          <w:p w:rsidR="00403CB9" w:rsidRPr="00655AEB" w:rsidRDefault="00403CB9" w:rsidP="00DF42CC">
            <w:pPr>
              <w:jc w:val="both"/>
              <w:rPr>
                <w:rFonts w:ascii="Arial" w:hAnsi="Arial" w:cs="Arial"/>
                <w:b/>
                <w:noProof/>
                <w:sz w:val="20"/>
                <w:lang w:val="bg-BG"/>
              </w:rPr>
            </w:pPr>
          </w:p>
        </w:tc>
      </w:tr>
    </w:tbl>
    <w:p w:rsidR="00B90317" w:rsidRPr="00655AEB" w:rsidRDefault="00B90317" w:rsidP="00C00F88">
      <w:pPr>
        <w:jc w:val="both"/>
        <w:rPr>
          <w:rFonts w:ascii="Arial" w:hAnsi="Arial" w:cs="Arial"/>
          <w:b/>
          <w:noProof/>
          <w:sz w:val="20"/>
          <w:lang w:val="bg-BG"/>
        </w:rPr>
      </w:pPr>
    </w:p>
    <w:p w:rsidR="007C186D" w:rsidRPr="00655AEB" w:rsidRDefault="00B35BF3" w:rsidP="007C186D">
      <w:pPr>
        <w:tabs>
          <w:tab w:val="left" w:pos="4177"/>
        </w:tabs>
        <w:jc w:val="both"/>
        <w:rPr>
          <w:rFonts w:ascii="Arial" w:hAnsi="Arial" w:cs="Arial"/>
          <w:noProof/>
          <w:sz w:val="20"/>
          <w:lang w:val="bg-BG"/>
        </w:rPr>
      </w:pPr>
      <w:r w:rsidRPr="00655AEB">
        <w:rPr>
          <w:rFonts w:ascii="Arial" w:hAnsi="Arial" w:cs="Arial"/>
          <w:b/>
          <w:noProof/>
          <w:color w:val="222222"/>
          <w:sz w:val="20"/>
          <w:lang w:val="bg-BG" w:eastAsia="bg-BG"/>
        </w:rPr>
        <w:t>4</w:t>
      </w:r>
      <w:r w:rsidR="007C186D" w:rsidRPr="00655AEB">
        <w:rPr>
          <w:rFonts w:ascii="Arial" w:hAnsi="Arial" w:cs="Arial"/>
          <w:b/>
          <w:noProof/>
          <w:color w:val="222222"/>
          <w:sz w:val="20"/>
          <w:lang w:val="bg-BG" w:eastAsia="bg-BG"/>
        </w:rPr>
        <w:t xml:space="preserve">. </w:t>
      </w:r>
      <w:r w:rsidR="007C186D" w:rsidRPr="00655AEB">
        <w:rPr>
          <w:rFonts w:ascii="Arial" w:hAnsi="Arial" w:cs="Arial"/>
          <w:b/>
          <w:noProof/>
          <w:sz w:val="20"/>
          <w:lang w:val="bg-BG"/>
        </w:rPr>
        <w:t xml:space="preserve">Специален доклад №23/2019 на Европейската сметна палата „Стабилизиране на доходите на земеделските стопани – необходимо е да се преодолеят слабото използване на инструментите и свръхкомпенсирането, въпреки наличието на широк набор от инструменти“ </w:t>
      </w:r>
      <w:r w:rsidR="007C186D" w:rsidRPr="00655AEB">
        <w:rPr>
          <w:rFonts w:ascii="Arial" w:hAnsi="Arial" w:cs="Arial"/>
          <w:noProof/>
          <w:sz w:val="20"/>
          <w:lang w:val="bg-BG"/>
        </w:rPr>
        <w:t>беше представен на първото заседание под Хърватското председателство на РГ АГРИФИН, проведено на 17 януари 2020г. в Брюксел. Европейската сметна палата разглежда изчерпателността и последователността на предоставените инструменти на ЕС за предотвратяване и управление на рискове и кризи, както и дали инструментите за управление на рискове и преодоляване на кризи са приложени ефективно и дали са постигнати желаните резултати.</w:t>
      </w:r>
      <w:r w:rsidR="007C186D" w:rsidRPr="00655AEB">
        <w:rPr>
          <w:rFonts w:ascii="Times New Roman" w:hAnsi="Times New Roman"/>
          <w:noProof/>
          <w:szCs w:val="24"/>
          <w:lang w:val="bg-BG" w:eastAsia="bg-BG"/>
        </w:rPr>
        <w:t xml:space="preserve"> </w:t>
      </w:r>
      <w:r w:rsidR="007C186D" w:rsidRPr="00655AEB">
        <w:rPr>
          <w:rFonts w:ascii="Arial" w:hAnsi="Arial" w:cs="Arial"/>
          <w:noProof/>
          <w:sz w:val="20"/>
          <w:lang w:val="bg-BG" w:eastAsia="bg-BG"/>
        </w:rPr>
        <w:t>В доклада си</w:t>
      </w:r>
      <w:r w:rsidR="007C186D" w:rsidRPr="00655AEB">
        <w:rPr>
          <w:rFonts w:ascii="Times New Roman" w:hAnsi="Times New Roman"/>
          <w:noProof/>
          <w:szCs w:val="24"/>
          <w:lang w:val="bg-BG" w:eastAsia="bg-BG"/>
        </w:rPr>
        <w:t xml:space="preserve"> </w:t>
      </w:r>
      <w:r w:rsidR="007C186D" w:rsidRPr="00655AEB">
        <w:rPr>
          <w:rFonts w:ascii="Arial" w:hAnsi="Arial" w:cs="Arial"/>
          <w:noProof/>
          <w:sz w:val="20"/>
          <w:lang w:val="bg-BG"/>
        </w:rPr>
        <w:t xml:space="preserve">ЕСП посочва, че ОСП предоставя изчерпателен набор от </w:t>
      </w:r>
      <w:r w:rsidR="007C186D" w:rsidRPr="00655AEB">
        <w:rPr>
          <w:rFonts w:ascii="Arial" w:hAnsi="Arial" w:cs="Arial"/>
          <w:noProof/>
          <w:sz w:val="20"/>
          <w:lang w:val="bg-BG"/>
        </w:rPr>
        <w:lastRenderedPageBreak/>
        <w:t xml:space="preserve">инструменти за повишаване на устойчивостта на земеделските стопани като отбелязва, че директните плащания (41 млрд. евро годишно) оказват значително въздействие върху стабилизирането на доходите на някои земеделски стопани. Европейската сметна палата отбелязва, че ОСП включва превантивни инструменти, които да помогнат земеделските стопани да повишат своята устойчивост, като данните показват, че тяхното въздействие върху поведението на земеделските стопани е ограничено. В доклада си ЕСП отправя и някои препоръки към Комисията за приложението на политиката:  Насърчаване на земеделските стопани за по-добра подготовка за кризи; По-добро планиране и мониторинг на подпомагането за застраховане; Прецизиране на критериите за предприемане и прекратяване на извънредни  мерки и тяхното съчетаване с други инструменти и Коригиране на обезщетението за операции по изтегляне от пазара. </w:t>
      </w:r>
    </w:p>
    <w:p w:rsidR="00DC5A8E" w:rsidRPr="00655AEB" w:rsidRDefault="00DC5A8E" w:rsidP="00DA4860">
      <w:pPr>
        <w:contextualSpacing/>
        <w:jc w:val="both"/>
        <w:rPr>
          <w:rFonts w:ascii="Arial" w:hAnsi="Arial" w:cs="Arial"/>
          <w:b/>
          <w:noProof/>
          <w:color w:val="000000"/>
          <w:sz w:val="20"/>
          <w:lang w:val="bg-BG"/>
        </w:rPr>
      </w:pPr>
    </w:p>
    <w:tbl>
      <w:tblPr>
        <w:tblW w:w="10159" w:type="dxa"/>
        <w:tblInd w:w="108" w:type="dxa"/>
        <w:tblLook w:val="01E0" w:firstRow="1" w:lastRow="1" w:firstColumn="1" w:lastColumn="1" w:noHBand="0" w:noVBand="0"/>
      </w:tblPr>
      <w:tblGrid>
        <w:gridCol w:w="9923"/>
        <w:gridCol w:w="236"/>
      </w:tblGrid>
      <w:tr w:rsidR="00403CB9" w:rsidRPr="00655AEB" w:rsidTr="00DF42CC">
        <w:tc>
          <w:tcPr>
            <w:tcW w:w="9923" w:type="dxa"/>
            <w:shd w:val="clear" w:color="auto" w:fill="C0C0C0"/>
            <w:hideMark/>
          </w:tcPr>
          <w:p w:rsidR="00403CB9" w:rsidRPr="00655AEB" w:rsidRDefault="00403CB9" w:rsidP="00DF42CC">
            <w:pPr>
              <w:jc w:val="both"/>
              <w:rPr>
                <w:rStyle w:val="longtext"/>
                <w:rFonts w:ascii="Arial" w:hAnsi="Arial" w:cs="Arial"/>
                <w:b/>
                <w:i/>
                <w:noProof/>
                <w:sz w:val="20"/>
                <w:lang w:val="bg-BG"/>
              </w:rPr>
            </w:pPr>
            <w:r w:rsidRPr="00655AEB">
              <w:rPr>
                <w:rStyle w:val="longtext"/>
                <w:rFonts w:ascii="Arial" w:hAnsi="Arial" w:cs="Arial"/>
                <w:b/>
                <w:i/>
                <w:noProof/>
                <w:sz w:val="20"/>
                <w:lang w:val="bg-BG"/>
              </w:rPr>
              <w:t>Още от ЕС и света</w:t>
            </w:r>
          </w:p>
        </w:tc>
        <w:tc>
          <w:tcPr>
            <w:tcW w:w="236" w:type="dxa"/>
          </w:tcPr>
          <w:p w:rsidR="00403CB9" w:rsidRPr="00655AEB" w:rsidRDefault="00403CB9" w:rsidP="00DF42CC">
            <w:pPr>
              <w:jc w:val="both"/>
              <w:rPr>
                <w:rStyle w:val="longtext"/>
                <w:rFonts w:ascii="Arial" w:hAnsi="Arial" w:cs="Arial"/>
                <w:b/>
                <w:noProof/>
                <w:sz w:val="20"/>
                <w:lang w:val="bg-BG"/>
              </w:rPr>
            </w:pPr>
          </w:p>
        </w:tc>
      </w:tr>
    </w:tbl>
    <w:p w:rsidR="00403CB9" w:rsidRPr="00655AEB"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bg-BG"/>
        </w:rPr>
      </w:pPr>
    </w:p>
    <w:p w:rsidR="00FF0B08" w:rsidRPr="00655AEB" w:rsidRDefault="00FF0B08" w:rsidP="00FF0B08">
      <w:pPr>
        <w:pStyle w:val="Default"/>
        <w:tabs>
          <w:tab w:val="left" w:pos="284"/>
        </w:tabs>
        <w:jc w:val="both"/>
        <w:rPr>
          <w:i/>
          <w:noProof/>
          <w:sz w:val="20"/>
          <w:szCs w:val="20"/>
          <w:lang w:val="bg-BG"/>
        </w:rPr>
      </w:pPr>
      <w:r w:rsidRPr="00655AEB">
        <w:rPr>
          <w:rStyle w:val="longtext"/>
          <w:b/>
          <w:noProof/>
          <w:sz w:val="20"/>
          <w:lang w:val="bg-BG"/>
        </w:rPr>
        <w:t>5.</w:t>
      </w:r>
      <w:r w:rsidRPr="00655AEB">
        <w:rPr>
          <w:b/>
          <w:noProof/>
          <w:sz w:val="20"/>
          <w:szCs w:val="20"/>
          <w:lang w:val="bg-BG"/>
        </w:rPr>
        <w:t xml:space="preserve"> Комисарят по земеделие Януш Войчeховски иска да види нова Обща селскостопанска политика (ОСП) до края на годината, докато Стела Кириакидес, комисар по Здравеопазване и безопасност на храните, очаква с нетърпение стратегията „От фермата до трапезата“.</w:t>
      </w:r>
      <w:r w:rsidRPr="00655AEB">
        <w:rPr>
          <w:noProof/>
          <w:sz w:val="20"/>
          <w:szCs w:val="20"/>
          <w:lang w:val="bg-BG"/>
        </w:rPr>
        <w:t xml:space="preserve"> Двамата комисари разговаряха с репортери в Берлин на 16 януари на 85-та Международна зелена седмица. Комисар Войчеховски отбеляза, че това ще бъде не само зелена седмица, а година, зелено десетилетие, може би зеления век. Европейската зелена сделка е приоритет на новата EК. Нейната роля е да защити бюджета за земеделие срещу всякакви стъпки за намаляване на разходите. Комисарят по земеделие призова за сериозна дискусия как да се гарантира, че бюджетът е подходящ за големите предизвикателства, особено за „зелената сделка“. Той подчерта важността на сигурността защото европейските фермери осигуряват продоволствената сигурност на 500 милиона европейски граждани. Отново повдигна проблема с изчезването на малките стопанства и застаряващото земеделско население. Комисар Кириакидес прогнозира, че безопасността на храните ще стане все по-решаваща през следващите години. „Населението на света расте, докато ресурсите намаляват“, казва тя. Навиците на консумация се променят непрекъснато. Почти половината от глобалното население е с наднормено тегло и в същото време изхабяваме 1/5 от храната, която произвеждаме - около 88 милиона тона само в ЕС. В същото време милиони граждани на ЕС нямат прилично хранене ежедневно. Стратегията „От фермата до трапезата“, като ключов градивен елемент на европейската Зелена сделка ще бъде оповестена през май. Относно предложението на Германския земеделски съюз 20% от бюджета за земеделие да бъдат разпределени за екосхеми, еврокомисарят Войчеховски каза, че екосхемите ще бъдат предложени от ДЧ, но трябва най-малкото да има списък, предложен от ЕК. На въпроса дали идеята, че устойчивостта трябва да означава промяна в диетата към повече растителна храна, комисар Войчеховски отговори че това също е избор на ДЧ. ЕК няма да принуди фермерите да ликвидират животните си и да произвеждат растения. Това ще се решава на национално ниво в Стратегическия план. В отговор на друг въпрос комисар Кириакидес заяви, че  Програмата също така ще разглежда и въпроси, свързани с хранителните отпадъци. Ще се разгледат начините, които да направят устойчивите практики по-печеливши.  </w:t>
      </w:r>
    </w:p>
    <w:p w:rsidR="00FF0B08" w:rsidRPr="00655AEB" w:rsidRDefault="00121AB6" w:rsidP="00FF0B08">
      <w:pPr>
        <w:jc w:val="both"/>
        <w:rPr>
          <w:rStyle w:val="longtext"/>
          <w:rFonts w:ascii="Arial" w:hAnsi="Arial" w:cs="Arial"/>
          <w:noProof/>
          <w:sz w:val="20"/>
          <w:lang w:val="bg-BG"/>
        </w:rPr>
      </w:pPr>
      <w:r w:rsidRPr="00655AEB">
        <w:rPr>
          <w:rStyle w:val="longtext"/>
          <w:rFonts w:ascii="Arial" w:hAnsi="Arial" w:cs="Arial"/>
          <w:b/>
          <w:noProof/>
          <w:sz w:val="20"/>
          <w:lang w:val="bg-BG"/>
        </w:rPr>
        <w:t>6</w:t>
      </w:r>
      <w:r w:rsidR="00FF0B08" w:rsidRPr="00655AEB">
        <w:rPr>
          <w:rStyle w:val="longtext"/>
          <w:rFonts w:ascii="Arial" w:hAnsi="Arial" w:cs="Arial"/>
          <w:b/>
          <w:noProof/>
          <w:sz w:val="20"/>
          <w:lang w:val="bg-BG"/>
        </w:rPr>
        <w:t xml:space="preserve">. Европейският парламент (ЕП) иска да се увеличи амбицията на „Зелената сделка“ и приветства цялостна визия. </w:t>
      </w:r>
      <w:r w:rsidR="00FF0B08" w:rsidRPr="00655AEB">
        <w:rPr>
          <w:rStyle w:val="longtext"/>
          <w:rFonts w:ascii="Arial" w:hAnsi="Arial" w:cs="Arial"/>
          <w:noProof/>
          <w:sz w:val="20"/>
          <w:lang w:val="bg-BG"/>
        </w:rPr>
        <w:t xml:space="preserve">Огромно мнозинство от членовете на ЕП потвърдиха на 15 януари в Страсбург, че подкрепят Зелената сделка като стратегия за зелен и устойчив растеж, която ще даде възможност Европа да бъде първият климатично неутрален континент към 2050 г. като в същото време остане конкурентоспособна. Това ще се постигне като се интегрират целите за климат и околна среда във всички секторни политики на ЕС, промотирайки дневен ред от цялостни трансформации на европейската икономика и общество. Въпреки това, членовете на ЕП отбелязаха, че с цел постигането на пълния потенциал, „Зелената сделка“ трябва да бъде по-амбициозна.  </w:t>
      </w:r>
    </w:p>
    <w:p w:rsidR="008862CE" w:rsidRPr="00655AEB" w:rsidRDefault="008862CE" w:rsidP="008862CE">
      <w:pPr>
        <w:jc w:val="both"/>
        <w:rPr>
          <w:rFonts w:ascii="Arial" w:hAnsi="Arial" w:cs="Arial"/>
          <w:noProof/>
          <w:color w:val="000000"/>
          <w:sz w:val="20"/>
          <w:lang w:val="bg-BG"/>
        </w:rPr>
      </w:pPr>
      <w:r w:rsidRPr="00655AEB">
        <w:rPr>
          <w:rFonts w:ascii="Arial" w:hAnsi="Arial" w:cs="Arial"/>
          <w:b/>
          <w:noProof/>
          <w:color w:val="000000"/>
          <w:sz w:val="20"/>
          <w:lang w:val="bg-BG"/>
        </w:rPr>
        <w:t>7</w:t>
      </w:r>
      <w:r w:rsidRPr="00655AEB">
        <w:rPr>
          <w:rFonts w:ascii="Arial" w:hAnsi="Arial" w:cs="Arial"/>
          <w:noProof/>
          <w:color w:val="000000"/>
          <w:sz w:val="20"/>
          <w:lang w:val="bg-BG"/>
        </w:rPr>
        <w:t xml:space="preserve">. </w:t>
      </w:r>
      <w:r w:rsidRPr="00655AEB">
        <w:rPr>
          <w:rFonts w:ascii="Arial" w:hAnsi="Arial" w:cs="Arial"/>
          <w:b/>
          <w:noProof/>
          <w:color w:val="000000"/>
          <w:sz w:val="20"/>
          <w:lang w:val="bg-BG"/>
        </w:rPr>
        <w:t>На 14 януари, в съответствие с европейската Зелена сделка и целта да сe превърне Европа в първа в света неутрална за климата икономика до 2050 г., Европейската комисия (ЕК) започна публична консултация относно изменената версия на насоките за държавна помощ за системата за търговия с емисии в ЕС в контекста на системата за търговия с квоти за емисии на парникови газове след 2021 г.</w:t>
      </w:r>
      <w:r w:rsidRPr="00655AEB">
        <w:rPr>
          <w:rFonts w:ascii="Arial" w:hAnsi="Arial" w:cs="Arial"/>
          <w:noProof/>
          <w:color w:val="000000"/>
          <w:sz w:val="20"/>
          <w:lang w:val="bg-BG"/>
        </w:rPr>
        <w:t xml:space="preserve"> („Насоки за СТЕ“). Изпълнителният вицепрезидент Маргрет Вестагер смята, че проектонасоките „напълно отразяват целите на Зелената сделка и насочват държавната подкрепа към секторите, които са най-застрашени от изтичане на въглерод“. Проектът за ревизирани насоки за държавна помощ за СТЕ ще позволи на държавите членки (ДЧ) да компенсират дружествата за непреки разходи при по-строги условия от преди. Предложенията имат за цел да намалят броя на секторите, отговарящи на условията за обезщетение, от 40 на 8, да се съсредоточат върху тези, които са най-изложени на риск от изтичане на въглерод (сектори, силно зависими от международната търговия, </w:t>
      </w:r>
      <w:r w:rsidRPr="00655AEB">
        <w:rPr>
          <w:rFonts w:ascii="Arial" w:hAnsi="Arial" w:cs="Arial"/>
          <w:noProof/>
          <w:color w:val="000000"/>
          <w:sz w:val="20"/>
          <w:lang w:val="bg-BG"/>
        </w:rPr>
        <w:lastRenderedPageBreak/>
        <w:t xml:space="preserve">засегнати от енергийните разходи и т.н.); да понижат процента на компенсация от 85% в началото на предходния период на търговия със СТЕ (2013-2020 г.) до 75% през новия период и изключване на компенсация за неефективни технологии; да поставят компенсацията под условие от усилията за декарбонизация от страна на съответните дружества (енергийни одити, намаляване на въглеродния остатък и др.) Заинтересованите страни се приканват да представят коментари по тази консултация до 10. Насоките за СТЕ имат за цел да намалят риска от „изтичане на въглерод“, когато компаниите преместят производството си в трети страни с по-малко амбициозни политики в областта на климата. Настоящите насоки изтичат в края на 2020 г. СТЕ предоставя стимули за компаниите да намалят емисиите, които допринасят за изменението на климата. </w:t>
      </w:r>
    </w:p>
    <w:p w:rsidR="007C186D" w:rsidRPr="00655AEB" w:rsidRDefault="008862CE" w:rsidP="007C186D">
      <w:pPr>
        <w:jc w:val="both"/>
        <w:rPr>
          <w:rFonts w:ascii="Arial" w:hAnsi="Arial" w:cs="Arial"/>
          <w:i/>
          <w:noProof/>
          <w:color w:val="000000"/>
          <w:sz w:val="20"/>
          <w:lang w:val="bg-BG"/>
        </w:rPr>
      </w:pPr>
      <w:r w:rsidRPr="00655AEB">
        <w:rPr>
          <w:rFonts w:ascii="Arial" w:hAnsi="Arial" w:cs="Arial"/>
          <w:b/>
          <w:noProof/>
          <w:color w:val="000000"/>
          <w:sz w:val="20"/>
          <w:lang w:val="bg-BG"/>
        </w:rPr>
        <w:t>8</w:t>
      </w:r>
      <w:r w:rsidR="007C186D" w:rsidRPr="00655AEB">
        <w:rPr>
          <w:rFonts w:ascii="Arial" w:hAnsi="Arial" w:cs="Arial"/>
          <w:b/>
          <w:noProof/>
          <w:color w:val="000000"/>
          <w:sz w:val="20"/>
          <w:lang w:val="bg-BG"/>
        </w:rPr>
        <w:t>.</w:t>
      </w:r>
      <w:r w:rsidR="007C186D" w:rsidRPr="00655AEB">
        <w:rPr>
          <w:rFonts w:ascii="Arial" w:hAnsi="Arial" w:cs="Arial"/>
          <w:noProof/>
          <w:color w:val="000000"/>
          <w:sz w:val="20"/>
          <w:lang w:val="bg-BG"/>
        </w:rPr>
        <w:t xml:space="preserve"> </w:t>
      </w:r>
      <w:r w:rsidR="007C186D" w:rsidRPr="00655AEB">
        <w:rPr>
          <w:rFonts w:ascii="Arial" w:hAnsi="Arial" w:cs="Arial"/>
          <w:b/>
          <w:noProof/>
          <w:color w:val="000000"/>
          <w:sz w:val="20"/>
          <w:lang w:val="bg-BG"/>
        </w:rPr>
        <w:t xml:space="preserve">На 14 януари заместник председателят на Европейската комисия (ЕК) Валдис Домбровскис представи на членовете на Европейския парламент (ЕП) съдържанието на „Инвестиционния план за устойчива Европа“, който в бъдеще би трябвало да бъде финансовата </w:t>
      </w:r>
      <w:r w:rsidR="007349C0" w:rsidRPr="00655AEB">
        <w:rPr>
          <w:rFonts w:ascii="Arial" w:hAnsi="Arial" w:cs="Arial"/>
          <w:b/>
          <w:noProof/>
          <w:color w:val="000000"/>
          <w:sz w:val="20"/>
          <w:lang w:val="bg-BG"/>
        </w:rPr>
        <w:t>подкрепа</w:t>
      </w:r>
      <w:r w:rsidR="007C186D" w:rsidRPr="00655AEB">
        <w:rPr>
          <w:rFonts w:ascii="Arial" w:hAnsi="Arial" w:cs="Arial"/>
          <w:b/>
          <w:noProof/>
          <w:color w:val="000000"/>
          <w:sz w:val="20"/>
          <w:lang w:val="bg-BG"/>
        </w:rPr>
        <w:t xml:space="preserve"> на </w:t>
      </w:r>
      <w:r w:rsidR="003E65DE" w:rsidRPr="00655AEB">
        <w:rPr>
          <w:rFonts w:ascii="Arial" w:hAnsi="Arial" w:cs="Arial"/>
          <w:b/>
          <w:noProof/>
          <w:color w:val="000000"/>
          <w:sz w:val="20"/>
          <w:lang w:val="bg-BG"/>
        </w:rPr>
        <w:t>Европейската з</w:t>
      </w:r>
      <w:r w:rsidR="007C186D" w:rsidRPr="00655AEB">
        <w:rPr>
          <w:rFonts w:ascii="Arial" w:hAnsi="Arial" w:cs="Arial"/>
          <w:b/>
          <w:noProof/>
          <w:color w:val="000000"/>
          <w:sz w:val="20"/>
          <w:lang w:val="bg-BG"/>
        </w:rPr>
        <w:t>елена сделка</w:t>
      </w:r>
      <w:r w:rsidR="007C186D" w:rsidRPr="00655AEB">
        <w:rPr>
          <w:rFonts w:ascii="Arial" w:hAnsi="Arial" w:cs="Arial"/>
          <w:noProof/>
          <w:color w:val="000000"/>
          <w:sz w:val="20"/>
          <w:lang w:val="bg-BG"/>
        </w:rPr>
        <w:t xml:space="preserve">. </w:t>
      </w:r>
      <w:r w:rsidR="00472CFB" w:rsidRPr="00655AEB">
        <w:rPr>
          <w:rFonts w:ascii="Arial" w:hAnsi="Arial" w:cs="Arial"/>
          <w:noProof/>
          <w:color w:val="000000"/>
          <w:sz w:val="20"/>
          <w:lang w:val="bg-BG"/>
        </w:rPr>
        <w:t>Инвестиционният</w:t>
      </w:r>
      <w:r w:rsidR="007C186D" w:rsidRPr="00655AEB">
        <w:rPr>
          <w:rFonts w:ascii="Arial" w:hAnsi="Arial" w:cs="Arial"/>
          <w:noProof/>
          <w:color w:val="000000"/>
          <w:sz w:val="20"/>
          <w:lang w:val="bg-BG"/>
        </w:rPr>
        <w:t xml:space="preserve"> план обединява нови политически инициативи и съществуващи инструменти и цели да мобилизира най-малко 1000 милиарда евро за устойчиви инвестиции до 2030 г. Около половината ще дойде от бюджета на ЕС, при условие че Съветът на ЕС и ЕП приемат предложението на ЕК за определяне на дела на бюджета на ЕС, предназначен за плана, на 25%. Другата половина ще се състои от 279 милиарда евро публични и частни фондове за инвестиции, благоприятни за климата и за околната среда, мобилизирани чрез InvestEU, 114 милиарда евро от национално съфинансиране за зелени проекти и 100 милиарда евро, мобилизирани по „Механизма за справедлив преход“.</w:t>
      </w:r>
      <w:r w:rsidR="00C0055E"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ЕК също така възнамерява да използва фондовете за иновации и модернизация съгласно Схемата за търговия с емисии</w:t>
      </w:r>
      <w:r w:rsidR="00472CFB" w:rsidRPr="00655AEB">
        <w:rPr>
          <w:rFonts w:ascii="Arial" w:hAnsi="Arial" w:cs="Arial"/>
          <w:noProof/>
          <w:color w:val="000000"/>
          <w:sz w:val="20"/>
          <w:lang w:val="bg-BG"/>
        </w:rPr>
        <w:t>,</w:t>
      </w:r>
      <w:r w:rsidR="007C186D" w:rsidRPr="00655AEB">
        <w:rPr>
          <w:rFonts w:ascii="Arial" w:hAnsi="Arial" w:cs="Arial"/>
          <w:noProof/>
          <w:color w:val="000000"/>
          <w:sz w:val="20"/>
          <w:lang w:val="bg-BG"/>
        </w:rPr>
        <w:t xml:space="preserve"> както </w:t>
      </w:r>
      <w:r w:rsidR="00472CFB" w:rsidRPr="00655AEB">
        <w:rPr>
          <w:rFonts w:ascii="Arial" w:hAnsi="Arial" w:cs="Arial"/>
          <w:noProof/>
          <w:color w:val="000000"/>
          <w:sz w:val="20"/>
          <w:lang w:val="bg-BG"/>
        </w:rPr>
        <w:t xml:space="preserve">и </w:t>
      </w:r>
      <w:r w:rsidR="007C186D" w:rsidRPr="00655AEB">
        <w:rPr>
          <w:rFonts w:ascii="Arial" w:hAnsi="Arial" w:cs="Arial"/>
          <w:noProof/>
          <w:color w:val="000000"/>
          <w:sz w:val="20"/>
          <w:lang w:val="bg-BG"/>
        </w:rPr>
        <w:t>да трансформира Европейската инвестиционна банка (ЕИБ) в Европейска климатична банка чрез привеждане в съответствие на нейните дейности с целите на Зелената сделка.</w:t>
      </w:r>
      <w:r w:rsidR="00C0055E"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С цел да предостави целенасочена подкрепа на регионите и секторите, които ще бъдат най-засегнати от екологичния преход, „Механизмът на справедливия преход“ ще включва по-специално Фонда за справедлив преход. Очаква се фондът от 7,5 милиарда евро да генерира най-малко 30-50 милиарда евро инвестиции. Съгласно „Механизмът на справедливия преход“ ЕК също така очаква да мобилизира 45 милиарда евро инвестиции чрез InvestEU и 25-30 милиарда евро в инвестиции чрез нов инструмент за отпускане на заеми в публичния сектор, създаден в партньорство с ЕИБ, подкрепен от бюджета на ЕС.</w:t>
      </w:r>
      <w:r w:rsidR="00C0055E"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 xml:space="preserve">Като цяло депутатите с удоволствие посрещат представянето на Плана за устойчиви инвестиции. </w:t>
      </w:r>
      <w:r w:rsidR="007C186D" w:rsidRPr="00655AEB">
        <w:rPr>
          <w:rFonts w:ascii="Arial" w:hAnsi="Arial" w:cs="Arial"/>
          <w:b/>
          <w:noProof/>
          <w:color w:val="000000"/>
          <w:sz w:val="20"/>
          <w:lang w:val="bg-BG"/>
        </w:rPr>
        <w:t xml:space="preserve"> </w:t>
      </w:r>
      <w:r w:rsidR="00C0055E" w:rsidRPr="00655AEB">
        <w:rPr>
          <w:rFonts w:ascii="Arial" w:hAnsi="Arial" w:cs="Arial"/>
          <w:b/>
          <w:noProof/>
          <w:color w:val="000000"/>
          <w:sz w:val="20"/>
          <w:lang w:val="bg-BG"/>
        </w:rPr>
        <w:t xml:space="preserve"> </w:t>
      </w:r>
      <w:r w:rsidR="007C186D" w:rsidRPr="00655AEB">
        <w:rPr>
          <w:rFonts w:ascii="Arial" w:hAnsi="Arial" w:cs="Arial"/>
          <w:i/>
          <w:noProof/>
          <w:color w:val="000000"/>
          <w:sz w:val="20"/>
          <w:lang w:val="bg-BG"/>
        </w:rPr>
        <w:t xml:space="preserve">(Подробности в Приложение </w:t>
      </w:r>
      <w:r w:rsidR="00C0055E" w:rsidRPr="00655AEB">
        <w:rPr>
          <w:rFonts w:ascii="Arial" w:hAnsi="Arial" w:cs="Arial"/>
          <w:i/>
          <w:noProof/>
          <w:color w:val="000000"/>
          <w:sz w:val="20"/>
          <w:lang w:val="bg-BG"/>
        </w:rPr>
        <w:t>1</w:t>
      </w:r>
      <w:r w:rsidR="007C186D" w:rsidRPr="00655AEB">
        <w:rPr>
          <w:rFonts w:ascii="Arial" w:hAnsi="Arial" w:cs="Arial"/>
          <w:i/>
          <w:noProof/>
          <w:color w:val="000000"/>
          <w:sz w:val="20"/>
          <w:lang w:val="bg-BG"/>
        </w:rPr>
        <w:t>).</w:t>
      </w:r>
    </w:p>
    <w:p w:rsidR="007C186D" w:rsidRPr="00655AEB" w:rsidRDefault="008862CE" w:rsidP="007C186D">
      <w:pPr>
        <w:jc w:val="both"/>
        <w:rPr>
          <w:rFonts w:ascii="Arial" w:hAnsi="Arial" w:cs="Arial"/>
          <w:noProof/>
          <w:color w:val="000000"/>
          <w:sz w:val="20"/>
          <w:lang w:val="bg-BG"/>
        </w:rPr>
      </w:pPr>
      <w:r w:rsidRPr="00655AEB">
        <w:rPr>
          <w:rFonts w:ascii="Arial" w:hAnsi="Arial" w:cs="Arial"/>
          <w:b/>
          <w:noProof/>
          <w:color w:val="000000"/>
          <w:sz w:val="20"/>
          <w:lang w:val="bg-BG"/>
        </w:rPr>
        <w:t>9</w:t>
      </w:r>
      <w:r w:rsidR="007C186D" w:rsidRPr="00655AEB">
        <w:rPr>
          <w:rFonts w:ascii="Arial" w:hAnsi="Arial" w:cs="Arial"/>
          <w:b/>
          <w:noProof/>
          <w:color w:val="000000"/>
          <w:sz w:val="20"/>
          <w:lang w:val="bg-BG"/>
        </w:rPr>
        <w:t>. На 14 януари членовете на Европейския парламент (ЕП) подкрепиха програмата на хърватското председателство на Съвета на ЕС, по-специално необходимостта от амбициозна многогодишна финансова рамка (МФР) за 2021-2027 г.</w:t>
      </w:r>
      <w:r w:rsidR="009B2B23" w:rsidRPr="00655AEB">
        <w:rPr>
          <w:rFonts w:ascii="Arial" w:hAnsi="Arial" w:cs="Arial"/>
          <w:b/>
          <w:noProof/>
          <w:color w:val="000000"/>
          <w:sz w:val="20"/>
          <w:lang w:val="bg-BG"/>
        </w:rPr>
        <w:t xml:space="preserve"> </w:t>
      </w:r>
      <w:r w:rsidR="007C186D" w:rsidRPr="00655AEB">
        <w:rPr>
          <w:rFonts w:ascii="Arial" w:hAnsi="Arial" w:cs="Arial"/>
          <w:noProof/>
          <w:color w:val="000000"/>
          <w:sz w:val="20"/>
          <w:lang w:val="bg-BG"/>
        </w:rPr>
        <w:t>Хърватският премиер Андрей Пленкович заяви, че новата МФР трябва да отговори на очакванията на всички граждани във всички държави членки (ДЧ). За целта трябва да се вземат предвид „сближаване“ и „селското стопанство“, както и нов</w:t>
      </w:r>
      <w:r w:rsidR="009B2B23" w:rsidRPr="00655AEB">
        <w:rPr>
          <w:rFonts w:ascii="Arial" w:hAnsi="Arial" w:cs="Arial"/>
          <w:noProof/>
          <w:color w:val="000000"/>
          <w:sz w:val="20"/>
          <w:lang w:val="bg-BG"/>
        </w:rPr>
        <w:t>ите предизвикателства пред ЕС. «</w:t>
      </w:r>
      <w:r w:rsidR="007C186D" w:rsidRPr="00655AEB">
        <w:rPr>
          <w:rFonts w:ascii="Arial" w:hAnsi="Arial" w:cs="Arial"/>
          <w:noProof/>
          <w:color w:val="000000"/>
          <w:sz w:val="20"/>
          <w:lang w:val="bg-BG"/>
        </w:rPr>
        <w:t>Не можем да си позволим забавяне при изпълнението на програмите</w:t>
      </w:r>
      <w:r w:rsidR="009B2B23" w:rsidRPr="00655AEB">
        <w:rPr>
          <w:rFonts w:ascii="Arial" w:hAnsi="Arial" w:cs="Arial"/>
          <w:noProof/>
          <w:color w:val="000000"/>
          <w:sz w:val="20"/>
          <w:lang w:val="bg-BG"/>
        </w:rPr>
        <w:t>»</w:t>
      </w:r>
      <w:r w:rsidR="007C186D" w:rsidRPr="00655AEB">
        <w:rPr>
          <w:rFonts w:ascii="Arial" w:hAnsi="Arial" w:cs="Arial"/>
          <w:noProof/>
          <w:color w:val="000000"/>
          <w:sz w:val="20"/>
          <w:lang w:val="bg-BG"/>
        </w:rPr>
        <w:t>, предупреди той, обещавайки да не пести усилия за намиране на решение, въпреки че се очаква преговорите да са напрегнати.</w:t>
      </w:r>
      <w:r w:rsidR="005D2987"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 xml:space="preserve">„Очакваме с нетърпение тясното и ефективно сътрудничество с </w:t>
      </w:r>
      <w:r w:rsidR="0058734E" w:rsidRPr="00655AEB">
        <w:rPr>
          <w:rFonts w:ascii="Arial" w:hAnsi="Arial" w:cs="Arial"/>
          <w:noProof/>
          <w:color w:val="000000"/>
          <w:sz w:val="20"/>
          <w:lang w:val="bg-BG"/>
        </w:rPr>
        <w:t>Европейския парламент</w:t>
      </w:r>
      <w:r w:rsidR="007C186D" w:rsidRPr="00655AEB">
        <w:rPr>
          <w:rFonts w:ascii="Arial" w:hAnsi="Arial" w:cs="Arial"/>
          <w:noProof/>
          <w:color w:val="000000"/>
          <w:sz w:val="20"/>
          <w:lang w:val="bg-BG"/>
        </w:rPr>
        <w:t xml:space="preserve">“, каза г-н Пленкович. </w:t>
      </w:r>
      <w:r w:rsidR="00E55A6A" w:rsidRPr="00655AEB">
        <w:rPr>
          <w:rFonts w:ascii="Arial" w:hAnsi="Arial" w:cs="Arial"/>
          <w:noProof/>
          <w:color w:val="000000"/>
          <w:sz w:val="20"/>
          <w:lang w:val="bg-BG"/>
        </w:rPr>
        <w:t>Въпреки, че</w:t>
      </w:r>
      <w:r w:rsidR="007C186D" w:rsidRPr="00655AEB">
        <w:rPr>
          <w:rFonts w:ascii="Arial" w:hAnsi="Arial" w:cs="Arial"/>
          <w:noProof/>
          <w:color w:val="000000"/>
          <w:sz w:val="20"/>
          <w:lang w:val="bg-BG"/>
        </w:rPr>
        <w:t xml:space="preserve"> разбира загрижеността на евродепутатите, които обявиха в края на декември, че голяма част от преговорите със Съвета на ЕС относно програмите, свързани с МФР на ЕС за 2021-2027 г. ще бъдат замразени, министър-председателят заяви, че е </w:t>
      </w:r>
      <w:r w:rsidR="00E55A6A" w:rsidRPr="00655AEB">
        <w:rPr>
          <w:rFonts w:ascii="Arial" w:hAnsi="Arial" w:cs="Arial"/>
          <w:noProof/>
          <w:color w:val="000000"/>
          <w:sz w:val="20"/>
          <w:lang w:val="bg-BG"/>
        </w:rPr>
        <w:t>изключително важно да продължат</w:t>
      </w:r>
      <w:r w:rsidR="007C186D" w:rsidRPr="00655AEB">
        <w:rPr>
          <w:rFonts w:ascii="Arial" w:hAnsi="Arial" w:cs="Arial"/>
          <w:noProof/>
          <w:color w:val="000000"/>
          <w:sz w:val="20"/>
          <w:lang w:val="bg-BG"/>
        </w:rPr>
        <w:t xml:space="preserve"> преговорите на вс</w:t>
      </w:r>
      <w:r w:rsidR="006710DC" w:rsidRPr="00655AEB">
        <w:rPr>
          <w:rFonts w:ascii="Arial" w:hAnsi="Arial" w:cs="Arial"/>
          <w:noProof/>
          <w:color w:val="000000"/>
          <w:sz w:val="20"/>
          <w:lang w:val="bg-BG"/>
        </w:rPr>
        <w:t xml:space="preserve">ички нива и по всички досиета. </w:t>
      </w:r>
      <w:r w:rsidR="007C186D" w:rsidRPr="00655AEB">
        <w:rPr>
          <w:rFonts w:ascii="Arial" w:hAnsi="Arial" w:cs="Arial"/>
          <w:noProof/>
          <w:color w:val="000000"/>
          <w:sz w:val="20"/>
          <w:lang w:val="bg-BG"/>
        </w:rPr>
        <w:t>Лидерите на политическите групи изразиха подкрепа за силна МФР. „Нуждаем се от резултати по отношение на бюджета. Нека спрем да обсъждаме нетни донори или нетни бенефициенти, а да обсъждаме задачите. Когато има нови задачи, са необходими нови пари“, подчерта председателят на групата на Европейската народна партия (ЕНП) в Парламента Манфред Вебер (Германия)</w:t>
      </w:r>
      <w:r w:rsidR="006710DC"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 xml:space="preserve">Председателят на Група на Прогресивния алианс на социалистите и демократите в парламента (СиД), Ирате Гарсия Перес, Испания, </w:t>
      </w:r>
      <w:r w:rsidR="00E55A6A" w:rsidRPr="00655AEB">
        <w:rPr>
          <w:rFonts w:ascii="Arial" w:hAnsi="Arial" w:cs="Arial"/>
          <w:noProof/>
          <w:color w:val="000000"/>
          <w:sz w:val="20"/>
          <w:lang w:val="bg-BG"/>
        </w:rPr>
        <w:t>изрази надеждата си за</w:t>
      </w:r>
      <w:r w:rsidR="007C186D" w:rsidRPr="00655AEB">
        <w:rPr>
          <w:rFonts w:ascii="Arial" w:hAnsi="Arial" w:cs="Arial"/>
          <w:noProof/>
          <w:color w:val="000000"/>
          <w:sz w:val="20"/>
          <w:lang w:val="bg-BG"/>
        </w:rPr>
        <w:t xml:space="preserve"> предложение на Хърватия „в съответствие с предложението на ЕП“, като припомни, че не може да </w:t>
      </w:r>
      <w:r w:rsidR="00E55A6A" w:rsidRPr="00655AEB">
        <w:rPr>
          <w:rFonts w:ascii="Arial" w:hAnsi="Arial" w:cs="Arial"/>
          <w:noProof/>
          <w:color w:val="000000"/>
          <w:sz w:val="20"/>
          <w:lang w:val="bg-BG"/>
        </w:rPr>
        <w:t xml:space="preserve">се </w:t>
      </w:r>
      <w:r w:rsidR="007C186D" w:rsidRPr="00655AEB">
        <w:rPr>
          <w:rFonts w:ascii="Arial" w:hAnsi="Arial" w:cs="Arial"/>
          <w:noProof/>
          <w:color w:val="000000"/>
          <w:sz w:val="20"/>
          <w:lang w:val="bg-BG"/>
        </w:rPr>
        <w:t xml:space="preserve">направи повече с по-малко. </w:t>
      </w:r>
      <w:r w:rsidR="00E55A6A" w:rsidRPr="00655AEB">
        <w:rPr>
          <w:rFonts w:ascii="Arial" w:hAnsi="Arial" w:cs="Arial"/>
          <w:noProof/>
          <w:color w:val="000000"/>
          <w:sz w:val="20"/>
          <w:lang w:val="bg-BG"/>
        </w:rPr>
        <w:t>«</w:t>
      </w:r>
      <w:r w:rsidR="007C186D" w:rsidRPr="00655AEB">
        <w:rPr>
          <w:rFonts w:ascii="Arial" w:hAnsi="Arial" w:cs="Arial"/>
          <w:noProof/>
          <w:color w:val="000000"/>
          <w:sz w:val="20"/>
          <w:lang w:val="bg-BG"/>
        </w:rPr>
        <w:t>Да Обновим Европа</w:t>
      </w:r>
      <w:r w:rsidR="00E55A6A" w:rsidRPr="00655AEB">
        <w:rPr>
          <w:rFonts w:ascii="Arial" w:hAnsi="Arial" w:cs="Arial"/>
          <w:noProof/>
          <w:color w:val="000000"/>
          <w:sz w:val="20"/>
          <w:lang w:val="bg-BG"/>
        </w:rPr>
        <w:t>»</w:t>
      </w:r>
      <w:r w:rsidR="007C186D" w:rsidRPr="00655AEB">
        <w:rPr>
          <w:rFonts w:ascii="Arial" w:hAnsi="Arial" w:cs="Arial"/>
          <w:noProof/>
          <w:color w:val="000000"/>
          <w:sz w:val="20"/>
          <w:lang w:val="bg-BG"/>
        </w:rPr>
        <w:t xml:space="preserve">, чрез нейния президент Дачиан Чолош (Румъния), се </w:t>
      </w:r>
      <w:r w:rsidR="00E55A6A" w:rsidRPr="00655AEB">
        <w:rPr>
          <w:rFonts w:ascii="Arial" w:hAnsi="Arial" w:cs="Arial"/>
          <w:noProof/>
          <w:color w:val="000000"/>
          <w:sz w:val="20"/>
          <w:lang w:val="bg-BG"/>
        </w:rPr>
        <w:t>надява, че г-н Пленкович е чул п</w:t>
      </w:r>
      <w:r w:rsidR="007C186D" w:rsidRPr="00655AEB">
        <w:rPr>
          <w:rFonts w:ascii="Arial" w:hAnsi="Arial" w:cs="Arial"/>
          <w:noProof/>
          <w:color w:val="000000"/>
          <w:sz w:val="20"/>
          <w:lang w:val="bg-BG"/>
        </w:rPr>
        <w:t>арламента, „който иска силна МФР и собствени ресурси, съизмерими с нашите политически амбиции“.</w:t>
      </w:r>
      <w:r w:rsidR="006710DC"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 xml:space="preserve">Представители на групите (ЕНП), СиД и </w:t>
      </w:r>
      <w:r w:rsidR="00E55A6A" w:rsidRPr="00655AEB">
        <w:rPr>
          <w:rFonts w:ascii="Arial" w:hAnsi="Arial" w:cs="Arial"/>
          <w:noProof/>
          <w:color w:val="000000"/>
          <w:sz w:val="20"/>
          <w:lang w:val="bg-BG"/>
        </w:rPr>
        <w:t>«</w:t>
      </w:r>
      <w:r w:rsidR="007C186D" w:rsidRPr="00655AEB">
        <w:rPr>
          <w:rFonts w:ascii="Arial" w:hAnsi="Arial" w:cs="Arial"/>
          <w:noProof/>
          <w:color w:val="000000"/>
          <w:sz w:val="20"/>
          <w:lang w:val="bg-BG"/>
        </w:rPr>
        <w:t>Да Обновим Европа</w:t>
      </w:r>
      <w:r w:rsidR="00E55A6A" w:rsidRPr="00655AEB">
        <w:rPr>
          <w:rFonts w:ascii="Arial" w:hAnsi="Arial" w:cs="Arial"/>
          <w:noProof/>
          <w:color w:val="000000"/>
          <w:sz w:val="20"/>
          <w:lang w:val="bg-BG"/>
        </w:rPr>
        <w:t>»</w:t>
      </w:r>
      <w:r w:rsidR="007C186D" w:rsidRPr="00655AEB">
        <w:rPr>
          <w:rFonts w:ascii="Arial" w:hAnsi="Arial" w:cs="Arial"/>
          <w:noProof/>
          <w:color w:val="000000"/>
          <w:sz w:val="20"/>
          <w:lang w:val="bg-BG"/>
        </w:rPr>
        <w:t xml:space="preserve"> също така подкрепиха амбиции</w:t>
      </w:r>
      <w:r w:rsidR="00E55A6A" w:rsidRPr="00655AEB">
        <w:rPr>
          <w:rFonts w:ascii="Arial" w:hAnsi="Arial" w:cs="Arial"/>
          <w:noProof/>
          <w:color w:val="000000"/>
          <w:sz w:val="20"/>
          <w:lang w:val="bg-BG"/>
        </w:rPr>
        <w:t>те на хърватското председателство</w:t>
      </w:r>
      <w:r w:rsidR="007C186D" w:rsidRPr="00655AEB">
        <w:rPr>
          <w:rFonts w:ascii="Arial" w:hAnsi="Arial" w:cs="Arial"/>
          <w:noProof/>
          <w:color w:val="000000"/>
          <w:sz w:val="20"/>
          <w:lang w:val="bg-BG"/>
        </w:rPr>
        <w:t xml:space="preserve"> по въпроса за разширяването. През октомври </w:t>
      </w:r>
      <w:r w:rsidR="00E55A6A" w:rsidRPr="00655AEB">
        <w:rPr>
          <w:rFonts w:ascii="Arial" w:hAnsi="Arial" w:cs="Arial"/>
          <w:noProof/>
          <w:color w:val="000000"/>
          <w:sz w:val="20"/>
          <w:lang w:val="bg-BG"/>
        </w:rPr>
        <w:t>ЕП</w:t>
      </w:r>
      <w:r w:rsidR="007C186D" w:rsidRPr="00655AEB">
        <w:rPr>
          <w:rFonts w:ascii="Arial" w:hAnsi="Arial" w:cs="Arial"/>
          <w:noProof/>
          <w:color w:val="000000"/>
          <w:sz w:val="20"/>
          <w:lang w:val="bg-BG"/>
        </w:rPr>
        <w:t xml:space="preserve"> прие резолюция, с която осъди отказа на някои ДЧ да започнат тези преговори</w:t>
      </w:r>
      <w:r w:rsidR="00E55A6A"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Хърватският премиер също беше изправен пред критики. Според г-жа Гарсия Перес, програмата на председателството не е достатъчно социална. „Ще ви помолим да бъдете по-амбициозни за социална Европа, от която се нуждаем“, предупреди тя и добави: „Нуждаем се от реален план за действие за прилагане на социалния стълб“. Г-жа Перес изрази съжаление, че минималната заплата, реалният план за борба с бедността и осигуряване</w:t>
      </w:r>
      <w:r w:rsidR="00447DC4"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срещу безработица отсъстват от програмата.</w:t>
      </w:r>
      <w:r w:rsidR="006710DC" w:rsidRPr="00655AEB">
        <w:rPr>
          <w:rFonts w:ascii="Arial" w:hAnsi="Arial" w:cs="Arial"/>
          <w:noProof/>
          <w:color w:val="000000"/>
          <w:sz w:val="20"/>
          <w:lang w:val="bg-BG"/>
        </w:rPr>
        <w:t xml:space="preserve"> </w:t>
      </w:r>
      <w:r w:rsidR="007C186D" w:rsidRPr="00655AEB">
        <w:rPr>
          <w:rFonts w:ascii="Arial" w:hAnsi="Arial" w:cs="Arial"/>
          <w:noProof/>
          <w:color w:val="000000"/>
          <w:sz w:val="20"/>
          <w:lang w:val="bg-BG"/>
        </w:rPr>
        <w:t>Съпредседателят на Група</w:t>
      </w:r>
      <w:r w:rsidR="00447DC4" w:rsidRPr="00655AEB">
        <w:rPr>
          <w:rFonts w:ascii="Arial" w:hAnsi="Arial" w:cs="Arial"/>
          <w:noProof/>
          <w:color w:val="000000"/>
          <w:sz w:val="20"/>
          <w:lang w:val="bg-BG"/>
        </w:rPr>
        <w:t>та</w:t>
      </w:r>
      <w:r w:rsidR="007C186D" w:rsidRPr="00655AEB">
        <w:rPr>
          <w:rFonts w:ascii="Arial" w:hAnsi="Arial" w:cs="Arial"/>
          <w:noProof/>
          <w:color w:val="000000"/>
          <w:sz w:val="20"/>
          <w:lang w:val="bg-BG"/>
        </w:rPr>
        <w:t xml:space="preserve"> на </w:t>
      </w:r>
      <w:r w:rsidR="007C186D" w:rsidRPr="00655AEB">
        <w:rPr>
          <w:rFonts w:ascii="Arial" w:hAnsi="Arial" w:cs="Arial"/>
          <w:noProof/>
          <w:color w:val="000000"/>
          <w:sz w:val="20"/>
          <w:lang w:val="bg-BG"/>
        </w:rPr>
        <w:lastRenderedPageBreak/>
        <w:t>Зелените/Европейски свободен алианс Ска Келер (Германия) призова за действие на равнище ЕС за борба с изменението на климата.</w:t>
      </w:r>
    </w:p>
    <w:p w:rsidR="007C186D" w:rsidRPr="00655AEB" w:rsidRDefault="008862CE" w:rsidP="00FF2C6F">
      <w:pPr>
        <w:pStyle w:val="Default"/>
        <w:jc w:val="both"/>
        <w:rPr>
          <w:noProof/>
          <w:sz w:val="20"/>
          <w:lang w:val="bg-BG"/>
        </w:rPr>
      </w:pPr>
      <w:r w:rsidRPr="00655AEB">
        <w:rPr>
          <w:b/>
          <w:noProof/>
          <w:sz w:val="20"/>
          <w:szCs w:val="20"/>
          <w:lang w:val="bg-BG"/>
        </w:rPr>
        <w:t>10</w:t>
      </w:r>
      <w:r w:rsidR="00FF2C6F" w:rsidRPr="00655AEB">
        <w:rPr>
          <w:b/>
          <w:noProof/>
          <w:sz w:val="20"/>
          <w:szCs w:val="20"/>
          <w:lang w:val="bg-BG"/>
        </w:rPr>
        <w:t>. Комисар</w:t>
      </w:r>
      <w:r w:rsidR="00FF2C6F" w:rsidRPr="00655AEB">
        <w:rPr>
          <w:b/>
          <w:i/>
          <w:noProof/>
          <w:sz w:val="20"/>
          <w:szCs w:val="20"/>
          <w:lang w:val="bg-BG"/>
        </w:rPr>
        <w:t xml:space="preserve"> </w:t>
      </w:r>
      <w:r w:rsidR="007C186D" w:rsidRPr="00655AEB">
        <w:rPr>
          <w:b/>
          <w:noProof/>
          <w:sz w:val="20"/>
          <w:lang w:val="bg-BG"/>
        </w:rPr>
        <w:t xml:space="preserve">Кириакидес е домакин на </w:t>
      </w:r>
      <w:r w:rsidR="00FF2C6F" w:rsidRPr="00655AEB">
        <w:rPr>
          <w:b/>
          <w:noProof/>
          <w:sz w:val="20"/>
          <w:lang w:val="bg-BG"/>
        </w:rPr>
        <w:t>форум</w:t>
      </w:r>
      <w:r w:rsidR="007C186D" w:rsidRPr="00655AEB">
        <w:rPr>
          <w:b/>
          <w:noProof/>
          <w:sz w:val="20"/>
          <w:lang w:val="bg-BG"/>
        </w:rPr>
        <w:t xml:space="preserve"> на високо ниво „От фермата до трапезата“ на 31 януари</w:t>
      </w:r>
      <w:r w:rsidR="00FF2C6F" w:rsidRPr="00655AEB">
        <w:rPr>
          <w:b/>
          <w:noProof/>
          <w:sz w:val="20"/>
          <w:lang w:val="bg-BG"/>
        </w:rPr>
        <w:t xml:space="preserve"> и </w:t>
      </w:r>
      <w:r w:rsidR="007C186D" w:rsidRPr="00655AEB">
        <w:rPr>
          <w:b/>
          <w:noProof/>
          <w:sz w:val="20"/>
          <w:lang w:val="bg-BG"/>
        </w:rPr>
        <w:t>ще се обърне към представители</w:t>
      </w:r>
      <w:r w:rsidR="00FF2C6F" w:rsidRPr="00655AEB">
        <w:rPr>
          <w:b/>
          <w:noProof/>
          <w:sz w:val="20"/>
          <w:lang w:val="bg-BG"/>
        </w:rPr>
        <w:t>те</w:t>
      </w:r>
      <w:r w:rsidR="007C186D" w:rsidRPr="00655AEB">
        <w:rPr>
          <w:b/>
          <w:noProof/>
          <w:sz w:val="20"/>
          <w:lang w:val="bg-BG"/>
        </w:rPr>
        <w:t xml:space="preserve"> на </w:t>
      </w:r>
      <w:r w:rsidR="00FF2C6F" w:rsidRPr="00655AEB">
        <w:rPr>
          <w:b/>
          <w:noProof/>
          <w:sz w:val="20"/>
          <w:lang w:val="bg-BG"/>
        </w:rPr>
        <w:t>държавите членки</w:t>
      </w:r>
      <w:r w:rsidR="007C186D" w:rsidRPr="00655AEB">
        <w:rPr>
          <w:b/>
          <w:noProof/>
          <w:sz w:val="20"/>
          <w:lang w:val="bg-BG"/>
        </w:rPr>
        <w:t>, с публикуване</w:t>
      </w:r>
      <w:r w:rsidR="00FF2C6F" w:rsidRPr="00655AEB">
        <w:rPr>
          <w:b/>
          <w:noProof/>
          <w:sz w:val="20"/>
          <w:lang w:val="bg-BG"/>
        </w:rPr>
        <w:t>то</w:t>
      </w:r>
      <w:r w:rsidR="007C186D" w:rsidRPr="00655AEB">
        <w:rPr>
          <w:b/>
          <w:noProof/>
          <w:sz w:val="20"/>
          <w:lang w:val="bg-BG"/>
        </w:rPr>
        <w:t xml:space="preserve"> на Съобщението и придружаващия го План за действие, предвиден за м. май</w:t>
      </w:r>
      <w:r w:rsidR="007C186D" w:rsidRPr="00655AEB">
        <w:rPr>
          <w:noProof/>
          <w:sz w:val="20"/>
          <w:lang w:val="bg-BG"/>
        </w:rPr>
        <w:t>. К</w:t>
      </w:r>
      <w:r w:rsidR="00FF2C6F" w:rsidRPr="00655AEB">
        <w:rPr>
          <w:noProof/>
          <w:sz w:val="20"/>
          <w:lang w:val="bg-BG"/>
        </w:rPr>
        <w:t>акто е очертано в Европейската з</w:t>
      </w:r>
      <w:r w:rsidR="007C186D" w:rsidRPr="00655AEB">
        <w:rPr>
          <w:noProof/>
          <w:sz w:val="20"/>
          <w:lang w:val="bg-BG"/>
        </w:rPr>
        <w:t xml:space="preserve">елена сделка, целта на стратегията е да се развие визия за подобряване на устойчивостта на хранителните системи на ЕС и на световно ниво - икономическа, екологична и социална - по веригата на предлагането на храни (селско стопанство, преработка на храни и консумация). Публичната консултация - която обикновено продължава около 6 седмици - ще започне през февруари. Очаква се Механизмът за научни съвети да представи становище по Стратегията през февруари със съвместната конференция със заинтересованите страни. С наскоро кръстеното звено „От фермата до трапезата“ в рамките на отдел „Здравеопазване и безопасност на храните“ (Д1), което скоро също ще заработи, ГД САНТЕ е в „режим на слушане“ за нови идеи и предложения, приканващи ключови играчи и заинтересовани страни да допринесат за формулирането на политиката. По време на фазата на задълбочени консултации се планират допълнителни мероприятия, посветени на конкретни теми по всяка инициатива от Плана за действие, като същевременно съществува възможност за създаване на специализирани работни групи в рамките на Консултативната група на хранителната верига.  </w:t>
      </w:r>
    </w:p>
    <w:p w:rsidR="007C186D" w:rsidRPr="00655AEB" w:rsidRDefault="007C186D" w:rsidP="007C186D">
      <w:pPr>
        <w:jc w:val="both"/>
        <w:rPr>
          <w:rFonts w:ascii="Arial" w:hAnsi="Arial" w:cs="Arial"/>
          <w:noProof/>
          <w:color w:val="000000"/>
          <w:sz w:val="20"/>
          <w:lang w:val="bg-BG"/>
        </w:rPr>
      </w:pPr>
      <w:r w:rsidRPr="00655AEB">
        <w:rPr>
          <w:rFonts w:ascii="Arial" w:hAnsi="Arial" w:cs="Arial"/>
          <w:b/>
          <w:noProof/>
          <w:color w:val="000000"/>
          <w:sz w:val="20"/>
          <w:lang w:val="bg-BG"/>
        </w:rPr>
        <w:t>1</w:t>
      </w:r>
      <w:r w:rsidR="008862CE" w:rsidRPr="00655AEB">
        <w:rPr>
          <w:rFonts w:ascii="Arial" w:hAnsi="Arial" w:cs="Arial"/>
          <w:b/>
          <w:noProof/>
          <w:color w:val="000000"/>
          <w:sz w:val="20"/>
          <w:lang w:val="bg-BG"/>
        </w:rPr>
        <w:t>1</w:t>
      </w:r>
      <w:r w:rsidRPr="00655AEB">
        <w:rPr>
          <w:rFonts w:ascii="Arial" w:hAnsi="Arial" w:cs="Arial"/>
          <w:b/>
          <w:noProof/>
          <w:color w:val="000000"/>
          <w:sz w:val="20"/>
          <w:lang w:val="bg-BG"/>
        </w:rPr>
        <w:t>.</w:t>
      </w:r>
      <w:r w:rsidRPr="00655AEB">
        <w:rPr>
          <w:rFonts w:ascii="Arial" w:hAnsi="Arial" w:cs="Arial"/>
          <w:noProof/>
          <w:color w:val="000000"/>
          <w:sz w:val="20"/>
          <w:lang w:val="bg-BG"/>
        </w:rPr>
        <w:t xml:space="preserve"> </w:t>
      </w:r>
      <w:r w:rsidRPr="00655AEB">
        <w:rPr>
          <w:rFonts w:ascii="Arial" w:hAnsi="Arial" w:cs="Arial"/>
          <w:b/>
          <w:noProof/>
          <w:color w:val="000000"/>
          <w:sz w:val="20"/>
          <w:lang w:val="bg-BG"/>
        </w:rPr>
        <w:t>В рамките на Инвестиционния план за устойчива Европа Европейската комисия (ЕК) представи 8-ия структурен фонд на Политиката на сближаване, а именно Фонда за справедлив преход, на който ще му бъдат предоставени 7,5 милиарда евро (по цени за 2018 г.), допълнен с минимум 11 милиарда евро от други структурни и инвестиционни фондове и национално съфинансиране</w:t>
      </w:r>
      <w:r w:rsidRPr="00655AEB">
        <w:rPr>
          <w:rFonts w:ascii="Arial" w:hAnsi="Arial" w:cs="Arial"/>
          <w:noProof/>
          <w:color w:val="000000"/>
          <w:sz w:val="20"/>
          <w:lang w:val="bg-BG"/>
        </w:rPr>
        <w:t>. Целта е да се съберат до 50 милиарда евро. Начинът на действие остава - за всяко евро, изразходвано от Фонда за справедлив преход, ще трябва да бъдат предоставени поне 1,5 евро (или дори 3 евро, ако държавата членка (ДЧ) желае) или от Европейския фонд за регионално развитие, или от Европейския социален фонд. Прехвърлянията обаче не могат да надвишават 20% от националното разпределение на двата фонда. Освен това има ставки за национално съфинансиране в съответствие с правилата, определени в основния регламент относно общите разпоредби. Това означава европейско ниво на съфинансиране от 70% за най-слабо развитите региони, 55% за регионите в преход и 40% за най-развитите.</w:t>
      </w:r>
      <w:r w:rsidR="008862CE" w:rsidRPr="00655AEB">
        <w:rPr>
          <w:rFonts w:ascii="Arial" w:hAnsi="Arial" w:cs="Arial"/>
          <w:noProof/>
          <w:color w:val="000000"/>
          <w:sz w:val="20"/>
          <w:lang w:val="bg-BG"/>
        </w:rPr>
        <w:t xml:space="preserve"> </w:t>
      </w:r>
      <w:r w:rsidRPr="00655AEB">
        <w:rPr>
          <w:rFonts w:ascii="Arial" w:hAnsi="Arial" w:cs="Arial"/>
          <w:noProof/>
          <w:color w:val="000000"/>
          <w:sz w:val="20"/>
          <w:lang w:val="bg-BG"/>
        </w:rPr>
        <w:t>Процесът на програмиране, включително идентифицирането на териториите за интервенция, ще бъде договорен в диалог между ЕК и всяка ДЧ. Той ще се управлява чрез процеса „Европейски семестър“</w:t>
      </w:r>
      <w:r w:rsidRPr="00655AEB">
        <w:rPr>
          <w:rFonts w:ascii="Arial" w:hAnsi="Arial" w:cs="Arial"/>
          <w:b/>
          <w:noProof/>
          <w:color w:val="000000"/>
          <w:sz w:val="20"/>
          <w:lang w:val="bg-BG"/>
        </w:rPr>
        <w:t>.</w:t>
      </w:r>
      <w:r w:rsidRPr="00655AEB">
        <w:rPr>
          <w:rFonts w:ascii="Arial" w:hAnsi="Arial" w:cs="Arial"/>
          <w:noProof/>
          <w:color w:val="000000"/>
          <w:sz w:val="20"/>
          <w:lang w:val="bg-BG"/>
        </w:rPr>
        <w:t xml:space="preserve"> </w:t>
      </w:r>
      <w:r w:rsidR="008862CE" w:rsidRPr="00655AEB">
        <w:rPr>
          <w:rFonts w:ascii="Arial" w:hAnsi="Arial" w:cs="Arial"/>
          <w:noProof/>
          <w:color w:val="000000"/>
          <w:sz w:val="20"/>
          <w:lang w:val="bg-BG"/>
        </w:rPr>
        <w:t xml:space="preserve"> </w:t>
      </w:r>
      <w:r w:rsidRPr="00655AEB">
        <w:rPr>
          <w:rFonts w:ascii="Arial" w:hAnsi="Arial" w:cs="Arial"/>
          <w:noProof/>
          <w:color w:val="000000"/>
          <w:sz w:val="20"/>
          <w:lang w:val="bg-BG"/>
        </w:rPr>
        <w:t>Трябва да се отбележи, че териториите, идентифицирани за действие от Фонда, ще бъдат идентифицирани на NUTS 3, т.е. нивото на най-малките региони, за да може да се извършва специфично диагностициране.Първоначално ЕК бе предвидила разширяване на обхвата на фонда до 10 ДЧ, главно в Централна и Източна Европа, но в крайна сметка го отвори за всички ДЧ. За тази цел ЕК ще разгледа степента на емисиите на парникови газове от промишлени инсталации в региони с интензивен въглерод, степента на заетост в промишлеността в тези региони, заетостта в добива на въглища и лигнитни въглища или в производството на торф или нефт от шисти.</w:t>
      </w:r>
    </w:p>
    <w:p w:rsidR="007C186D" w:rsidRPr="00655AEB" w:rsidRDefault="007C186D" w:rsidP="007C186D">
      <w:pPr>
        <w:jc w:val="both"/>
        <w:rPr>
          <w:rFonts w:ascii="Arial" w:hAnsi="Arial" w:cs="Arial"/>
          <w:noProof/>
          <w:color w:val="000000"/>
          <w:sz w:val="20"/>
          <w:lang w:val="bg-BG"/>
        </w:rPr>
      </w:pPr>
      <w:r w:rsidRPr="00655AEB">
        <w:rPr>
          <w:rFonts w:ascii="Arial" w:hAnsi="Arial" w:cs="Arial"/>
          <w:noProof/>
          <w:color w:val="000000"/>
          <w:sz w:val="20"/>
          <w:lang w:val="bg-BG"/>
        </w:rPr>
        <w:t>Трябва да се отбележи, че големите компании, обхванати от Схемата за търговия с емисии, ще могат да бъдат обхванати от Фонда, което не е възможно в рамките на Политиката на сближаване.</w:t>
      </w:r>
      <w:r w:rsidR="008862CE" w:rsidRPr="00655AEB">
        <w:rPr>
          <w:rFonts w:ascii="Arial" w:hAnsi="Arial" w:cs="Arial"/>
          <w:noProof/>
          <w:color w:val="000000"/>
          <w:sz w:val="20"/>
          <w:lang w:val="bg-BG"/>
        </w:rPr>
        <w:t xml:space="preserve"> </w:t>
      </w:r>
      <w:r w:rsidRPr="00655AEB">
        <w:rPr>
          <w:rFonts w:ascii="Arial" w:hAnsi="Arial" w:cs="Arial"/>
          <w:noProof/>
          <w:color w:val="000000"/>
          <w:sz w:val="20"/>
          <w:lang w:val="bg-BG"/>
        </w:rPr>
        <w:t>Комисарят по въпросите на сближаването и реформите Елиза Ферейра призна, че политиката на сближаване се използва активно поради важността на въпросите, които са заложени в прехода, за да създаде ефект на лоста. Тя обаче настоява за  лимит на приноса до 20% от националното разпределение.</w:t>
      </w:r>
      <w:r w:rsidR="008862CE" w:rsidRPr="00655AEB">
        <w:rPr>
          <w:rFonts w:ascii="Arial" w:hAnsi="Arial" w:cs="Arial"/>
          <w:noProof/>
          <w:color w:val="000000"/>
          <w:sz w:val="20"/>
          <w:lang w:val="bg-BG"/>
        </w:rPr>
        <w:t xml:space="preserve"> </w:t>
      </w:r>
      <w:r w:rsidRPr="00655AEB">
        <w:rPr>
          <w:rFonts w:ascii="Arial" w:hAnsi="Arial" w:cs="Arial"/>
          <w:noProof/>
          <w:color w:val="000000"/>
          <w:sz w:val="20"/>
          <w:lang w:val="bg-BG"/>
        </w:rPr>
        <w:t>Комитетът  на регионите приветства предложенията на ЕК, но отбеляза, че предложението за осигуряване на 7,5 милиарда евро по никакъв начин не е компенсирано предвид планираните съкращения на бюджета в политиката на сближаване (около 12% в сравнение с текущия бюджетен цикъл). Председателят на Комитета Карл-Хайнц Ламберц смята, че ДЧ трябва да преразгледат амбициите си след разочарованието от финландските предложения от края на 2019 г. относно следващата многогодишна финансова рамка. Освен това Комитетът приветства намерението на ЕК да преразгледа правилата за държавните помощи, за да ги приведе в съответствие с правилата за директно управляваните фондове (тип „Хоризонт Европа“).</w:t>
      </w:r>
    </w:p>
    <w:p w:rsidR="007C186D" w:rsidRPr="00655AEB" w:rsidRDefault="007C186D" w:rsidP="007C186D">
      <w:pPr>
        <w:jc w:val="both"/>
        <w:rPr>
          <w:rFonts w:ascii="Arial" w:hAnsi="Arial" w:cs="Arial"/>
          <w:noProof/>
          <w:sz w:val="20"/>
          <w:lang w:val="bg-BG"/>
        </w:rPr>
      </w:pPr>
      <w:r w:rsidRPr="00655AEB">
        <w:rPr>
          <w:rFonts w:ascii="Arial" w:hAnsi="Arial" w:cs="Arial"/>
          <w:b/>
          <w:noProof/>
          <w:color w:val="000000"/>
          <w:sz w:val="20"/>
          <w:lang w:val="bg-BG"/>
        </w:rPr>
        <w:t>1</w:t>
      </w:r>
      <w:r w:rsidR="008862CE" w:rsidRPr="00655AEB">
        <w:rPr>
          <w:rFonts w:ascii="Arial" w:hAnsi="Arial" w:cs="Arial"/>
          <w:b/>
          <w:noProof/>
          <w:color w:val="000000"/>
          <w:sz w:val="20"/>
          <w:lang w:val="bg-BG"/>
        </w:rPr>
        <w:t>2</w:t>
      </w:r>
      <w:r w:rsidRPr="00655AEB">
        <w:rPr>
          <w:rFonts w:ascii="Arial" w:hAnsi="Arial" w:cs="Arial"/>
          <w:b/>
          <w:noProof/>
          <w:color w:val="000000"/>
          <w:sz w:val="20"/>
          <w:lang w:val="bg-BG"/>
        </w:rPr>
        <w:t>. На 13 януари Европейската инвестиционна банка (ЕИБ) потвърди, че е р</w:t>
      </w:r>
      <w:r w:rsidR="00E54C56" w:rsidRPr="00655AEB">
        <w:rPr>
          <w:rFonts w:ascii="Arial" w:hAnsi="Arial" w:cs="Arial"/>
          <w:b/>
          <w:noProof/>
          <w:color w:val="000000"/>
          <w:sz w:val="20"/>
          <w:lang w:val="bg-BG"/>
        </w:rPr>
        <w:t xml:space="preserve">ешила да увеличи финансирането за климата </w:t>
      </w:r>
      <w:r w:rsidRPr="00655AEB">
        <w:rPr>
          <w:rFonts w:ascii="Arial" w:hAnsi="Arial" w:cs="Arial"/>
          <w:b/>
          <w:noProof/>
          <w:color w:val="000000"/>
          <w:sz w:val="20"/>
          <w:lang w:val="bg-BG"/>
        </w:rPr>
        <w:t>до 50% от всичките си заеми, което „ще позволи да се отключат 1 трилион евро в подкрепа на инвестиции в климатични проекти до 2030 г.</w:t>
      </w:r>
      <w:r w:rsidRPr="00655AEB">
        <w:rPr>
          <w:rFonts w:ascii="Arial" w:hAnsi="Arial" w:cs="Arial"/>
          <w:noProof/>
          <w:color w:val="000000"/>
          <w:sz w:val="20"/>
          <w:lang w:val="bg-BG"/>
        </w:rPr>
        <w:t xml:space="preserve">“, заяви председателят на ЕИБ Вернер Хойер на съвместно заседание на Комисията по бюджет и  икономически въпроси на Европейския парламент (ЕП).Президентът на ЕИБ припомни новата политика на банката за отпускане на заеми в енергийния сектор, която ще накара ЕИБ да „спре да финансира традиционните изкопаеми горива“ и да се съсредоточи изцяло върху енергийната ефективност, възобновяемата енергия и други </w:t>
      </w:r>
      <w:r w:rsidRPr="00655AEB">
        <w:rPr>
          <w:rFonts w:ascii="Arial" w:hAnsi="Arial" w:cs="Arial"/>
          <w:noProof/>
          <w:color w:val="000000"/>
          <w:sz w:val="20"/>
          <w:lang w:val="bg-BG"/>
        </w:rPr>
        <w:lastRenderedPageBreak/>
        <w:t>иновативни проекти, допринасящи за поддържане на глобалното затопляне под 2°C.</w:t>
      </w:r>
      <w:r w:rsidR="00E54C56" w:rsidRPr="00655AEB">
        <w:rPr>
          <w:rFonts w:ascii="Arial" w:hAnsi="Arial" w:cs="Arial"/>
          <w:noProof/>
          <w:color w:val="000000"/>
          <w:sz w:val="20"/>
          <w:lang w:val="bg-BG"/>
        </w:rPr>
        <w:t xml:space="preserve"> </w:t>
      </w:r>
      <w:r w:rsidRPr="00655AEB">
        <w:rPr>
          <w:rFonts w:ascii="Arial" w:hAnsi="Arial" w:cs="Arial"/>
          <w:noProof/>
          <w:color w:val="000000"/>
          <w:sz w:val="20"/>
          <w:lang w:val="bg-BG"/>
        </w:rPr>
        <w:t>Г-н Хойер потвърди, че ЕИБ ще допринесе за новата европейска „Зелена сделка“ и за Фонда за справедлив преход. В отговор на въпроси на членовете на ЕП той каза, че ЕИБ ще продължи да бъде „климатична банка, но също така и банка за иновации, малки и средни предприятия и сближаване. Когато говорим за справедлив преход, ние говорим за области, които са силно засегнати от прекратяване използването на изкопаеми горива “, каза той.</w:t>
      </w:r>
      <w:r w:rsidR="00E54C56" w:rsidRPr="00655AEB">
        <w:rPr>
          <w:rFonts w:ascii="Arial" w:hAnsi="Arial" w:cs="Arial"/>
          <w:noProof/>
          <w:color w:val="000000"/>
          <w:sz w:val="20"/>
          <w:lang w:val="bg-BG"/>
        </w:rPr>
        <w:t xml:space="preserve"> </w:t>
      </w:r>
      <w:r w:rsidRPr="00655AEB">
        <w:rPr>
          <w:rFonts w:ascii="Arial" w:hAnsi="Arial" w:cs="Arial"/>
          <w:noProof/>
          <w:color w:val="000000"/>
          <w:sz w:val="20"/>
          <w:lang w:val="bg-BG"/>
        </w:rPr>
        <w:t xml:space="preserve">В допълнение, г-н Хойер се надява, че ще бъде постигнато „добро споразумение“ относно многогодишната финансова рамка на ЕС за 2021-2027 г. </w:t>
      </w:r>
      <w:r w:rsidRPr="00655AEB">
        <w:rPr>
          <w:rFonts w:ascii="Arial" w:hAnsi="Arial" w:cs="Arial"/>
          <w:i/>
          <w:iCs/>
          <w:noProof/>
          <w:color w:val="000000"/>
          <w:sz w:val="20"/>
          <w:lang w:val="bg-BG"/>
        </w:rPr>
        <w:t xml:space="preserve"> </w:t>
      </w:r>
    </w:p>
    <w:p w:rsidR="006E7A46" w:rsidRPr="00655AEB" w:rsidRDefault="007C186D"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bg-BG"/>
        </w:rPr>
      </w:pPr>
      <w:r w:rsidRPr="00655AEB">
        <w:rPr>
          <w:rStyle w:val="longtext"/>
          <w:rFonts w:ascii="Arial" w:hAnsi="Arial" w:cs="Arial"/>
          <w:b/>
          <w:noProof/>
          <w:sz w:val="20"/>
          <w:lang w:val="bg-BG"/>
        </w:rPr>
        <w:t>1</w:t>
      </w:r>
      <w:r w:rsidR="00E54C56" w:rsidRPr="00655AEB">
        <w:rPr>
          <w:rStyle w:val="longtext"/>
          <w:rFonts w:ascii="Arial" w:hAnsi="Arial" w:cs="Arial"/>
          <w:b/>
          <w:noProof/>
          <w:sz w:val="20"/>
          <w:lang w:val="bg-BG"/>
        </w:rPr>
        <w:t>3</w:t>
      </w:r>
      <w:r w:rsidR="006E7A46" w:rsidRPr="00655AEB">
        <w:rPr>
          <w:rStyle w:val="longtext"/>
          <w:rFonts w:ascii="Arial" w:hAnsi="Arial" w:cs="Arial"/>
          <w:b/>
          <w:noProof/>
          <w:sz w:val="20"/>
          <w:lang w:val="bg-BG"/>
        </w:rPr>
        <w:t>.</w:t>
      </w:r>
      <w:r w:rsidR="00535F34" w:rsidRPr="00655AEB">
        <w:rPr>
          <w:rStyle w:val="longtext"/>
          <w:rFonts w:ascii="Arial" w:hAnsi="Arial" w:cs="Arial"/>
          <w:b/>
          <w:noProof/>
          <w:sz w:val="20"/>
          <w:lang w:val="bg-BG"/>
        </w:rPr>
        <w:t xml:space="preserve"> Правителството на Обединеното кралство публикува дългоочаквания законопроект за селскостопанската политика в кралството,</w:t>
      </w:r>
      <w:r w:rsidR="00535F34" w:rsidRPr="00655AEB">
        <w:rPr>
          <w:rStyle w:val="longtext"/>
          <w:rFonts w:ascii="Arial" w:hAnsi="Arial" w:cs="Arial"/>
          <w:noProof/>
          <w:sz w:val="20"/>
          <w:lang w:val="bg-BG"/>
        </w:rPr>
        <w:t xml:space="preserve"> </w:t>
      </w:r>
      <w:r w:rsidR="00535F34" w:rsidRPr="00655AEB">
        <w:rPr>
          <w:rStyle w:val="longtext"/>
          <w:rFonts w:ascii="Arial" w:hAnsi="Arial" w:cs="Arial"/>
          <w:b/>
          <w:noProof/>
          <w:sz w:val="20"/>
          <w:lang w:val="bg-BG"/>
        </w:rPr>
        <w:t>с който ще бъдат въведени преходни мерки за отпадане на директните плащания и въвеждане на нова система, която да предоставя стимули и подпомагане на фермерите за производство на обществени блага</w:t>
      </w:r>
      <w:r w:rsidR="00535F34" w:rsidRPr="00655AEB">
        <w:rPr>
          <w:rStyle w:val="longtext"/>
          <w:rFonts w:ascii="Arial" w:hAnsi="Arial" w:cs="Arial"/>
          <w:noProof/>
          <w:sz w:val="20"/>
          <w:lang w:val="bg-BG"/>
        </w:rPr>
        <w:t xml:space="preserve">. Законопроектът вече беше представен пред парламента на 16 януари, което се приема за първо четене от процедурата </w:t>
      </w:r>
      <w:r w:rsidR="004A7E08" w:rsidRPr="00655AEB">
        <w:rPr>
          <w:rStyle w:val="longtext"/>
          <w:rFonts w:ascii="Arial" w:hAnsi="Arial" w:cs="Arial"/>
          <w:noProof/>
          <w:sz w:val="20"/>
          <w:lang w:val="bg-BG"/>
        </w:rPr>
        <w:t xml:space="preserve">по одобрение </w:t>
      </w:r>
      <w:r w:rsidR="00535F34" w:rsidRPr="00655AEB">
        <w:rPr>
          <w:rStyle w:val="longtext"/>
          <w:rFonts w:ascii="Arial" w:hAnsi="Arial" w:cs="Arial"/>
          <w:noProof/>
          <w:sz w:val="20"/>
          <w:lang w:val="bg-BG"/>
        </w:rPr>
        <w:t xml:space="preserve">и не предвижда дебат на страните по текста. Дата за второ четене в парламента, когато депутатите ще разгледат подробно законопроекта, все още не обявена. Г-жа Тереза Вилиерс (Theresa Villiers), министър за околната среда, храните и развитие на селските райони, </w:t>
      </w:r>
      <w:r w:rsidR="004A7E08" w:rsidRPr="00655AEB">
        <w:rPr>
          <w:rStyle w:val="longtext"/>
          <w:rFonts w:ascii="Arial" w:hAnsi="Arial" w:cs="Arial"/>
          <w:noProof/>
          <w:sz w:val="20"/>
          <w:lang w:val="bg-BG"/>
        </w:rPr>
        <w:t xml:space="preserve">заяви </w:t>
      </w:r>
      <w:r w:rsidR="00535F34" w:rsidRPr="00655AEB">
        <w:rPr>
          <w:rStyle w:val="longtext"/>
          <w:rFonts w:ascii="Arial" w:hAnsi="Arial" w:cs="Arial"/>
          <w:noProof/>
          <w:sz w:val="20"/>
          <w:lang w:val="bg-BG"/>
        </w:rPr>
        <w:t>че новият законопроект е „решителен момент“, който „ще преобрази британското селско стопанство, като позволи постигане на баланс между производството на храни и опазването на околната среда</w:t>
      </w:r>
      <w:r w:rsidR="003E7FE1" w:rsidRPr="00655AEB">
        <w:rPr>
          <w:rStyle w:val="longtext"/>
          <w:rFonts w:ascii="Arial" w:hAnsi="Arial" w:cs="Arial"/>
          <w:noProof/>
          <w:sz w:val="20"/>
          <w:lang w:val="bg-BG"/>
        </w:rPr>
        <w:t xml:space="preserve"> и в същото време </w:t>
      </w:r>
      <w:r w:rsidR="00535F34" w:rsidRPr="00655AEB">
        <w:rPr>
          <w:rStyle w:val="longtext"/>
          <w:rFonts w:ascii="Arial" w:hAnsi="Arial" w:cs="Arial"/>
          <w:noProof/>
          <w:sz w:val="20"/>
          <w:lang w:val="bg-BG"/>
        </w:rPr>
        <w:t>ще запази селските райони и земеделските общности за бъдещето.“ Г-жа Вилиерс описа законопроектът още като „една от най-важните реформи в опазването на околната среда от много години насам“. Промените, които се предвижда да бъдат въведени със законопроектът</w:t>
      </w:r>
      <w:r w:rsidR="00A03B86" w:rsidRPr="00655AEB">
        <w:rPr>
          <w:rStyle w:val="longtext"/>
          <w:rFonts w:ascii="Arial" w:hAnsi="Arial" w:cs="Arial"/>
          <w:noProof/>
          <w:sz w:val="20"/>
          <w:lang w:val="bg-BG"/>
        </w:rPr>
        <w:t>,</w:t>
      </w:r>
      <w:r w:rsidR="00535F34" w:rsidRPr="00655AEB">
        <w:rPr>
          <w:rStyle w:val="longtext"/>
          <w:rFonts w:ascii="Arial" w:hAnsi="Arial" w:cs="Arial"/>
          <w:noProof/>
          <w:sz w:val="20"/>
          <w:lang w:val="bg-BG"/>
        </w:rPr>
        <w:t xml:space="preserve"> включват „възнаграждаване на фермерите за работата, която извършват, за опазване на околната среда“, като по този начин „по</w:t>
      </w:r>
      <w:r w:rsidR="00A03B86" w:rsidRPr="00655AEB">
        <w:rPr>
          <w:rStyle w:val="longtext"/>
          <w:rFonts w:ascii="Arial" w:hAnsi="Arial" w:cs="Arial"/>
          <w:noProof/>
          <w:sz w:val="20"/>
          <w:lang w:val="bg-BG"/>
        </w:rPr>
        <w:t>дпом</w:t>
      </w:r>
      <w:r w:rsidR="00535F34" w:rsidRPr="00655AEB">
        <w:rPr>
          <w:rStyle w:val="longtext"/>
          <w:rFonts w:ascii="Arial" w:hAnsi="Arial" w:cs="Arial"/>
          <w:noProof/>
          <w:sz w:val="20"/>
          <w:lang w:val="bg-BG"/>
        </w:rPr>
        <w:t xml:space="preserve">агат </w:t>
      </w:r>
      <w:r w:rsidR="00A03B86" w:rsidRPr="00655AEB">
        <w:rPr>
          <w:rStyle w:val="longtext"/>
          <w:rFonts w:ascii="Arial" w:hAnsi="Arial" w:cs="Arial"/>
          <w:noProof/>
          <w:sz w:val="20"/>
          <w:lang w:val="bg-BG"/>
        </w:rPr>
        <w:t xml:space="preserve">правителството </w:t>
      </w:r>
      <w:r w:rsidR="00E849ED" w:rsidRPr="00655AEB">
        <w:rPr>
          <w:rStyle w:val="longtext"/>
          <w:rFonts w:ascii="Arial" w:hAnsi="Arial" w:cs="Arial"/>
          <w:noProof/>
          <w:sz w:val="20"/>
          <w:lang w:val="bg-BG"/>
        </w:rPr>
        <w:t>при</w:t>
      </w:r>
      <w:r w:rsidR="00535F34" w:rsidRPr="00655AEB">
        <w:rPr>
          <w:rStyle w:val="longtext"/>
          <w:rFonts w:ascii="Arial" w:hAnsi="Arial" w:cs="Arial"/>
          <w:noProof/>
          <w:sz w:val="20"/>
          <w:lang w:val="bg-BG"/>
        </w:rPr>
        <w:t xml:space="preserve"> </w:t>
      </w:r>
      <w:r w:rsidR="00A03B86" w:rsidRPr="00655AEB">
        <w:rPr>
          <w:rStyle w:val="longtext"/>
          <w:rFonts w:ascii="Arial" w:hAnsi="Arial" w:cs="Arial"/>
          <w:noProof/>
          <w:sz w:val="20"/>
          <w:lang w:val="bg-BG"/>
        </w:rPr>
        <w:t>постиг</w:t>
      </w:r>
      <w:r w:rsidR="00E849ED" w:rsidRPr="00655AEB">
        <w:rPr>
          <w:rStyle w:val="longtext"/>
          <w:rFonts w:ascii="Arial" w:hAnsi="Arial" w:cs="Arial"/>
          <w:noProof/>
          <w:sz w:val="20"/>
          <w:lang w:val="bg-BG"/>
        </w:rPr>
        <w:t>а</w:t>
      </w:r>
      <w:r w:rsidR="00A03B86" w:rsidRPr="00655AEB">
        <w:rPr>
          <w:rStyle w:val="longtext"/>
          <w:rFonts w:ascii="Arial" w:hAnsi="Arial" w:cs="Arial"/>
          <w:noProof/>
          <w:sz w:val="20"/>
          <w:lang w:val="bg-BG"/>
        </w:rPr>
        <w:t>не</w:t>
      </w:r>
      <w:r w:rsidR="00E849ED" w:rsidRPr="00655AEB">
        <w:rPr>
          <w:rStyle w:val="longtext"/>
          <w:rFonts w:ascii="Arial" w:hAnsi="Arial" w:cs="Arial"/>
          <w:noProof/>
          <w:sz w:val="20"/>
          <w:lang w:val="bg-BG"/>
        </w:rPr>
        <w:t>то на</w:t>
      </w:r>
      <w:r w:rsidR="00A03B86" w:rsidRPr="00655AEB">
        <w:rPr>
          <w:rStyle w:val="longtext"/>
          <w:rFonts w:ascii="Arial" w:hAnsi="Arial" w:cs="Arial"/>
          <w:noProof/>
          <w:sz w:val="20"/>
          <w:lang w:val="bg-BG"/>
        </w:rPr>
        <w:t xml:space="preserve"> </w:t>
      </w:r>
      <w:r w:rsidR="00535F34" w:rsidRPr="00655AEB">
        <w:rPr>
          <w:rStyle w:val="longtext"/>
          <w:rFonts w:ascii="Arial" w:hAnsi="Arial" w:cs="Arial"/>
          <w:noProof/>
          <w:sz w:val="20"/>
          <w:lang w:val="bg-BG"/>
        </w:rPr>
        <w:t>важни цели по отношение на климатичните промени, опазването на природата и биоразнообразието.“ Г-жа Вилиерс подчерта също, че по този начин страната „ще се отдалечи от бюрократичната ОСП на ЕС“, като продължи, че вместо ОСП, в Обединеното кралство ще бъде въведена нова „по-честна система, която ще възнаграждава трудолюбивите фермери за произведените от тях обществени блага.“ Според министъра, правителството „продължава да насърчава британското производство, като се подкрепят фермерите в Англия (чрез въвеждане на седем годишен преходен период) да се адаптират към новата селскостопанска политика, която ще бъде прилагана и се осигури потенциала на селското стопанство в бъдеще.“ Шотландия, Уелс и Северна Ирландия ще прилагат отделно собствени разпоредби. Предвижда се директните плащания да бъдат постепенно прекратени за период от 7 години, като се започне през 2021 год. Правителството има намерение да прекъсне практиката директните плащания да бъдат обвързани с изискването към фермерите да обработват земята, ко</w:t>
      </w:r>
      <w:r w:rsidR="00150152" w:rsidRPr="00655AEB">
        <w:rPr>
          <w:rStyle w:val="longtext"/>
          <w:rFonts w:ascii="Arial" w:hAnsi="Arial" w:cs="Arial"/>
          <w:noProof/>
          <w:sz w:val="20"/>
          <w:lang w:val="bg-BG"/>
        </w:rPr>
        <w:t>е</w:t>
      </w:r>
      <w:r w:rsidR="00535F34" w:rsidRPr="00655AEB">
        <w:rPr>
          <w:rStyle w:val="longtext"/>
          <w:rFonts w:ascii="Arial" w:hAnsi="Arial" w:cs="Arial"/>
          <w:noProof/>
          <w:sz w:val="20"/>
          <w:lang w:val="bg-BG"/>
        </w:rPr>
        <w:t xml:space="preserve">то </w:t>
      </w:r>
      <w:r w:rsidR="00150152" w:rsidRPr="00655AEB">
        <w:rPr>
          <w:rStyle w:val="longtext"/>
          <w:rFonts w:ascii="Arial" w:hAnsi="Arial" w:cs="Arial"/>
          <w:noProof/>
          <w:sz w:val="20"/>
          <w:lang w:val="bg-BG"/>
        </w:rPr>
        <w:t>дава</w:t>
      </w:r>
      <w:r w:rsidR="00535F34" w:rsidRPr="00655AEB">
        <w:rPr>
          <w:rStyle w:val="longtext"/>
          <w:rFonts w:ascii="Arial" w:hAnsi="Arial" w:cs="Arial"/>
          <w:noProof/>
          <w:sz w:val="20"/>
          <w:lang w:val="bg-BG"/>
        </w:rPr>
        <w:t xml:space="preserve"> допълнителна гъвкавост. Законопроектът включва </w:t>
      </w:r>
      <w:r w:rsidR="00C11FA7" w:rsidRPr="00655AEB">
        <w:rPr>
          <w:rStyle w:val="longtext"/>
          <w:rFonts w:ascii="Arial" w:hAnsi="Arial" w:cs="Arial"/>
          <w:noProof/>
          <w:sz w:val="20"/>
          <w:lang w:val="bg-BG"/>
        </w:rPr>
        <w:t xml:space="preserve">също </w:t>
      </w:r>
      <w:r w:rsidR="00535F34" w:rsidRPr="00655AEB">
        <w:rPr>
          <w:rStyle w:val="longtext"/>
          <w:rFonts w:ascii="Arial" w:hAnsi="Arial" w:cs="Arial"/>
          <w:noProof/>
          <w:sz w:val="20"/>
          <w:lang w:val="bg-BG"/>
        </w:rPr>
        <w:t xml:space="preserve">изискване към правителството да представя доклад пред парламента (най-малко на всеки пет години) относно състоянието на продоволствената сигурност. </w:t>
      </w:r>
      <w:r w:rsidR="00E17B17" w:rsidRPr="00655AEB">
        <w:rPr>
          <w:rStyle w:val="longtext"/>
          <w:rFonts w:ascii="Arial" w:hAnsi="Arial" w:cs="Arial"/>
          <w:noProof/>
          <w:sz w:val="20"/>
          <w:lang w:val="bg-BG"/>
        </w:rPr>
        <w:t>В допълнение, п</w:t>
      </w:r>
      <w:r w:rsidR="00535F34" w:rsidRPr="00655AEB">
        <w:rPr>
          <w:rStyle w:val="longtext"/>
          <w:rFonts w:ascii="Arial" w:hAnsi="Arial" w:cs="Arial"/>
          <w:noProof/>
          <w:sz w:val="20"/>
          <w:lang w:val="bg-BG"/>
        </w:rPr>
        <w:t>равителството представи пред парламента на 9 януари законопроект за директните плащания на фермерите, с оглед осигуряване на правна приемственост и продължаване изплащане</w:t>
      </w:r>
      <w:r w:rsidR="002F1A64" w:rsidRPr="00655AEB">
        <w:rPr>
          <w:rStyle w:val="longtext"/>
          <w:rFonts w:ascii="Arial" w:hAnsi="Arial" w:cs="Arial"/>
          <w:noProof/>
          <w:sz w:val="20"/>
          <w:lang w:val="bg-BG"/>
        </w:rPr>
        <w:t>то</w:t>
      </w:r>
      <w:r w:rsidR="00535F34" w:rsidRPr="00655AEB">
        <w:rPr>
          <w:rStyle w:val="longtext"/>
          <w:rFonts w:ascii="Arial" w:hAnsi="Arial" w:cs="Arial"/>
          <w:noProof/>
          <w:sz w:val="20"/>
          <w:lang w:val="bg-BG"/>
        </w:rPr>
        <w:t xml:space="preserve"> на </w:t>
      </w:r>
      <w:r w:rsidR="002F1A64" w:rsidRPr="00655AEB">
        <w:rPr>
          <w:rStyle w:val="longtext"/>
          <w:rFonts w:ascii="Arial" w:hAnsi="Arial" w:cs="Arial"/>
          <w:noProof/>
          <w:sz w:val="20"/>
          <w:lang w:val="bg-BG"/>
        </w:rPr>
        <w:t>директното подпомагане</w:t>
      </w:r>
      <w:r w:rsidR="00535F34" w:rsidRPr="00655AEB">
        <w:rPr>
          <w:rStyle w:val="longtext"/>
          <w:rFonts w:ascii="Arial" w:hAnsi="Arial" w:cs="Arial"/>
          <w:noProof/>
          <w:sz w:val="20"/>
          <w:lang w:val="bg-BG"/>
        </w:rPr>
        <w:t xml:space="preserve">, като обяви също, че бюджетът за </w:t>
      </w:r>
      <w:r w:rsidR="004802B9" w:rsidRPr="00655AEB">
        <w:rPr>
          <w:rStyle w:val="longtext"/>
          <w:rFonts w:ascii="Arial" w:hAnsi="Arial" w:cs="Arial"/>
          <w:noProof/>
          <w:sz w:val="20"/>
          <w:lang w:val="bg-BG"/>
        </w:rPr>
        <w:t>директни плащания</w:t>
      </w:r>
      <w:r w:rsidR="00535F34" w:rsidRPr="00655AEB">
        <w:rPr>
          <w:rStyle w:val="longtext"/>
          <w:rFonts w:ascii="Arial" w:hAnsi="Arial" w:cs="Arial"/>
          <w:noProof/>
          <w:sz w:val="20"/>
          <w:lang w:val="bg-BG"/>
        </w:rPr>
        <w:t xml:space="preserve"> през 2020 год. ще се запази същият като през 2019 год. Правителството пое ангажимент да запази </w:t>
      </w:r>
      <w:r w:rsidR="004802B9" w:rsidRPr="00655AEB">
        <w:rPr>
          <w:rStyle w:val="longtext"/>
          <w:rFonts w:ascii="Arial" w:hAnsi="Arial" w:cs="Arial"/>
          <w:noProof/>
          <w:sz w:val="20"/>
          <w:lang w:val="bg-BG"/>
        </w:rPr>
        <w:t xml:space="preserve">нивата на </w:t>
      </w:r>
      <w:r w:rsidR="00535F34" w:rsidRPr="00655AEB">
        <w:rPr>
          <w:rStyle w:val="longtext"/>
          <w:rFonts w:ascii="Arial" w:hAnsi="Arial" w:cs="Arial"/>
          <w:noProof/>
          <w:sz w:val="20"/>
          <w:lang w:val="bg-BG"/>
        </w:rPr>
        <w:t>текущия бюджет за директни плащания до края</w:t>
      </w:r>
      <w:r w:rsidR="004802B9" w:rsidRPr="00655AEB">
        <w:rPr>
          <w:rStyle w:val="longtext"/>
          <w:rFonts w:ascii="Arial" w:hAnsi="Arial" w:cs="Arial"/>
          <w:noProof/>
          <w:sz w:val="20"/>
          <w:lang w:val="bg-BG"/>
        </w:rPr>
        <w:t xml:space="preserve"> </w:t>
      </w:r>
      <w:r w:rsidR="00535F34" w:rsidRPr="00655AEB">
        <w:rPr>
          <w:rStyle w:val="longtext"/>
          <w:rFonts w:ascii="Arial" w:hAnsi="Arial" w:cs="Arial"/>
          <w:noProof/>
          <w:sz w:val="20"/>
          <w:lang w:val="bg-BG"/>
        </w:rPr>
        <w:t>на действащия в момента парламент (бел. 24 декември 2024 год.). За повече информация относно новия законопроект на Обединеното кралство за селскостопанската политика и процедурата по неговото одобрение, може да намерите на следния линк:</w:t>
      </w:r>
      <w:r w:rsidR="00535F34" w:rsidRPr="00655AEB">
        <w:rPr>
          <w:rStyle w:val="longtext"/>
          <w:rFonts w:ascii="Arial" w:hAnsi="Arial" w:cs="Arial"/>
          <w:b/>
          <w:noProof/>
          <w:sz w:val="20"/>
          <w:lang w:val="bg-BG"/>
        </w:rPr>
        <w:t xml:space="preserve"> </w:t>
      </w:r>
      <w:hyperlink r:id="rId9" w:history="1">
        <w:r w:rsidR="00535F34" w:rsidRPr="00655AEB">
          <w:rPr>
            <w:rStyle w:val="Hyperlink"/>
            <w:rFonts w:ascii="Arial" w:hAnsi="Arial" w:cs="Arial"/>
            <w:b/>
            <w:noProof/>
            <w:sz w:val="20"/>
            <w:lang w:val="bg-BG"/>
          </w:rPr>
          <w:t>https://services.parliament.uk/Bills/2019-20/agriculture.html</w:t>
        </w:r>
      </w:hyperlink>
      <w:r w:rsidR="00535F34" w:rsidRPr="00655AEB">
        <w:rPr>
          <w:rStyle w:val="longtext"/>
          <w:rFonts w:ascii="Arial" w:hAnsi="Arial" w:cs="Arial"/>
          <w:b/>
          <w:noProof/>
          <w:sz w:val="20"/>
          <w:lang w:val="bg-BG"/>
        </w:rPr>
        <w:t xml:space="preserve"> </w:t>
      </w: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655AEB" w:rsidRDefault="0017045E" w:rsidP="0017045E">
      <w:pPr>
        <w:rPr>
          <w:rFonts w:ascii="Arial" w:hAnsi="Arial" w:cs="Arial"/>
          <w:noProof/>
          <w:sz w:val="20"/>
          <w:lang w:val="bg-BG"/>
        </w:rPr>
      </w:pPr>
    </w:p>
    <w:p w:rsidR="0017045E" w:rsidRPr="00C0055E" w:rsidRDefault="00472CFB" w:rsidP="0017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u w:val="single"/>
          <w:lang w:val="en-US" w:eastAsia="bg-BG"/>
        </w:rPr>
      </w:pPr>
      <w:r>
        <w:rPr>
          <w:rFonts w:ascii="Arial" w:hAnsi="Arial" w:cs="Arial"/>
          <w:b/>
          <w:i/>
          <w:color w:val="222222"/>
          <w:sz w:val="20"/>
          <w:u w:val="single"/>
          <w:lang w:val="bg-BG" w:eastAsia="bg-BG"/>
        </w:rPr>
        <w:lastRenderedPageBreak/>
        <w:t>Пр</w:t>
      </w:r>
      <w:r w:rsidR="00C0055E">
        <w:rPr>
          <w:rFonts w:ascii="Arial" w:hAnsi="Arial" w:cs="Arial"/>
          <w:b/>
          <w:i/>
          <w:color w:val="222222"/>
          <w:sz w:val="20"/>
          <w:u w:val="single"/>
          <w:lang w:val="bg-BG" w:eastAsia="bg-BG"/>
        </w:rPr>
        <w:t>иложение</w:t>
      </w:r>
      <w:r w:rsidR="00C0055E">
        <w:rPr>
          <w:rFonts w:ascii="Arial" w:hAnsi="Arial" w:cs="Arial"/>
          <w:b/>
          <w:i/>
          <w:color w:val="222222"/>
          <w:sz w:val="20"/>
          <w:u w:val="single"/>
          <w:lang w:val="en-US" w:eastAsia="bg-BG"/>
        </w:rPr>
        <w:t xml:space="preserve"> 1</w:t>
      </w:r>
    </w:p>
    <w:p w:rsidR="0017045E" w:rsidRPr="00C34E7C" w:rsidRDefault="0017045E" w:rsidP="0017045E">
      <w:pPr>
        <w:pStyle w:val="Default"/>
        <w:rPr>
          <w:b/>
          <w:bCs/>
          <w:sz w:val="20"/>
          <w:szCs w:val="20"/>
          <w:lang w:val="bg-BG"/>
        </w:rPr>
      </w:pPr>
    </w:p>
    <w:p w:rsidR="0017045E" w:rsidRPr="0039666C" w:rsidRDefault="0017045E" w:rsidP="0017045E">
      <w:pPr>
        <w:jc w:val="both"/>
        <w:rPr>
          <w:rFonts w:ascii="Arial" w:hAnsi="Arial" w:cs="Arial"/>
          <w:noProof/>
          <w:color w:val="000000"/>
          <w:sz w:val="20"/>
          <w:lang w:val="bg-BG"/>
        </w:rPr>
      </w:pPr>
      <w:bookmarkStart w:id="0" w:name="_GoBack"/>
      <w:r w:rsidRPr="0051720A">
        <w:rPr>
          <w:rFonts w:ascii="Arial" w:hAnsi="Arial" w:cs="Arial"/>
          <w:b/>
          <w:noProof/>
          <w:color w:val="000000"/>
          <w:sz w:val="20"/>
          <w:lang w:val="bg-BG"/>
        </w:rPr>
        <w:t xml:space="preserve">На 14 януари </w:t>
      </w:r>
      <w:r w:rsidRPr="00C34E7C">
        <w:rPr>
          <w:rFonts w:ascii="Arial" w:hAnsi="Arial" w:cs="Arial"/>
          <w:b/>
          <w:noProof/>
          <w:color w:val="000000"/>
          <w:sz w:val="20"/>
          <w:lang w:val="bg-BG"/>
        </w:rPr>
        <w:t>заместник председателят на Европейската комисия (ЕК) Валдис Домбровскис представи на членовете на Европейския парламент (ЕП) съдържанието на „Инвестиционния план за устойчива Европа“</w:t>
      </w:r>
      <w:r w:rsidRPr="00C34E7C">
        <w:rPr>
          <w:rFonts w:ascii="Arial" w:hAnsi="Arial" w:cs="Arial"/>
          <w:noProof/>
          <w:color w:val="000000"/>
          <w:sz w:val="20"/>
          <w:lang w:val="bg-BG"/>
        </w:rPr>
        <w:t xml:space="preserve">, който в бъдеще би трябвало да бъде финансовата ръка на Европейската Зелена сделка. Според него този план обединява нови политически инициативи и съществуващи инструменти и цели да мобилизира най-малко 1000 милиарда евро за устойчиви инвестиции до 2030 г. Около половината ще дойде от бюджета на ЕС, при условие че Съветът на ЕС и ЕП приемат </w:t>
      </w:r>
      <w:r w:rsidRPr="0039666C">
        <w:rPr>
          <w:rFonts w:ascii="Arial" w:hAnsi="Arial" w:cs="Arial"/>
          <w:noProof/>
          <w:color w:val="000000"/>
          <w:sz w:val="20"/>
          <w:lang w:val="bg-BG"/>
        </w:rPr>
        <w:t>предложението на ЕК за определяне на дела на бюджета на ЕС, предназначен за плана, на 25%. Другата половина ще се състои от 279 милиарда евро публични и частни фондове за инвестиции, благоприятни за климата и за околната среда, мобилизирани чрез InvestEU, 114 милиарда евро от национално съфинансиране за зелени проекти и 100 милиарда евро, мобилизирани по „Механизма за справедлив преход“.</w:t>
      </w:r>
    </w:p>
    <w:p w:rsidR="0017045E" w:rsidRPr="0039666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ЕК също така възнамерява да използва фондовете за иновации и модернизация съгласно Схемата за търговия с емисии.</w:t>
      </w:r>
    </w:p>
    <w:p w:rsidR="0017045E" w:rsidRPr="0039666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Комисарят обясни, че Планът за устойчиви инвестиции има за цел да предостави „условия, които да позволят на публичните власти и частните оператори да инвестират устойчиво“. За тази цел г-н Домбровскис увери членовете на ЕП, че ЕК ще проучи как европейският регламент, определящ основата на бъдещата таксономия за устойчиво финансиране може да се използва и от публичния сектор.</w:t>
      </w:r>
    </w:p>
    <w:p w:rsidR="0017045E" w:rsidRPr="00C34E7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"Ние ще предложим законодателство относно зелените обществени поръчки и ще преразгледаме правилата за държавна помощ в светлината на Зелената сделка", добави той, без допълнителни подробности на този етап. Накрая припомни готовността на ЕК да трансформира Европейската инвестиционна банка (ЕИБ) в Европейската климатична банка чрез привеждане</w:t>
      </w:r>
      <w:r w:rsidRPr="00C34E7C">
        <w:rPr>
          <w:rFonts w:ascii="Arial" w:hAnsi="Arial" w:cs="Arial"/>
          <w:noProof/>
          <w:color w:val="000000"/>
          <w:sz w:val="20"/>
          <w:lang w:val="bg-BG"/>
        </w:rPr>
        <w:t xml:space="preserve"> в съответствие на нейните дейности с целите на Зелената сделка.</w:t>
      </w:r>
    </w:p>
    <w:p w:rsidR="0017045E" w:rsidRPr="0039666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С цел да предостави целенасочена подкрепа на регионите и секторите, които ще бъдат най-засегнати от екологичния преход, „Механизмът на справедливия преход“ ще включва по-специално Фонда за справедлив преход. Очаква се фондът от 7,5 милиарда евро да генерира най-малко 30-50 милиарда евро инвестиции.</w:t>
      </w:r>
    </w:p>
    <w:p w:rsidR="0017045E" w:rsidRPr="0039666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Съгласно „Механизмът на справедливия преход“ ЕК също така очаква да мобилизира 45 милиарда евро инвестиции чрез InvestEU и 25-30 милиарда евро в инвестиции чрез нов инструмент за отпускане на заеми в публичния сектор, създаден в партньорство с ЕИБ, подкрепен от бюджета на ЕС.</w:t>
      </w:r>
    </w:p>
    <w:p w:rsidR="0017045E" w:rsidRPr="00C34E7C" w:rsidRDefault="0017045E" w:rsidP="0017045E">
      <w:pPr>
        <w:jc w:val="both"/>
        <w:rPr>
          <w:rFonts w:ascii="Arial" w:hAnsi="Arial" w:cs="Arial"/>
          <w:noProof/>
          <w:color w:val="000000"/>
          <w:sz w:val="20"/>
          <w:lang w:val="bg-BG"/>
        </w:rPr>
      </w:pPr>
      <w:r w:rsidRPr="0039666C">
        <w:rPr>
          <w:rFonts w:ascii="Arial" w:hAnsi="Arial" w:cs="Arial"/>
          <w:noProof/>
          <w:color w:val="000000"/>
          <w:sz w:val="20"/>
          <w:lang w:val="bg-BG"/>
        </w:rPr>
        <w:t>Като цяло депутатите изглеждат доста доволни от представянето на Плана за устойчиви инвестиции. Драгош Пислару (Да обновим Европа, Румъния) смята, че със Зелената сделка и този план ЕС сега</w:t>
      </w:r>
      <w:r w:rsidRPr="00C34E7C">
        <w:rPr>
          <w:rFonts w:ascii="Arial" w:hAnsi="Arial" w:cs="Arial"/>
          <w:noProof/>
          <w:color w:val="000000"/>
          <w:sz w:val="20"/>
          <w:lang w:val="bg-BG"/>
        </w:rPr>
        <w:t xml:space="preserve"> има амбициозна дългосрочна визия и инструментите, които да я превърнат в реалност. </w:t>
      </w:r>
      <w:r w:rsidRPr="0039666C">
        <w:rPr>
          <w:rFonts w:ascii="Arial" w:hAnsi="Arial" w:cs="Arial"/>
          <w:noProof/>
          <w:color w:val="000000"/>
          <w:sz w:val="20"/>
          <w:lang w:val="bg-BG"/>
        </w:rPr>
        <w:t>Ирате Гарсия-Перес (Група на Прогресивния алианс на социалистите и демократите, Испания) определи плана</w:t>
      </w:r>
      <w:r w:rsidRPr="00C34E7C">
        <w:rPr>
          <w:rFonts w:ascii="Arial" w:hAnsi="Arial" w:cs="Arial"/>
          <w:noProof/>
          <w:color w:val="000000"/>
          <w:sz w:val="20"/>
          <w:lang w:val="bg-BG"/>
        </w:rPr>
        <w:t xml:space="preserve"> като "важна първа стъпка" и подчерта необходимостта  да се помисли за  увеличаване на собствените ресурси, за да не се намалят ресурсите за Общата селскостопанска политика (ОСП) и политиката на сближаване. По този начин тя пледира по-специално за данък върху пластмасите и за хармонизиране на Общата консолидирана корпоративната данъчна основа (CCCTB), досие, което все още е блокирано в Съвета на ЕС. От своя страна </w:t>
      </w:r>
      <w:r w:rsidRPr="0039666C">
        <w:rPr>
          <w:rFonts w:ascii="Arial" w:hAnsi="Arial" w:cs="Arial"/>
          <w:noProof/>
          <w:color w:val="000000"/>
          <w:sz w:val="20"/>
          <w:lang w:val="bg-BG"/>
        </w:rPr>
        <w:t>Никлас Ниенас</w:t>
      </w:r>
      <w:r w:rsidRPr="00C34E7C">
        <w:rPr>
          <w:rFonts w:ascii="Arial" w:hAnsi="Arial" w:cs="Arial"/>
          <w:noProof/>
          <w:color w:val="000000"/>
          <w:sz w:val="20"/>
          <w:lang w:val="bg-BG"/>
        </w:rPr>
        <w:t xml:space="preserve"> (Група на Зелените/Европейски свободен алианс, Германия) заяви, че планът трябва да бъде придружен от конкретен план за прекратяване използването на въглища, определящ срокове за затваряне на електроцентралите във всички засегнати региони.  </w:t>
      </w:r>
      <w:r w:rsidRPr="0039666C">
        <w:rPr>
          <w:rFonts w:ascii="Arial" w:hAnsi="Arial" w:cs="Arial"/>
          <w:noProof/>
          <w:color w:val="000000"/>
          <w:sz w:val="20"/>
          <w:lang w:val="bg-BG"/>
        </w:rPr>
        <w:t>Йохан Ван Овертвелд</w:t>
      </w:r>
      <w:r w:rsidRPr="00C34E7C">
        <w:rPr>
          <w:rFonts w:ascii="Arial" w:hAnsi="Arial" w:cs="Arial"/>
          <w:noProof/>
          <w:color w:val="000000"/>
          <w:sz w:val="20"/>
          <w:lang w:val="bg-BG"/>
        </w:rPr>
        <w:t xml:space="preserve"> (Европейски консерватори и реформисти, Белгия) и </w:t>
      </w:r>
      <w:r w:rsidRPr="0039666C">
        <w:rPr>
          <w:rFonts w:ascii="Arial" w:hAnsi="Arial" w:cs="Arial"/>
          <w:noProof/>
          <w:color w:val="000000"/>
          <w:sz w:val="20"/>
          <w:lang w:val="bg-BG"/>
        </w:rPr>
        <w:t>Джанантонио Да Ре (Идентичност и демокрация, Италия) денонсираха плана, обвинявайки Комисията</w:t>
      </w:r>
      <w:r w:rsidRPr="00C34E7C">
        <w:rPr>
          <w:rFonts w:ascii="Arial" w:hAnsi="Arial" w:cs="Arial"/>
          <w:noProof/>
          <w:color w:val="000000"/>
          <w:sz w:val="20"/>
          <w:lang w:val="bg-BG"/>
        </w:rPr>
        <w:t xml:space="preserve"> в липсата на яснота относно източника на финансовите ресурси.</w:t>
      </w:r>
    </w:p>
    <w:p w:rsidR="0017045E" w:rsidRPr="00C34E7C" w:rsidRDefault="0017045E" w:rsidP="0017045E">
      <w:pPr>
        <w:jc w:val="both"/>
        <w:rPr>
          <w:rFonts w:ascii="Arial" w:hAnsi="Arial" w:cs="Arial"/>
          <w:noProof/>
          <w:sz w:val="20"/>
          <w:lang w:val="bg-BG"/>
        </w:rPr>
      </w:pPr>
    </w:p>
    <w:p w:rsidR="0017045E" w:rsidRPr="00C34E7C" w:rsidRDefault="0017045E" w:rsidP="0017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noProof/>
          <w:color w:val="222222"/>
          <w:sz w:val="20"/>
          <w:u w:val="single"/>
          <w:lang w:val="bg-BG" w:eastAsia="bg-BG"/>
        </w:rPr>
      </w:pPr>
    </w:p>
    <w:p w:rsidR="0017045E" w:rsidRDefault="0017045E" w:rsidP="0017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noProof/>
          <w:color w:val="222222"/>
          <w:sz w:val="20"/>
          <w:u w:val="single"/>
          <w:lang w:val="bg-BG" w:eastAsia="bg-BG"/>
        </w:rPr>
      </w:pPr>
    </w:p>
    <w:bookmarkEnd w:id="0"/>
    <w:p w:rsidR="0039666C" w:rsidRDefault="0039666C" w:rsidP="0017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u w:val="single"/>
          <w:lang w:val="bg-BG" w:eastAsia="bg-BG"/>
        </w:rPr>
      </w:pPr>
    </w:p>
    <w:p w:rsidR="0039666C" w:rsidRPr="00C34E7C" w:rsidRDefault="0039666C" w:rsidP="00170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u w:val="single"/>
          <w:lang w:val="bg-BG" w:eastAsia="bg-BG"/>
        </w:rPr>
      </w:pPr>
    </w:p>
    <w:sectPr w:rsidR="0039666C" w:rsidRPr="00C34E7C"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48" w:rsidRDefault="00371448">
      <w:r>
        <w:separator/>
      </w:r>
    </w:p>
  </w:endnote>
  <w:endnote w:type="continuationSeparator" w:id="0">
    <w:p w:rsidR="00371448" w:rsidRDefault="0037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3714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371448"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9B34E6">
      <w:rPr>
        <w:rFonts w:ascii="Arial" w:hAnsi="Arial"/>
        <w:i/>
        <w:iCs/>
        <w:noProof/>
        <w:color w:val="800080"/>
        <w:sz w:val="18"/>
        <w:szCs w:val="18"/>
        <w:lang w:val="bg-BG"/>
      </w:rPr>
      <w:t>6</w:t>
    </w:r>
    <w:r w:rsidRPr="004B3CB3">
      <w:rPr>
        <w:rFonts w:ascii="Arial" w:hAnsi="Arial"/>
        <w:i/>
        <w:iCs/>
        <w:color w:val="800080"/>
        <w:sz w:val="18"/>
        <w:szCs w:val="18"/>
        <w:lang w:val="bg-BG"/>
      </w:rPr>
      <w:fldChar w:fldCharType="end"/>
    </w:r>
  </w:p>
  <w:p w:rsidR="005618E1" w:rsidRPr="004B3CB3" w:rsidRDefault="00371448">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48" w:rsidRDefault="00371448">
      <w:r>
        <w:separator/>
      </w:r>
    </w:p>
  </w:footnote>
  <w:footnote w:type="continuationSeparator" w:id="0">
    <w:p w:rsidR="00371448" w:rsidRDefault="0037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79B973E2" wp14:editId="5A9FA262">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371448"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37144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050832">
      <w:rPr>
        <w:rFonts w:ascii="Arial" w:hAnsi="Arial"/>
        <w:b/>
        <w:bCs/>
        <w:color w:val="800080"/>
        <w:sz w:val="20"/>
        <w:lang w:val="en-US"/>
      </w:rPr>
      <w:t>40</w:t>
    </w:r>
    <w:r w:rsidR="007B0CB0">
      <w:rPr>
        <w:rFonts w:ascii="Arial" w:hAnsi="Arial"/>
        <w:b/>
        <w:bCs/>
        <w:color w:val="800080"/>
        <w:sz w:val="20"/>
        <w:lang w:val="en-US"/>
      </w:rPr>
      <w:t>3</w:t>
    </w:r>
    <w:r>
      <w:rPr>
        <w:rFonts w:ascii="Arial" w:hAnsi="Arial"/>
        <w:b/>
        <w:bCs/>
        <w:color w:val="800080"/>
        <w:sz w:val="20"/>
        <w:lang w:val="bg-BG"/>
      </w:rPr>
      <w:t>/</w:t>
    </w:r>
    <w:r w:rsidR="007B0CB0">
      <w:rPr>
        <w:rFonts w:ascii="Arial" w:hAnsi="Arial"/>
        <w:b/>
        <w:bCs/>
        <w:color w:val="800080"/>
        <w:sz w:val="20"/>
        <w:lang w:val="en-US"/>
      </w:rPr>
      <w:t>20</w:t>
    </w:r>
    <w:r w:rsidR="006E7A46">
      <w:rPr>
        <w:rFonts w:ascii="Arial" w:hAnsi="Arial"/>
        <w:b/>
        <w:bCs/>
        <w:color w:val="800080"/>
        <w:sz w:val="20"/>
        <w:lang w:val="en-US"/>
      </w:rPr>
      <w:t>.</w:t>
    </w:r>
    <w:r w:rsidR="00B36E39">
      <w:rPr>
        <w:rFonts w:ascii="Arial" w:hAnsi="Arial"/>
        <w:b/>
        <w:bCs/>
        <w:color w:val="800080"/>
        <w:sz w:val="20"/>
        <w:lang w:val="en-US"/>
      </w:rPr>
      <w:t>01</w:t>
    </w:r>
    <w:r>
      <w:rPr>
        <w:rFonts w:ascii="Arial" w:hAnsi="Arial"/>
        <w:b/>
        <w:bCs/>
        <w:color w:val="800080"/>
        <w:sz w:val="20"/>
        <w:lang w:val="bg-BG"/>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50832"/>
    <w:rsid w:val="00055EF4"/>
    <w:rsid w:val="00072F69"/>
    <w:rsid w:val="00081DAE"/>
    <w:rsid w:val="00091CD4"/>
    <w:rsid w:val="000A31F0"/>
    <w:rsid w:val="000B2026"/>
    <w:rsid w:val="00121AB6"/>
    <w:rsid w:val="00131A6D"/>
    <w:rsid w:val="00134872"/>
    <w:rsid w:val="0013606E"/>
    <w:rsid w:val="0014608C"/>
    <w:rsid w:val="00150152"/>
    <w:rsid w:val="001639CC"/>
    <w:rsid w:val="0017045E"/>
    <w:rsid w:val="00173E25"/>
    <w:rsid w:val="00180441"/>
    <w:rsid w:val="00186654"/>
    <w:rsid w:val="001D315B"/>
    <w:rsid w:val="001E1EAA"/>
    <w:rsid w:val="001E4171"/>
    <w:rsid w:val="001E4C01"/>
    <w:rsid w:val="001F2EC7"/>
    <w:rsid w:val="002118F6"/>
    <w:rsid w:val="00221CDF"/>
    <w:rsid w:val="002521C1"/>
    <w:rsid w:val="002610A9"/>
    <w:rsid w:val="00274F4E"/>
    <w:rsid w:val="00285183"/>
    <w:rsid w:val="002918DE"/>
    <w:rsid w:val="0029220D"/>
    <w:rsid w:val="002A5150"/>
    <w:rsid w:val="002A6A4C"/>
    <w:rsid w:val="002B44DA"/>
    <w:rsid w:val="002D1A87"/>
    <w:rsid w:val="002D25F9"/>
    <w:rsid w:val="002D3D9C"/>
    <w:rsid w:val="002E492C"/>
    <w:rsid w:val="002F1104"/>
    <w:rsid w:val="002F1A64"/>
    <w:rsid w:val="002F6211"/>
    <w:rsid w:val="00300FA3"/>
    <w:rsid w:val="00304D05"/>
    <w:rsid w:val="00313FBA"/>
    <w:rsid w:val="00320AF0"/>
    <w:rsid w:val="00353ACF"/>
    <w:rsid w:val="00371448"/>
    <w:rsid w:val="003877CA"/>
    <w:rsid w:val="00390470"/>
    <w:rsid w:val="003952CE"/>
    <w:rsid w:val="0039666C"/>
    <w:rsid w:val="003A56BA"/>
    <w:rsid w:val="003B7AAB"/>
    <w:rsid w:val="003C0E47"/>
    <w:rsid w:val="003C1BFF"/>
    <w:rsid w:val="003D0C6C"/>
    <w:rsid w:val="003E118D"/>
    <w:rsid w:val="003E5CB2"/>
    <w:rsid w:val="003E65DE"/>
    <w:rsid w:val="003E7FE1"/>
    <w:rsid w:val="00403CB9"/>
    <w:rsid w:val="00406264"/>
    <w:rsid w:val="004133A8"/>
    <w:rsid w:val="00422311"/>
    <w:rsid w:val="0044148C"/>
    <w:rsid w:val="00446398"/>
    <w:rsid w:val="00447DC4"/>
    <w:rsid w:val="00466397"/>
    <w:rsid w:val="00472CFB"/>
    <w:rsid w:val="004802B9"/>
    <w:rsid w:val="004923C1"/>
    <w:rsid w:val="004A7E08"/>
    <w:rsid w:val="00502A0A"/>
    <w:rsid w:val="005165FF"/>
    <w:rsid w:val="0051720A"/>
    <w:rsid w:val="005247A5"/>
    <w:rsid w:val="00530C09"/>
    <w:rsid w:val="00535F34"/>
    <w:rsid w:val="00537A32"/>
    <w:rsid w:val="005545AA"/>
    <w:rsid w:val="00555C05"/>
    <w:rsid w:val="00563064"/>
    <w:rsid w:val="0058734E"/>
    <w:rsid w:val="00592BED"/>
    <w:rsid w:val="005976BD"/>
    <w:rsid w:val="005A0184"/>
    <w:rsid w:val="005B4574"/>
    <w:rsid w:val="005C1BB7"/>
    <w:rsid w:val="005D2987"/>
    <w:rsid w:val="00623765"/>
    <w:rsid w:val="006367A9"/>
    <w:rsid w:val="00655A10"/>
    <w:rsid w:val="00655AEB"/>
    <w:rsid w:val="006710DC"/>
    <w:rsid w:val="00682667"/>
    <w:rsid w:val="006961F0"/>
    <w:rsid w:val="006A094F"/>
    <w:rsid w:val="006A739D"/>
    <w:rsid w:val="006E7A46"/>
    <w:rsid w:val="00705B40"/>
    <w:rsid w:val="00734448"/>
    <w:rsid w:val="007349C0"/>
    <w:rsid w:val="00750FB4"/>
    <w:rsid w:val="007846E5"/>
    <w:rsid w:val="007A388B"/>
    <w:rsid w:val="007A70E6"/>
    <w:rsid w:val="007B03F2"/>
    <w:rsid w:val="007B0CB0"/>
    <w:rsid w:val="007C186D"/>
    <w:rsid w:val="007D7438"/>
    <w:rsid w:val="007F4E89"/>
    <w:rsid w:val="008030C3"/>
    <w:rsid w:val="00816686"/>
    <w:rsid w:val="0082007C"/>
    <w:rsid w:val="008206C1"/>
    <w:rsid w:val="0083184F"/>
    <w:rsid w:val="0083232B"/>
    <w:rsid w:val="00845489"/>
    <w:rsid w:val="00852DE4"/>
    <w:rsid w:val="00861450"/>
    <w:rsid w:val="00875BDB"/>
    <w:rsid w:val="0087702E"/>
    <w:rsid w:val="0087763E"/>
    <w:rsid w:val="008836F2"/>
    <w:rsid w:val="00886288"/>
    <w:rsid w:val="008862CE"/>
    <w:rsid w:val="008933AB"/>
    <w:rsid w:val="008B775E"/>
    <w:rsid w:val="008E0F81"/>
    <w:rsid w:val="008F7ECC"/>
    <w:rsid w:val="0090254A"/>
    <w:rsid w:val="00910462"/>
    <w:rsid w:val="00934FA6"/>
    <w:rsid w:val="009355BA"/>
    <w:rsid w:val="009704A2"/>
    <w:rsid w:val="0099695D"/>
    <w:rsid w:val="009A5D09"/>
    <w:rsid w:val="009B2B23"/>
    <w:rsid w:val="009B34E6"/>
    <w:rsid w:val="009D0924"/>
    <w:rsid w:val="009D45C7"/>
    <w:rsid w:val="009D6F1E"/>
    <w:rsid w:val="009F4E95"/>
    <w:rsid w:val="009F7022"/>
    <w:rsid w:val="00A03B86"/>
    <w:rsid w:val="00A1170C"/>
    <w:rsid w:val="00A447C0"/>
    <w:rsid w:val="00A56825"/>
    <w:rsid w:val="00A673EB"/>
    <w:rsid w:val="00AA45E5"/>
    <w:rsid w:val="00AB1841"/>
    <w:rsid w:val="00AB2303"/>
    <w:rsid w:val="00AC73DE"/>
    <w:rsid w:val="00AE14FF"/>
    <w:rsid w:val="00AE2FF4"/>
    <w:rsid w:val="00B13E41"/>
    <w:rsid w:val="00B16835"/>
    <w:rsid w:val="00B34793"/>
    <w:rsid w:val="00B35BF3"/>
    <w:rsid w:val="00B36E39"/>
    <w:rsid w:val="00B64F87"/>
    <w:rsid w:val="00B73DA3"/>
    <w:rsid w:val="00B8112B"/>
    <w:rsid w:val="00B853D4"/>
    <w:rsid w:val="00B90317"/>
    <w:rsid w:val="00B93F21"/>
    <w:rsid w:val="00BC70E2"/>
    <w:rsid w:val="00BE55CA"/>
    <w:rsid w:val="00BF118B"/>
    <w:rsid w:val="00BF28EC"/>
    <w:rsid w:val="00C0055E"/>
    <w:rsid w:val="00C00F88"/>
    <w:rsid w:val="00C11FA7"/>
    <w:rsid w:val="00C20809"/>
    <w:rsid w:val="00C3643A"/>
    <w:rsid w:val="00C37B23"/>
    <w:rsid w:val="00C60D17"/>
    <w:rsid w:val="00C6312D"/>
    <w:rsid w:val="00C718EB"/>
    <w:rsid w:val="00CA35A8"/>
    <w:rsid w:val="00CB196D"/>
    <w:rsid w:val="00CB2886"/>
    <w:rsid w:val="00CD4AC3"/>
    <w:rsid w:val="00CE5E69"/>
    <w:rsid w:val="00D05873"/>
    <w:rsid w:val="00D1195A"/>
    <w:rsid w:val="00D167B1"/>
    <w:rsid w:val="00D3159B"/>
    <w:rsid w:val="00D32B06"/>
    <w:rsid w:val="00D42CE6"/>
    <w:rsid w:val="00D43BBD"/>
    <w:rsid w:val="00D61B59"/>
    <w:rsid w:val="00D80D84"/>
    <w:rsid w:val="00D8519B"/>
    <w:rsid w:val="00D961E3"/>
    <w:rsid w:val="00DA4860"/>
    <w:rsid w:val="00DC5A8E"/>
    <w:rsid w:val="00DF7E91"/>
    <w:rsid w:val="00E02B6A"/>
    <w:rsid w:val="00E17B17"/>
    <w:rsid w:val="00E17E07"/>
    <w:rsid w:val="00E2125A"/>
    <w:rsid w:val="00E23670"/>
    <w:rsid w:val="00E24FA2"/>
    <w:rsid w:val="00E256E7"/>
    <w:rsid w:val="00E44DF1"/>
    <w:rsid w:val="00E54C56"/>
    <w:rsid w:val="00E55A6A"/>
    <w:rsid w:val="00E6099A"/>
    <w:rsid w:val="00E849ED"/>
    <w:rsid w:val="00EA4B29"/>
    <w:rsid w:val="00EA4B99"/>
    <w:rsid w:val="00EB0F17"/>
    <w:rsid w:val="00EB783C"/>
    <w:rsid w:val="00EC0DDC"/>
    <w:rsid w:val="00EE38E7"/>
    <w:rsid w:val="00EE7B1B"/>
    <w:rsid w:val="00F0360F"/>
    <w:rsid w:val="00F23EFD"/>
    <w:rsid w:val="00F271CA"/>
    <w:rsid w:val="00F4416D"/>
    <w:rsid w:val="00F531AD"/>
    <w:rsid w:val="00FD4196"/>
    <w:rsid w:val="00FE14C1"/>
    <w:rsid w:val="00FF0B08"/>
    <w:rsid w:val="00FF2C6F"/>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z.bg/bg/dp-2014-2020/-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es.parliament.uk/Bills/2019-20/agricultur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118</cp:revision>
  <dcterms:created xsi:type="dcterms:W3CDTF">2019-11-07T14:39:00Z</dcterms:created>
  <dcterms:modified xsi:type="dcterms:W3CDTF">2020-01-20T16:54:00Z</dcterms:modified>
</cp:coreProperties>
</file>