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Look w:val="01E0"/>
      </w:tblPr>
      <w:tblGrid>
        <w:gridCol w:w="9923"/>
      </w:tblGrid>
      <w:tr w:rsidR="00403CB9" w:rsidRPr="004B3F5D" w:rsidTr="00DF42CC">
        <w:tc>
          <w:tcPr>
            <w:tcW w:w="9923" w:type="dxa"/>
            <w:shd w:val="clear" w:color="auto" w:fill="C0C0C0"/>
          </w:tcPr>
          <w:p w:rsidR="00403CB9" w:rsidRPr="004B3F5D" w:rsidRDefault="00403CB9" w:rsidP="00DF42CC">
            <w:pPr>
              <w:jc w:val="both"/>
              <w:rPr>
                <w:rFonts w:ascii="Arial" w:hAnsi="Arial" w:cs="Arial"/>
                <w:i/>
                <w:sz w:val="20"/>
                <w:lang w:val="bg-BG"/>
              </w:rPr>
            </w:pPr>
            <w:r w:rsidRPr="004B3F5D">
              <w:rPr>
                <w:rFonts w:ascii="Arial" w:hAnsi="Arial" w:cs="Arial"/>
                <w:i/>
                <w:sz w:val="20"/>
                <w:lang w:val="bg-BG"/>
              </w:rPr>
              <w:t>Директни плащания</w:t>
            </w:r>
          </w:p>
        </w:tc>
      </w:tr>
    </w:tbl>
    <w:p w:rsidR="00403CB9" w:rsidRPr="004B3F5D" w:rsidRDefault="00403CB9" w:rsidP="00403CB9">
      <w:pPr>
        <w:jc w:val="both"/>
        <w:rPr>
          <w:rStyle w:val="longtext"/>
          <w:rFonts w:ascii="Arial" w:hAnsi="Arial" w:cs="Arial"/>
          <w:b/>
          <w:sz w:val="20"/>
          <w:lang w:val="bg-BG"/>
        </w:rPr>
      </w:pPr>
    </w:p>
    <w:p w:rsidR="006961F0" w:rsidRPr="00B64ABE" w:rsidRDefault="00B64ABE" w:rsidP="005C4EE8">
      <w:pPr>
        <w:pStyle w:val="af7"/>
        <w:numPr>
          <w:ilvl w:val="0"/>
          <w:numId w:val="7"/>
        </w:numPr>
        <w:tabs>
          <w:tab w:val="left" w:pos="284"/>
        </w:tabs>
        <w:ind w:left="0" w:firstLine="0"/>
        <w:jc w:val="both"/>
        <w:rPr>
          <w:rFonts w:ascii="Arial" w:hAnsi="Arial" w:cs="Arial"/>
          <w:sz w:val="20"/>
          <w:lang w:val="bg-BG"/>
        </w:rPr>
      </w:pPr>
      <w:r w:rsidRPr="00B64ABE">
        <w:rPr>
          <w:rFonts w:ascii="Arial" w:hAnsi="Arial" w:cs="Arial"/>
          <w:b/>
          <w:sz w:val="20"/>
          <w:lang w:val="bg-BG"/>
        </w:rPr>
        <w:t xml:space="preserve">На интернет страницата на МЗХГ е публикувана </w:t>
      </w:r>
      <w:r w:rsidRPr="00B64ABE">
        <w:rPr>
          <w:rFonts w:ascii="Arial" w:hAnsi="Arial" w:cs="Arial" w:hint="eastAsia"/>
          <w:b/>
          <w:sz w:val="20"/>
          <w:lang w:val="bg-BG"/>
        </w:rPr>
        <w:t>заповед</w:t>
      </w:r>
      <w:r w:rsidRPr="00B64ABE">
        <w:rPr>
          <w:rFonts w:ascii="Arial" w:hAnsi="Arial" w:cs="Arial"/>
          <w:b/>
          <w:sz w:val="20"/>
          <w:lang w:val="bg-BG"/>
        </w:rPr>
        <w:t xml:space="preserve"> </w:t>
      </w:r>
      <w:r w:rsidRPr="00B64ABE">
        <w:rPr>
          <w:rFonts w:ascii="Arial" w:hAnsi="Arial" w:cs="Arial" w:hint="eastAsia"/>
          <w:b/>
          <w:sz w:val="20"/>
          <w:lang w:val="bg-BG"/>
        </w:rPr>
        <w:t>на</w:t>
      </w:r>
      <w:r w:rsidRPr="00B64ABE">
        <w:rPr>
          <w:rFonts w:ascii="Arial" w:hAnsi="Arial" w:cs="Arial"/>
          <w:b/>
          <w:sz w:val="20"/>
          <w:lang w:val="bg-BG"/>
        </w:rPr>
        <w:t xml:space="preserve"> </w:t>
      </w:r>
      <w:r w:rsidRPr="00B64ABE">
        <w:rPr>
          <w:rFonts w:ascii="Arial" w:hAnsi="Arial" w:cs="Arial" w:hint="eastAsia"/>
          <w:b/>
          <w:sz w:val="20"/>
          <w:lang w:val="bg-BG"/>
        </w:rPr>
        <w:t>министър</w:t>
      </w:r>
      <w:r w:rsidRPr="00B64ABE">
        <w:rPr>
          <w:rFonts w:ascii="Arial" w:hAnsi="Arial" w:cs="Arial"/>
          <w:b/>
          <w:sz w:val="20"/>
          <w:lang w:val="bg-BG"/>
        </w:rPr>
        <w:t xml:space="preserve">а на земеделието, храните и горите във връзка с превеждане на </w:t>
      </w:r>
      <w:r w:rsidRPr="00B64ABE">
        <w:rPr>
          <w:rFonts w:ascii="Arial" w:hAnsi="Arial" w:cs="Arial" w:hint="eastAsia"/>
          <w:b/>
          <w:sz w:val="20"/>
          <w:lang w:val="bg-BG"/>
        </w:rPr>
        <w:t>втория</w:t>
      </w:r>
      <w:r w:rsidRPr="00B64ABE">
        <w:rPr>
          <w:rFonts w:ascii="Arial" w:hAnsi="Arial" w:cs="Arial"/>
          <w:b/>
          <w:sz w:val="20"/>
          <w:lang w:val="bg-BG"/>
        </w:rPr>
        <w:t xml:space="preserve"> </w:t>
      </w:r>
      <w:r w:rsidRPr="00B64ABE">
        <w:rPr>
          <w:rFonts w:ascii="Arial" w:hAnsi="Arial" w:cs="Arial" w:hint="eastAsia"/>
          <w:b/>
          <w:sz w:val="20"/>
          <w:lang w:val="bg-BG"/>
        </w:rPr>
        <w:t>транш</w:t>
      </w:r>
      <w:r w:rsidRPr="00B64ABE">
        <w:rPr>
          <w:rFonts w:ascii="Arial" w:hAnsi="Arial" w:cs="Arial"/>
          <w:b/>
          <w:sz w:val="20"/>
          <w:lang w:val="bg-BG"/>
        </w:rPr>
        <w:t xml:space="preserve"> </w:t>
      </w:r>
      <w:r w:rsidRPr="00B64ABE">
        <w:rPr>
          <w:rFonts w:ascii="Arial" w:hAnsi="Arial" w:cs="Arial" w:hint="eastAsia"/>
          <w:b/>
          <w:sz w:val="20"/>
          <w:lang w:val="bg-BG"/>
        </w:rPr>
        <w:t>по</w:t>
      </w:r>
      <w:r w:rsidRPr="00B64ABE">
        <w:rPr>
          <w:rFonts w:ascii="Arial" w:hAnsi="Arial" w:cs="Arial"/>
          <w:b/>
          <w:sz w:val="20"/>
          <w:lang w:val="bg-BG"/>
        </w:rPr>
        <w:t xml:space="preserve"> Схемата за преходна национална помощ за овце-майки и кози-майки, обвързана с производството (</w:t>
      </w:r>
      <w:r w:rsidRPr="00B64ABE">
        <w:rPr>
          <w:rFonts w:ascii="Arial" w:hAnsi="Arial" w:cs="Arial" w:hint="eastAsia"/>
          <w:b/>
          <w:sz w:val="20"/>
          <w:lang w:val="bg-BG"/>
        </w:rPr>
        <w:t>ПНДЖ</w:t>
      </w:r>
      <w:r w:rsidRPr="00B64ABE">
        <w:rPr>
          <w:rFonts w:ascii="Arial" w:hAnsi="Arial" w:cs="Arial"/>
          <w:b/>
          <w:sz w:val="20"/>
          <w:lang w:val="bg-BG"/>
        </w:rPr>
        <w:t>3).</w:t>
      </w:r>
      <w:r w:rsidRPr="00B64ABE">
        <w:rPr>
          <w:rFonts w:ascii="Arial" w:hAnsi="Arial" w:cs="Arial"/>
          <w:sz w:val="20"/>
          <w:lang w:val="bg-BG"/>
        </w:rPr>
        <w:t xml:space="preserve"> </w:t>
      </w:r>
      <w:r>
        <w:rPr>
          <w:rFonts w:ascii="Arial" w:hAnsi="Arial" w:cs="Arial"/>
          <w:sz w:val="20"/>
          <w:lang w:val="bg-BG"/>
        </w:rPr>
        <w:t>Заповедта предвижда, че подпомагането по втори транш</w:t>
      </w:r>
      <w:r w:rsidR="003F1404">
        <w:rPr>
          <w:rFonts w:ascii="Arial" w:hAnsi="Arial" w:cs="Arial"/>
          <w:sz w:val="20"/>
          <w:lang w:val="bg-BG"/>
        </w:rPr>
        <w:t>,</w:t>
      </w:r>
      <w:r>
        <w:rPr>
          <w:rFonts w:ascii="Arial" w:hAnsi="Arial" w:cs="Arial"/>
          <w:sz w:val="20"/>
          <w:lang w:val="bg-BG"/>
        </w:rPr>
        <w:t xml:space="preserve"> в размер на </w:t>
      </w:r>
      <w:r w:rsidRPr="00B64ABE">
        <w:rPr>
          <w:rFonts w:ascii="Arial" w:hAnsi="Arial" w:cs="Arial"/>
          <w:sz w:val="20"/>
          <w:lang w:val="bg-BG"/>
        </w:rPr>
        <w:t xml:space="preserve">16,91 лв. на </w:t>
      </w:r>
      <w:r>
        <w:rPr>
          <w:rFonts w:ascii="Arial" w:hAnsi="Arial" w:cs="Arial"/>
          <w:sz w:val="20"/>
          <w:lang w:val="bg-BG"/>
        </w:rPr>
        <w:t xml:space="preserve">допустимо </w:t>
      </w:r>
      <w:r w:rsidR="00E05F7D">
        <w:rPr>
          <w:rFonts w:ascii="Arial" w:hAnsi="Arial" w:cs="Arial"/>
          <w:sz w:val="20"/>
          <w:lang w:val="bg-BG"/>
        </w:rPr>
        <w:t>животно</w:t>
      </w:r>
      <w:r w:rsidR="003F1404">
        <w:rPr>
          <w:rFonts w:ascii="Arial" w:hAnsi="Arial" w:cs="Arial"/>
          <w:sz w:val="20"/>
          <w:lang w:val="bg-BG"/>
        </w:rPr>
        <w:t>,</w:t>
      </w:r>
      <w:r w:rsidRPr="00B64ABE">
        <w:rPr>
          <w:rFonts w:ascii="Arial" w:hAnsi="Arial" w:cs="Arial"/>
          <w:sz w:val="20"/>
          <w:lang w:val="bg-BG"/>
        </w:rPr>
        <w:t xml:space="preserve"> </w:t>
      </w:r>
      <w:r w:rsidRPr="00B64ABE">
        <w:rPr>
          <w:rFonts w:ascii="Arial" w:hAnsi="Arial" w:cs="Arial"/>
          <w:bCs/>
          <w:sz w:val="20"/>
          <w:lang w:val="bg-BG"/>
        </w:rPr>
        <w:t>ще се изплати през ноември 2019 г.</w:t>
      </w:r>
      <w:r>
        <w:rPr>
          <w:rFonts w:ascii="Arial" w:hAnsi="Arial" w:cs="Arial"/>
          <w:b/>
          <w:bCs/>
          <w:sz w:val="20"/>
          <w:lang w:val="bg-BG"/>
        </w:rPr>
        <w:t xml:space="preserve"> </w:t>
      </w:r>
      <w:r w:rsidR="005C4EE8" w:rsidRPr="005C4EE8">
        <w:rPr>
          <w:rFonts w:ascii="Arial" w:hAnsi="Arial" w:cs="Arial" w:hint="eastAsia"/>
          <w:sz w:val="20"/>
          <w:lang w:val="bg-BG"/>
        </w:rPr>
        <w:t>През</w:t>
      </w:r>
      <w:r w:rsidR="005C4EE8" w:rsidRPr="005C4EE8">
        <w:rPr>
          <w:rFonts w:ascii="Arial" w:hAnsi="Arial" w:cs="Arial"/>
          <w:sz w:val="20"/>
          <w:lang w:val="bg-BG"/>
        </w:rPr>
        <w:t xml:space="preserve"> </w:t>
      </w:r>
      <w:r w:rsidR="003F1404">
        <w:rPr>
          <w:rFonts w:ascii="Arial" w:hAnsi="Arial" w:cs="Arial"/>
          <w:sz w:val="20"/>
          <w:lang w:val="bg-BG"/>
        </w:rPr>
        <w:t xml:space="preserve">месец </w:t>
      </w:r>
      <w:r w:rsidR="005C4EE8" w:rsidRPr="005C4EE8">
        <w:rPr>
          <w:rFonts w:ascii="Arial" w:hAnsi="Arial" w:cs="Arial" w:hint="eastAsia"/>
          <w:sz w:val="20"/>
          <w:lang w:val="bg-BG"/>
        </w:rPr>
        <w:t>октомври</w:t>
      </w:r>
      <w:r w:rsidR="005C4EE8" w:rsidRPr="005C4EE8">
        <w:rPr>
          <w:rFonts w:ascii="Arial" w:hAnsi="Arial" w:cs="Arial"/>
          <w:sz w:val="20"/>
          <w:lang w:val="bg-BG"/>
        </w:rPr>
        <w:t xml:space="preserve"> </w:t>
      </w:r>
      <w:r w:rsidR="005C4EE8">
        <w:rPr>
          <w:rFonts w:ascii="Arial" w:hAnsi="Arial" w:cs="Arial"/>
          <w:sz w:val="20"/>
          <w:lang w:val="bg-BG"/>
        </w:rPr>
        <w:t>беше преведен</w:t>
      </w:r>
      <w:r w:rsidR="005C4EE8" w:rsidRPr="005C4EE8">
        <w:rPr>
          <w:rFonts w:ascii="Arial" w:hAnsi="Arial" w:cs="Arial"/>
          <w:sz w:val="20"/>
          <w:lang w:val="bg-BG"/>
        </w:rPr>
        <w:t xml:space="preserve"> </w:t>
      </w:r>
      <w:r w:rsidR="005C4EE8" w:rsidRPr="005C4EE8">
        <w:rPr>
          <w:rFonts w:ascii="Arial" w:hAnsi="Arial" w:cs="Arial" w:hint="eastAsia"/>
          <w:sz w:val="20"/>
          <w:lang w:val="bg-BG"/>
        </w:rPr>
        <w:t>първия</w:t>
      </w:r>
      <w:r w:rsidR="005C4EE8" w:rsidRPr="005C4EE8">
        <w:rPr>
          <w:rFonts w:ascii="Arial" w:hAnsi="Arial" w:cs="Arial"/>
          <w:sz w:val="20"/>
          <w:lang w:val="bg-BG"/>
        </w:rPr>
        <w:t xml:space="preserve"> </w:t>
      </w:r>
      <w:r w:rsidR="005C4EE8" w:rsidRPr="005C4EE8">
        <w:rPr>
          <w:rFonts w:ascii="Arial" w:hAnsi="Arial" w:cs="Arial" w:hint="eastAsia"/>
          <w:sz w:val="20"/>
          <w:lang w:val="bg-BG"/>
        </w:rPr>
        <w:t>транш</w:t>
      </w:r>
      <w:r w:rsidR="005C4EE8" w:rsidRPr="005C4EE8">
        <w:rPr>
          <w:rFonts w:ascii="Arial" w:hAnsi="Arial" w:cs="Arial"/>
          <w:sz w:val="20"/>
          <w:lang w:val="bg-BG"/>
        </w:rPr>
        <w:t xml:space="preserve"> </w:t>
      </w:r>
      <w:r w:rsidR="005C4EE8" w:rsidRPr="005C4EE8">
        <w:rPr>
          <w:rFonts w:ascii="Arial" w:hAnsi="Arial" w:cs="Arial" w:hint="eastAsia"/>
          <w:sz w:val="20"/>
          <w:lang w:val="bg-BG"/>
        </w:rPr>
        <w:t>на</w:t>
      </w:r>
      <w:r w:rsidR="005C4EE8" w:rsidRPr="005C4EE8">
        <w:rPr>
          <w:rFonts w:ascii="Arial" w:hAnsi="Arial" w:cs="Arial"/>
          <w:sz w:val="20"/>
          <w:lang w:val="bg-BG"/>
        </w:rPr>
        <w:t xml:space="preserve"> 6 963 </w:t>
      </w:r>
      <w:r w:rsidR="005C4EE8" w:rsidRPr="005C4EE8">
        <w:rPr>
          <w:rFonts w:ascii="Arial" w:hAnsi="Arial" w:cs="Arial" w:hint="eastAsia"/>
          <w:sz w:val="20"/>
          <w:lang w:val="bg-BG"/>
        </w:rPr>
        <w:t>животновъди</w:t>
      </w:r>
      <w:r w:rsidR="005C4EE8" w:rsidRPr="005C4EE8">
        <w:rPr>
          <w:rFonts w:ascii="Arial" w:hAnsi="Arial" w:cs="Arial"/>
          <w:sz w:val="20"/>
          <w:lang w:val="bg-BG"/>
        </w:rPr>
        <w:t xml:space="preserve">, </w:t>
      </w:r>
      <w:r w:rsidR="005C4EE8" w:rsidRPr="005C4EE8">
        <w:rPr>
          <w:rFonts w:ascii="Arial" w:hAnsi="Arial" w:cs="Arial" w:hint="eastAsia"/>
          <w:sz w:val="20"/>
          <w:lang w:val="bg-BG"/>
        </w:rPr>
        <w:t>заявили</w:t>
      </w:r>
      <w:r w:rsidR="005C4EE8" w:rsidRPr="005C4EE8">
        <w:rPr>
          <w:rFonts w:ascii="Arial" w:hAnsi="Arial" w:cs="Arial"/>
          <w:sz w:val="20"/>
          <w:lang w:val="bg-BG"/>
        </w:rPr>
        <w:t xml:space="preserve"> </w:t>
      </w:r>
      <w:r w:rsidR="005C4EE8" w:rsidRPr="005C4EE8">
        <w:rPr>
          <w:rFonts w:ascii="Arial" w:hAnsi="Arial" w:cs="Arial" w:hint="eastAsia"/>
          <w:sz w:val="20"/>
          <w:lang w:val="bg-BG"/>
        </w:rPr>
        <w:t>Схемата</w:t>
      </w:r>
      <w:r w:rsidR="005C4EE8" w:rsidRPr="005C4EE8">
        <w:rPr>
          <w:rFonts w:ascii="Arial" w:hAnsi="Arial" w:cs="Arial"/>
          <w:sz w:val="20"/>
          <w:lang w:val="bg-BG"/>
        </w:rPr>
        <w:t xml:space="preserve"> </w:t>
      </w:r>
      <w:r w:rsidR="005C4EE8" w:rsidRPr="005C4EE8">
        <w:rPr>
          <w:rFonts w:ascii="Arial" w:hAnsi="Arial" w:cs="Arial" w:hint="eastAsia"/>
          <w:sz w:val="20"/>
          <w:lang w:val="bg-BG"/>
        </w:rPr>
        <w:t>за</w:t>
      </w:r>
      <w:r w:rsidR="005C4EE8" w:rsidRPr="005C4EE8">
        <w:rPr>
          <w:rFonts w:ascii="Arial" w:hAnsi="Arial" w:cs="Arial"/>
          <w:sz w:val="20"/>
          <w:lang w:val="bg-BG"/>
        </w:rPr>
        <w:t xml:space="preserve"> </w:t>
      </w:r>
      <w:r w:rsidR="005C4EE8" w:rsidRPr="005C4EE8">
        <w:rPr>
          <w:rFonts w:ascii="Arial" w:hAnsi="Arial" w:cs="Arial" w:hint="eastAsia"/>
          <w:sz w:val="20"/>
          <w:lang w:val="bg-BG"/>
        </w:rPr>
        <w:t>преходна</w:t>
      </w:r>
      <w:r w:rsidR="005C4EE8" w:rsidRPr="005C4EE8">
        <w:rPr>
          <w:rFonts w:ascii="Arial" w:hAnsi="Arial" w:cs="Arial"/>
          <w:sz w:val="20"/>
          <w:lang w:val="bg-BG"/>
        </w:rPr>
        <w:t xml:space="preserve"> </w:t>
      </w:r>
      <w:r w:rsidR="005C4EE8" w:rsidRPr="005C4EE8">
        <w:rPr>
          <w:rFonts w:ascii="Arial" w:hAnsi="Arial" w:cs="Arial" w:hint="eastAsia"/>
          <w:sz w:val="20"/>
          <w:lang w:val="bg-BG"/>
        </w:rPr>
        <w:t>национална</w:t>
      </w:r>
      <w:r w:rsidR="005C4EE8" w:rsidRPr="005C4EE8">
        <w:rPr>
          <w:rFonts w:ascii="Arial" w:hAnsi="Arial" w:cs="Arial"/>
          <w:sz w:val="20"/>
          <w:lang w:val="bg-BG"/>
        </w:rPr>
        <w:t xml:space="preserve"> </w:t>
      </w:r>
      <w:r w:rsidR="005C4EE8" w:rsidRPr="005C4EE8">
        <w:rPr>
          <w:rFonts w:ascii="Arial" w:hAnsi="Arial" w:cs="Arial" w:hint="eastAsia"/>
          <w:sz w:val="20"/>
          <w:lang w:val="bg-BG"/>
        </w:rPr>
        <w:t>помощ</w:t>
      </w:r>
      <w:r w:rsidR="005C4EE8" w:rsidRPr="005C4EE8">
        <w:rPr>
          <w:rFonts w:ascii="Arial" w:hAnsi="Arial" w:cs="Arial"/>
          <w:sz w:val="20"/>
          <w:lang w:val="bg-BG"/>
        </w:rPr>
        <w:t xml:space="preserve"> </w:t>
      </w:r>
      <w:r w:rsidR="005C4EE8" w:rsidRPr="005C4EE8">
        <w:rPr>
          <w:rFonts w:ascii="Arial" w:hAnsi="Arial" w:cs="Arial" w:hint="eastAsia"/>
          <w:sz w:val="20"/>
          <w:lang w:val="bg-BG"/>
        </w:rPr>
        <w:t>за</w:t>
      </w:r>
      <w:r w:rsidR="005C4EE8" w:rsidRPr="005C4EE8">
        <w:rPr>
          <w:rFonts w:ascii="Arial" w:hAnsi="Arial" w:cs="Arial"/>
          <w:sz w:val="20"/>
          <w:lang w:val="bg-BG"/>
        </w:rPr>
        <w:t xml:space="preserve"> </w:t>
      </w:r>
      <w:r w:rsidR="005C4EE8" w:rsidRPr="005C4EE8">
        <w:rPr>
          <w:rFonts w:ascii="Arial" w:hAnsi="Arial" w:cs="Arial" w:hint="eastAsia"/>
          <w:sz w:val="20"/>
          <w:lang w:val="bg-BG"/>
        </w:rPr>
        <w:t>овце</w:t>
      </w:r>
      <w:r w:rsidR="005C4EE8" w:rsidRPr="005C4EE8">
        <w:rPr>
          <w:rFonts w:ascii="Arial" w:hAnsi="Arial" w:cs="Arial"/>
          <w:sz w:val="20"/>
          <w:lang w:val="bg-BG"/>
        </w:rPr>
        <w:t>-</w:t>
      </w:r>
      <w:r w:rsidR="005C4EE8" w:rsidRPr="005C4EE8">
        <w:rPr>
          <w:rFonts w:ascii="Arial" w:hAnsi="Arial" w:cs="Arial" w:hint="eastAsia"/>
          <w:sz w:val="20"/>
          <w:lang w:val="bg-BG"/>
        </w:rPr>
        <w:t>майки</w:t>
      </w:r>
      <w:r w:rsidR="005C4EE8" w:rsidRPr="005C4EE8">
        <w:rPr>
          <w:rFonts w:ascii="Arial" w:hAnsi="Arial" w:cs="Arial"/>
          <w:sz w:val="20"/>
          <w:lang w:val="bg-BG"/>
        </w:rPr>
        <w:t xml:space="preserve"> </w:t>
      </w:r>
      <w:r w:rsidR="005C4EE8" w:rsidRPr="005C4EE8">
        <w:rPr>
          <w:rFonts w:ascii="Arial" w:hAnsi="Arial" w:cs="Arial" w:hint="eastAsia"/>
          <w:sz w:val="20"/>
          <w:lang w:val="bg-BG"/>
        </w:rPr>
        <w:t>и</w:t>
      </w:r>
      <w:r w:rsidR="005C4EE8" w:rsidRPr="005C4EE8">
        <w:rPr>
          <w:rFonts w:ascii="Arial" w:hAnsi="Arial" w:cs="Arial"/>
          <w:sz w:val="20"/>
          <w:lang w:val="bg-BG"/>
        </w:rPr>
        <w:t>/</w:t>
      </w:r>
      <w:r w:rsidR="005C4EE8" w:rsidRPr="005C4EE8">
        <w:rPr>
          <w:rFonts w:ascii="Arial" w:hAnsi="Arial" w:cs="Arial" w:hint="eastAsia"/>
          <w:sz w:val="20"/>
          <w:lang w:val="bg-BG"/>
        </w:rPr>
        <w:t>или</w:t>
      </w:r>
      <w:r w:rsidR="005C4EE8" w:rsidRPr="005C4EE8">
        <w:rPr>
          <w:rFonts w:ascii="Arial" w:hAnsi="Arial" w:cs="Arial"/>
          <w:sz w:val="20"/>
          <w:lang w:val="bg-BG"/>
        </w:rPr>
        <w:t xml:space="preserve"> </w:t>
      </w:r>
      <w:r w:rsidR="005C4EE8" w:rsidRPr="005C4EE8">
        <w:rPr>
          <w:rFonts w:ascii="Arial" w:hAnsi="Arial" w:cs="Arial" w:hint="eastAsia"/>
          <w:sz w:val="20"/>
          <w:lang w:val="bg-BG"/>
        </w:rPr>
        <w:t>кози</w:t>
      </w:r>
      <w:r w:rsidR="005C4EE8" w:rsidRPr="005C4EE8">
        <w:rPr>
          <w:rFonts w:ascii="Arial" w:hAnsi="Arial" w:cs="Arial"/>
          <w:sz w:val="20"/>
          <w:lang w:val="bg-BG"/>
        </w:rPr>
        <w:t>-</w:t>
      </w:r>
      <w:r w:rsidR="005C4EE8" w:rsidRPr="005C4EE8">
        <w:rPr>
          <w:rFonts w:ascii="Arial" w:hAnsi="Arial" w:cs="Arial" w:hint="eastAsia"/>
          <w:sz w:val="20"/>
          <w:lang w:val="bg-BG"/>
        </w:rPr>
        <w:t>майки</w:t>
      </w:r>
      <w:r w:rsidR="005C4EE8" w:rsidRPr="005C4EE8">
        <w:rPr>
          <w:rFonts w:ascii="Arial" w:hAnsi="Arial" w:cs="Arial"/>
          <w:sz w:val="20"/>
          <w:lang w:val="bg-BG"/>
        </w:rPr>
        <w:t xml:space="preserve">, </w:t>
      </w:r>
      <w:r w:rsidR="005C4EE8" w:rsidRPr="005C4EE8">
        <w:rPr>
          <w:rFonts w:ascii="Arial" w:hAnsi="Arial" w:cs="Arial" w:hint="eastAsia"/>
          <w:sz w:val="20"/>
          <w:lang w:val="bg-BG"/>
        </w:rPr>
        <w:t>обвързана</w:t>
      </w:r>
      <w:r w:rsidR="005C4EE8" w:rsidRPr="005C4EE8">
        <w:rPr>
          <w:rFonts w:ascii="Arial" w:hAnsi="Arial" w:cs="Arial"/>
          <w:sz w:val="20"/>
          <w:lang w:val="bg-BG"/>
        </w:rPr>
        <w:t xml:space="preserve"> </w:t>
      </w:r>
      <w:r w:rsidR="005C4EE8" w:rsidRPr="005C4EE8">
        <w:rPr>
          <w:rFonts w:ascii="Arial" w:hAnsi="Arial" w:cs="Arial" w:hint="eastAsia"/>
          <w:sz w:val="20"/>
          <w:lang w:val="bg-BG"/>
        </w:rPr>
        <w:t>с</w:t>
      </w:r>
      <w:r w:rsidR="005C4EE8" w:rsidRPr="005C4EE8">
        <w:rPr>
          <w:rFonts w:ascii="Arial" w:hAnsi="Arial" w:cs="Arial"/>
          <w:sz w:val="20"/>
          <w:lang w:val="bg-BG"/>
        </w:rPr>
        <w:t xml:space="preserve"> </w:t>
      </w:r>
      <w:r w:rsidR="005C4EE8" w:rsidRPr="005C4EE8">
        <w:rPr>
          <w:rFonts w:ascii="Arial" w:hAnsi="Arial" w:cs="Arial" w:hint="eastAsia"/>
          <w:sz w:val="20"/>
          <w:lang w:val="bg-BG"/>
        </w:rPr>
        <w:t>производството</w:t>
      </w:r>
      <w:r w:rsidR="005C4EE8" w:rsidRPr="005C4EE8">
        <w:rPr>
          <w:rFonts w:ascii="Arial" w:hAnsi="Arial" w:cs="Arial"/>
          <w:sz w:val="20"/>
          <w:lang w:val="bg-BG"/>
        </w:rPr>
        <w:t xml:space="preserve"> (</w:t>
      </w:r>
      <w:r w:rsidR="005C4EE8" w:rsidRPr="005C4EE8">
        <w:rPr>
          <w:rFonts w:ascii="Arial" w:hAnsi="Arial" w:cs="Arial" w:hint="eastAsia"/>
          <w:sz w:val="20"/>
          <w:lang w:val="bg-BG"/>
        </w:rPr>
        <w:t>ПНДЖ</w:t>
      </w:r>
      <w:r w:rsidR="005C4EE8" w:rsidRPr="005C4EE8">
        <w:rPr>
          <w:rFonts w:ascii="Arial" w:hAnsi="Arial" w:cs="Arial"/>
          <w:sz w:val="20"/>
          <w:lang w:val="bg-BG"/>
        </w:rPr>
        <w:t xml:space="preserve">3), </w:t>
      </w:r>
      <w:r w:rsidR="005C4EE8" w:rsidRPr="005C4EE8">
        <w:rPr>
          <w:rFonts w:ascii="Arial" w:hAnsi="Arial" w:cs="Arial" w:hint="eastAsia"/>
          <w:sz w:val="20"/>
          <w:lang w:val="bg-BG"/>
        </w:rPr>
        <w:t>за</w:t>
      </w:r>
      <w:r w:rsidR="005C4EE8" w:rsidRPr="005C4EE8">
        <w:rPr>
          <w:rFonts w:ascii="Arial" w:hAnsi="Arial" w:cs="Arial"/>
          <w:sz w:val="20"/>
          <w:lang w:val="bg-BG"/>
        </w:rPr>
        <w:t xml:space="preserve"> </w:t>
      </w:r>
      <w:r w:rsidR="005C4EE8" w:rsidRPr="005C4EE8">
        <w:rPr>
          <w:rFonts w:ascii="Arial" w:hAnsi="Arial" w:cs="Arial" w:hint="eastAsia"/>
          <w:sz w:val="20"/>
          <w:lang w:val="bg-BG"/>
        </w:rPr>
        <w:t>Кампания</w:t>
      </w:r>
      <w:r w:rsidR="005C4EE8" w:rsidRPr="005C4EE8">
        <w:rPr>
          <w:rFonts w:ascii="Arial" w:hAnsi="Arial" w:cs="Arial"/>
          <w:sz w:val="20"/>
          <w:lang w:val="bg-BG"/>
        </w:rPr>
        <w:t xml:space="preserve"> 2019.</w:t>
      </w:r>
    </w:p>
    <w:p w:rsidR="00403CB9" w:rsidRPr="00A1170C" w:rsidRDefault="00403CB9" w:rsidP="00403CB9">
      <w:pPr>
        <w:autoSpaceDE w:val="0"/>
        <w:autoSpaceDN w:val="0"/>
        <w:adjustRightInd w:val="0"/>
        <w:jc w:val="both"/>
        <w:rPr>
          <w:rFonts w:ascii="Arial" w:hAnsi="Arial" w:cs="Arial"/>
          <w:color w:val="666666"/>
          <w:sz w:val="20"/>
          <w:lang w:val="bg-BG" w:eastAsia="bg-BG"/>
        </w:rPr>
      </w:pPr>
    </w:p>
    <w:tbl>
      <w:tblPr>
        <w:tblW w:w="10159" w:type="dxa"/>
        <w:tblInd w:w="108" w:type="dxa"/>
        <w:tblLook w:val="01E0"/>
      </w:tblPr>
      <w:tblGrid>
        <w:gridCol w:w="9923"/>
        <w:gridCol w:w="236"/>
      </w:tblGrid>
      <w:tr w:rsidR="00403CB9" w:rsidRPr="00CE5E69" w:rsidTr="00DF42CC">
        <w:tc>
          <w:tcPr>
            <w:tcW w:w="9923" w:type="dxa"/>
            <w:shd w:val="clear" w:color="auto" w:fill="C0C0C0"/>
            <w:hideMark/>
          </w:tcPr>
          <w:p w:rsidR="00403CB9" w:rsidRPr="00CE5E69" w:rsidRDefault="00403CB9" w:rsidP="00DF42CC">
            <w:pPr>
              <w:jc w:val="both"/>
              <w:rPr>
                <w:rFonts w:ascii="Arial" w:hAnsi="Arial" w:cs="Arial"/>
                <w:i/>
                <w:sz w:val="20"/>
                <w:lang w:val="bg-BG"/>
              </w:rPr>
            </w:pPr>
            <w:r w:rsidRPr="00CE5E69">
              <w:rPr>
                <w:rFonts w:ascii="Arial" w:hAnsi="Arial" w:cs="Arial"/>
                <w:i/>
                <w:sz w:val="20"/>
                <w:lang w:val="bg-BG"/>
              </w:rPr>
              <w:t>Пазарна подкрепа</w:t>
            </w:r>
          </w:p>
        </w:tc>
        <w:tc>
          <w:tcPr>
            <w:tcW w:w="236" w:type="dxa"/>
          </w:tcPr>
          <w:p w:rsidR="00403CB9" w:rsidRPr="00CE5E69" w:rsidRDefault="00403CB9" w:rsidP="00DF42CC">
            <w:pPr>
              <w:jc w:val="both"/>
              <w:rPr>
                <w:rFonts w:ascii="Arial" w:hAnsi="Arial" w:cs="Arial"/>
                <w:i/>
                <w:sz w:val="20"/>
                <w:lang w:val="bg-BG"/>
              </w:rPr>
            </w:pPr>
          </w:p>
        </w:tc>
      </w:tr>
    </w:tbl>
    <w:p w:rsidR="00B90317" w:rsidRDefault="00B90317" w:rsidP="00403CB9">
      <w:pPr>
        <w:jc w:val="both"/>
        <w:rPr>
          <w:rFonts w:ascii="Arial" w:eastAsia="SimSun" w:hAnsi="Arial" w:cs="Arial"/>
          <w:b/>
          <w:bCs/>
          <w:color w:val="000000"/>
          <w:sz w:val="20"/>
          <w:lang w:val="en-US" w:eastAsia="bg-BG"/>
        </w:rPr>
      </w:pPr>
    </w:p>
    <w:p w:rsidR="00E74ABE" w:rsidRPr="005F5708" w:rsidRDefault="0082007C" w:rsidP="00E74ABE">
      <w:pPr>
        <w:jc w:val="both"/>
        <w:rPr>
          <w:rFonts w:ascii="Arial" w:hAnsi="Arial" w:cs="Arial"/>
          <w:noProof/>
          <w:sz w:val="20"/>
          <w:lang w:val="bg-BG"/>
        </w:rPr>
      </w:pPr>
      <w:r>
        <w:rPr>
          <w:rFonts w:ascii="Arial" w:eastAsia="SimSun" w:hAnsi="Arial" w:cs="Arial"/>
          <w:b/>
          <w:bCs/>
          <w:noProof/>
          <w:color w:val="000000"/>
          <w:sz w:val="20"/>
          <w:lang w:val="bg-BG" w:eastAsia="bg-BG"/>
        </w:rPr>
        <w:t>2.</w:t>
      </w:r>
      <w:r w:rsidR="00E74ABE">
        <w:rPr>
          <w:rFonts w:ascii="Arial" w:eastAsia="SimSun" w:hAnsi="Arial" w:cs="Arial"/>
          <w:b/>
          <w:bCs/>
          <w:noProof/>
          <w:color w:val="000000"/>
          <w:sz w:val="20"/>
          <w:lang w:val="bg-BG" w:eastAsia="bg-BG"/>
        </w:rPr>
        <w:t xml:space="preserve"> </w:t>
      </w:r>
      <w:r w:rsidR="00E74ABE" w:rsidRPr="005F5708">
        <w:rPr>
          <w:rFonts w:ascii="Arial" w:hAnsi="Arial" w:cs="Arial"/>
          <w:b/>
          <w:noProof/>
          <w:sz w:val="20"/>
          <w:lang w:val="bg-BG"/>
        </w:rPr>
        <w:t>На 15 ноември 2019 г. министърът на земеделието, храните и горите утвърди първото изменение на Националната програма за подпомагане на лозаро-в</w:t>
      </w:r>
      <w:r w:rsidR="00454CF3">
        <w:rPr>
          <w:rFonts w:ascii="Arial" w:hAnsi="Arial" w:cs="Arial"/>
          <w:b/>
          <w:noProof/>
          <w:sz w:val="20"/>
          <w:lang w:val="bg-BG"/>
        </w:rPr>
        <w:t>и</w:t>
      </w:r>
      <w:r w:rsidR="00E74ABE" w:rsidRPr="005F5708">
        <w:rPr>
          <w:rFonts w:ascii="Arial" w:hAnsi="Arial" w:cs="Arial"/>
          <w:b/>
          <w:noProof/>
          <w:sz w:val="20"/>
          <w:lang w:val="bg-BG"/>
        </w:rPr>
        <w:t xml:space="preserve">нарския сектор за периода 2019-2023. </w:t>
      </w:r>
      <w:r w:rsidR="00E74ABE" w:rsidRPr="00572614">
        <w:rPr>
          <w:rFonts w:ascii="Arial" w:hAnsi="Arial" w:cs="Arial"/>
          <w:noProof/>
          <w:sz w:val="20"/>
          <w:lang w:val="bg-BG"/>
        </w:rPr>
        <w:t>В програмата е включена нова мярка „Събиране на реколтата на зелено“.</w:t>
      </w:r>
      <w:r w:rsidR="00E74ABE" w:rsidRPr="005F5708">
        <w:rPr>
          <w:rFonts w:ascii="Arial" w:hAnsi="Arial" w:cs="Arial"/>
          <w:b/>
          <w:noProof/>
          <w:sz w:val="20"/>
          <w:lang w:val="bg-BG"/>
        </w:rPr>
        <w:t xml:space="preserve"> </w:t>
      </w:r>
      <w:r w:rsidR="00E74ABE" w:rsidRPr="005F5708">
        <w:rPr>
          <w:rFonts w:ascii="Arial" w:hAnsi="Arial" w:cs="Arial"/>
          <w:noProof/>
          <w:sz w:val="20"/>
          <w:lang w:val="bg-BG"/>
        </w:rPr>
        <w:t>Това е кризисна мярка, чиято цел е стабилизиране на пазара в сектора в случай на възникнали кризисни ситуации, които водят до дисбаланс между търсенето и предлагането и предполагат краткотраен или дълготраен негативен ефект върху икономическата жизнеспособност на гроздопроизводителите. Събиране на реколтата на зелено представлява пълното отстраняване на гроздовете, докато все още не са узрели, като по този начин добивът от съответната площ се намалява до нула</w:t>
      </w:r>
      <w:r w:rsidR="00E74ABE">
        <w:rPr>
          <w:rFonts w:ascii="Arial" w:hAnsi="Arial" w:cs="Arial"/>
          <w:noProof/>
          <w:sz w:val="20"/>
          <w:lang w:val="bg-BG"/>
        </w:rPr>
        <w:t>. Ф</w:t>
      </w:r>
      <w:r w:rsidR="00E74ABE" w:rsidRPr="005F5708">
        <w:rPr>
          <w:rFonts w:ascii="Arial" w:hAnsi="Arial" w:cs="Arial"/>
          <w:noProof/>
          <w:sz w:val="20"/>
          <w:lang w:val="bg-BG"/>
        </w:rPr>
        <w:t>инансовата помощ по мярката е 50 на сто от сумата на преките разходи за операциите по отстраняването на гроздовете и на загубата на приходи, произтичаща от отстраняването. По мярка „Инвестиции в предприятия“ е предвидено включването на дейности по строително-монтажни работи за изграждане, надстрояване, пристрояване и/или реконструкция на сграда, предназначена за: производство на вино (от обработка на гроздето до бутилиране и етикетиране на виното в изба), контрол на качеството на виното – анализиращи лаборатории, съхранение на виното, предлагане на виното (маркетинг) и подобряване на инфраструктурата в предприятието. Увеличен е и максималният размер на помощта по един проект от 600 000 евро на 800 000 евро, а максималният размер на всички разходи по проекти, подадени от един кандидат за целия период на Националната програма е 2 000 000 евро. По мярка „Преструктуриране и конверсия на лозя“ е намален максималният размер на всички разходи по проекти, подадени от един кандидат в рамките на един прием - от 3 000 000 лв. на  1 500 000 лева, а максималният размер на всички разходи по проекти, подадени от един кандидат за целия период на Националната програма е 4 500 000 лв. По мярка „Преструктуриране и конверсия на лозя“ е въведен и допълнителен контрол от страна на ДФЗ по отношение допустимостта на разходите за извършване на дейности. По мярка „Популяризиране в трети държави“ е предвидено изискването за пазарен дял да бъде относимо само към професионалните организации, организациите на производители и асоциациите на организации на производители, да бъде намалено от 10% на 6% и да бъде условие за допустимост по мярката</w:t>
      </w:r>
      <w:r w:rsidR="00E74ABE">
        <w:rPr>
          <w:rFonts w:ascii="Arial" w:hAnsi="Arial" w:cs="Arial"/>
          <w:noProof/>
          <w:sz w:val="20"/>
          <w:lang w:val="bg-BG"/>
        </w:rPr>
        <w:t> </w:t>
      </w:r>
      <w:r w:rsidR="00E74ABE" w:rsidRPr="005F5708">
        <w:rPr>
          <w:rFonts w:ascii="Arial" w:hAnsi="Arial" w:cs="Arial"/>
          <w:noProof/>
          <w:sz w:val="20"/>
          <w:lang w:val="bg-BG"/>
        </w:rPr>
        <w:t>. За търговските дружества е предвидено като условие за допустимост делът на приходите им от дейността в лозаро-винарския сектор да бъде минимум 50% от общите приходи на фирмата. По мярка</w:t>
      </w:r>
      <w:r w:rsidR="00E74ABE">
        <w:rPr>
          <w:rFonts w:ascii="Arial" w:hAnsi="Arial" w:cs="Arial"/>
          <w:noProof/>
          <w:sz w:val="20"/>
          <w:lang w:val="bg-BG"/>
        </w:rPr>
        <w:t xml:space="preserve"> „Застраховане на реколтата“ е </w:t>
      </w:r>
      <w:r w:rsidR="00E74ABE" w:rsidRPr="005F5708">
        <w:rPr>
          <w:rFonts w:ascii="Arial" w:hAnsi="Arial" w:cs="Arial"/>
          <w:noProof/>
          <w:sz w:val="20"/>
          <w:lang w:val="bg-BG"/>
        </w:rPr>
        <w:t>п</w:t>
      </w:r>
      <w:r w:rsidR="00E74ABE">
        <w:rPr>
          <w:rFonts w:ascii="Arial" w:hAnsi="Arial" w:cs="Arial"/>
          <w:noProof/>
          <w:sz w:val="20"/>
          <w:lang w:val="bg-BG"/>
        </w:rPr>
        <w:t>р</w:t>
      </w:r>
      <w:r w:rsidR="00E74ABE" w:rsidRPr="005F5708">
        <w:rPr>
          <w:rFonts w:ascii="Arial" w:hAnsi="Arial" w:cs="Arial"/>
          <w:noProof/>
          <w:sz w:val="20"/>
          <w:lang w:val="bg-BG"/>
        </w:rPr>
        <w:t>едвидено периодът на прием да бъде фиксиран на ежегодна база и определен в Наредба № 6 от 2018 г. за условията и реда за предоставяне на финансова помощ по Национална програма за подпомагане на лозаро-винарския сектор за периода 2019 – 2023 г.</w:t>
      </w:r>
    </w:p>
    <w:p w:rsidR="00E74ABE" w:rsidRPr="009D0924" w:rsidRDefault="00E74ABE" w:rsidP="00E74ABE">
      <w:pPr>
        <w:jc w:val="both"/>
        <w:rPr>
          <w:rFonts w:ascii="Arial" w:eastAsia="SimSun" w:hAnsi="Arial" w:cs="Arial"/>
          <w:b/>
          <w:bCs/>
          <w:noProof/>
          <w:color w:val="000000"/>
          <w:sz w:val="20"/>
          <w:lang w:val="en-US" w:eastAsia="bg-BG"/>
        </w:rPr>
      </w:pPr>
    </w:p>
    <w:p w:rsidR="00403CB9" w:rsidRPr="00E6099A" w:rsidRDefault="00403CB9" w:rsidP="00403CB9">
      <w:pPr>
        <w:jc w:val="both"/>
        <w:rPr>
          <w:rFonts w:ascii="Arial" w:eastAsia="SimSun" w:hAnsi="Arial" w:cs="Arial"/>
          <w:b/>
          <w:bCs/>
          <w:color w:val="000000"/>
          <w:sz w:val="20"/>
          <w:lang w:val="bg-BG" w:eastAsia="bg-BG"/>
        </w:rPr>
      </w:pPr>
    </w:p>
    <w:p w:rsidR="009D0924" w:rsidRPr="009D0924" w:rsidRDefault="00081DAE" w:rsidP="00403CB9">
      <w:pPr>
        <w:jc w:val="both"/>
        <w:rPr>
          <w:rFonts w:ascii="Arial" w:eastAsia="SimSun" w:hAnsi="Arial" w:cs="Arial"/>
          <w:b/>
          <w:bCs/>
          <w:color w:val="000000"/>
          <w:sz w:val="20"/>
          <w:lang w:val="en-US" w:eastAsia="bg-BG"/>
        </w:rPr>
      </w:pPr>
      <w:r>
        <w:rPr>
          <w:rFonts w:ascii="Arial" w:eastAsia="SimSun" w:hAnsi="Arial" w:cs="Arial"/>
          <w:b/>
          <w:bCs/>
          <w:color w:val="000000"/>
          <w:sz w:val="20"/>
          <w:lang w:val="en-US" w:eastAsia="bg-BG"/>
        </w:rPr>
        <w:t xml:space="preserve"> </w:t>
      </w:r>
    </w:p>
    <w:tbl>
      <w:tblPr>
        <w:tblW w:w="10156" w:type="dxa"/>
        <w:tblInd w:w="108" w:type="dxa"/>
        <w:tblLook w:val="01E0"/>
      </w:tblPr>
      <w:tblGrid>
        <w:gridCol w:w="9900"/>
        <w:gridCol w:w="256"/>
      </w:tblGrid>
      <w:tr w:rsidR="00403CB9" w:rsidRPr="00CE5E69" w:rsidTr="00DF42CC">
        <w:tc>
          <w:tcPr>
            <w:tcW w:w="9900" w:type="dxa"/>
            <w:shd w:val="clear" w:color="auto" w:fill="C0C0C0"/>
            <w:hideMark/>
          </w:tcPr>
          <w:p w:rsidR="00403CB9" w:rsidRPr="00CE5E69" w:rsidRDefault="00403CB9" w:rsidP="00DF42CC">
            <w:pPr>
              <w:tabs>
                <w:tab w:val="left" w:pos="1020"/>
              </w:tabs>
              <w:autoSpaceDE w:val="0"/>
              <w:autoSpaceDN w:val="0"/>
              <w:adjustRightInd w:val="0"/>
              <w:jc w:val="both"/>
              <w:rPr>
                <w:rFonts w:ascii="Arial" w:hAnsi="Arial" w:cs="Arial"/>
                <w:i/>
                <w:iCs/>
                <w:sz w:val="20"/>
                <w:lang w:val="bg-BG"/>
              </w:rPr>
            </w:pPr>
            <w:r w:rsidRPr="00CE5E69">
              <w:rPr>
                <w:rFonts w:ascii="Arial" w:hAnsi="Arial" w:cs="Arial"/>
                <w:i/>
                <w:sz w:val="20"/>
                <w:lang w:val="bg-BG"/>
              </w:rPr>
              <w:t>Визия за ОСП след 2020 г.</w:t>
            </w:r>
          </w:p>
        </w:tc>
        <w:tc>
          <w:tcPr>
            <w:tcW w:w="256" w:type="dxa"/>
          </w:tcPr>
          <w:p w:rsidR="00403CB9" w:rsidRPr="00CE5E69" w:rsidRDefault="00403CB9" w:rsidP="00DF42CC">
            <w:pPr>
              <w:jc w:val="both"/>
              <w:rPr>
                <w:rFonts w:ascii="Arial" w:hAnsi="Arial" w:cs="Arial"/>
                <w:sz w:val="20"/>
                <w:lang w:val="bg-BG"/>
              </w:rPr>
            </w:pPr>
          </w:p>
        </w:tc>
      </w:tr>
    </w:tbl>
    <w:p w:rsidR="00B90317" w:rsidRDefault="00B90317" w:rsidP="00C00F88">
      <w:pPr>
        <w:jc w:val="both"/>
        <w:rPr>
          <w:rFonts w:ascii="Arial" w:hAnsi="Arial" w:cs="Arial"/>
          <w:b/>
          <w:sz w:val="20"/>
          <w:lang w:val="en-US"/>
        </w:rPr>
      </w:pPr>
    </w:p>
    <w:p w:rsidR="006D183F" w:rsidRPr="004D45D3" w:rsidRDefault="00186654" w:rsidP="006D183F">
      <w:pPr>
        <w:contextualSpacing/>
        <w:jc w:val="both"/>
        <w:rPr>
          <w:rFonts w:ascii="Arial" w:hAnsi="Arial" w:cs="Arial"/>
          <w:sz w:val="20"/>
          <w:lang w:val="bg-BG"/>
        </w:rPr>
      </w:pPr>
      <w:r w:rsidRPr="00186654">
        <w:rPr>
          <w:rStyle w:val="tlid-translation"/>
          <w:rFonts w:ascii="Arial" w:hAnsi="Arial" w:cs="Arial"/>
          <w:b/>
          <w:sz w:val="20"/>
          <w:lang w:val="bg-BG"/>
        </w:rPr>
        <w:t>3</w:t>
      </w:r>
      <w:r w:rsidRPr="00416504">
        <w:rPr>
          <w:rStyle w:val="tlid-translation"/>
          <w:rFonts w:ascii="Arial" w:hAnsi="Arial" w:cs="Arial"/>
          <w:b/>
          <w:sz w:val="20"/>
          <w:lang w:val="bg-BG"/>
        </w:rPr>
        <w:t>.</w:t>
      </w:r>
      <w:r w:rsidR="00CC1BDB" w:rsidRPr="00416504">
        <w:rPr>
          <w:rStyle w:val="tlid-translation"/>
          <w:rFonts w:ascii="Arial" w:hAnsi="Arial" w:cs="Arial"/>
          <w:b/>
          <w:sz w:val="20"/>
          <w:lang w:val="bg-BG"/>
        </w:rPr>
        <w:t xml:space="preserve"> </w:t>
      </w:r>
      <w:r w:rsidR="006D183F" w:rsidRPr="00416504">
        <w:rPr>
          <w:rFonts w:ascii="Arial" w:hAnsi="Arial" w:cs="Arial"/>
          <w:b/>
          <w:sz w:val="20"/>
          <w:lang w:val="bg-BG"/>
        </w:rPr>
        <w:t xml:space="preserve">Министрите на земеделието на ЕС широко подкрепиха предложението на </w:t>
      </w:r>
      <w:r w:rsidR="003835C2">
        <w:rPr>
          <w:rFonts w:ascii="Arial" w:hAnsi="Arial" w:cs="Arial"/>
          <w:b/>
          <w:sz w:val="20"/>
          <w:lang w:val="bg-BG"/>
        </w:rPr>
        <w:t>финландското председателство</w:t>
      </w:r>
      <w:r w:rsidR="006D183F" w:rsidRPr="00416504">
        <w:rPr>
          <w:rFonts w:ascii="Arial" w:hAnsi="Arial" w:cs="Arial"/>
          <w:b/>
          <w:sz w:val="20"/>
          <w:lang w:val="bg-BG"/>
        </w:rPr>
        <w:t xml:space="preserve"> за единен общ </w:t>
      </w:r>
      <w:r w:rsidR="003835C2">
        <w:rPr>
          <w:rFonts w:ascii="Arial" w:hAnsi="Arial" w:cs="Arial"/>
          <w:b/>
          <w:sz w:val="20"/>
          <w:lang w:val="bg-BG"/>
        </w:rPr>
        <w:t>процент</w:t>
      </w:r>
      <w:r w:rsidR="006D183F" w:rsidRPr="00416504">
        <w:rPr>
          <w:rFonts w:ascii="Arial" w:hAnsi="Arial" w:cs="Arial"/>
          <w:b/>
          <w:sz w:val="20"/>
          <w:lang w:val="bg-BG"/>
        </w:rPr>
        <w:t xml:space="preserve"> на финансиране </w:t>
      </w:r>
      <w:r w:rsidR="003835C2" w:rsidRPr="003835C2">
        <w:rPr>
          <w:rFonts w:ascii="Arial" w:hAnsi="Arial" w:cs="Arial" w:hint="eastAsia"/>
          <w:b/>
          <w:sz w:val="20"/>
          <w:lang w:val="bg-BG"/>
        </w:rPr>
        <w:t>за</w:t>
      </w:r>
      <w:r w:rsidR="003835C2" w:rsidRPr="003835C2">
        <w:rPr>
          <w:rFonts w:ascii="Arial" w:hAnsi="Arial" w:cs="Arial"/>
          <w:b/>
          <w:sz w:val="20"/>
          <w:lang w:val="bg-BG"/>
        </w:rPr>
        <w:t xml:space="preserve"> </w:t>
      </w:r>
      <w:r w:rsidR="003835C2" w:rsidRPr="003835C2">
        <w:rPr>
          <w:rFonts w:ascii="Arial" w:hAnsi="Arial" w:cs="Arial" w:hint="eastAsia"/>
          <w:b/>
          <w:sz w:val="20"/>
          <w:lang w:val="bg-BG"/>
        </w:rPr>
        <w:t>целите</w:t>
      </w:r>
      <w:r w:rsidR="003835C2" w:rsidRPr="003835C2">
        <w:rPr>
          <w:rFonts w:ascii="Arial" w:hAnsi="Arial" w:cs="Arial"/>
          <w:b/>
          <w:sz w:val="20"/>
          <w:lang w:val="bg-BG"/>
        </w:rPr>
        <w:t xml:space="preserve">, </w:t>
      </w:r>
      <w:r w:rsidR="003835C2" w:rsidRPr="003835C2">
        <w:rPr>
          <w:rFonts w:ascii="Arial" w:hAnsi="Arial" w:cs="Arial" w:hint="eastAsia"/>
          <w:b/>
          <w:sz w:val="20"/>
          <w:lang w:val="bg-BG"/>
        </w:rPr>
        <w:t>свързани</w:t>
      </w:r>
      <w:r w:rsidR="003835C2" w:rsidRPr="003835C2">
        <w:rPr>
          <w:rFonts w:ascii="Arial" w:hAnsi="Arial" w:cs="Arial"/>
          <w:b/>
          <w:sz w:val="20"/>
          <w:lang w:val="bg-BG"/>
        </w:rPr>
        <w:t xml:space="preserve"> </w:t>
      </w:r>
      <w:r w:rsidR="003835C2" w:rsidRPr="003835C2">
        <w:rPr>
          <w:rFonts w:ascii="Arial" w:hAnsi="Arial" w:cs="Arial" w:hint="eastAsia"/>
          <w:b/>
          <w:sz w:val="20"/>
          <w:lang w:val="bg-BG"/>
        </w:rPr>
        <w:t>с</w:t>
      </w:r>
      <w:r w:rsidR="003835C2" w:rsidRPr="003835C2">
        <w:rPr>
          <w:rFonts w:ascii="Arial" w:hAnsi="Arial" w:cs="Arial"/>
          <w:b/>
          <w:sz w:val="20"/>
          <w:lang w:val="bg-BG"/>
        </w:rPr>
        <w:t xml:space="preserve"> </w:t>
      </w:r>
      <w:r w:rsidR="003835C2" w:rsidRPr="003835C2">
        <w:rPr>
          <w:rFonts w:ascii="Arial" w:hAnsi="Arial" w:cs="Arial" w:hint="eastAsia"/>
          <w:b/>
          <w:sz w:val="20"/>
          <w:lang w:val="bg-BG"/>
        </w:rPr>
        <w:t>околната</w:t>
      </w:r>
      <w:r w:rsidR="003835C2" w:rsidRPr="003835C2">
        <w:rPr>
          <w:rFonts w:ascii="Arial" w:hAnsi="Arial" w:cs="Arial"/>
          <w:b/>
          <w:sz w:val="20"/>
          <w:lang w:val="bg-BG"/>
        </w:rPr>
        <w:t xml:space="preserve"> </w:t>
      </w:r>
      <w:r w:rsidR="003835C2" w:rsidRPr="003835C2">
        <w:rPr>
          <w:rFonts w:ascii="Arial" w:hAnsi="Arial" w:cs="Arial" w:hint="eastAsia"/>
          <w:b/>
          <w:sz w:val="20"/>
          <w:lang w:val="bg-BG"/>
        </w:rPr>
        <w:t>среда</w:t>
      </w:r>
      <w:r w:rsidR="003835C2" w:rsidRPr="003835C2">
        <w:rPr>
          <w:rFonts w:ascii="Arial" w:hAnsi="Arial" w:cs="Arial"/>
          <w:b/>
          <w:sz w:val="20"/>
          <w:lang w:val="bg-BG"/>
        </w:rPr>
        <w:t xml:space="preserve"> </w:t>
      </w:r>
      <w:r w:rsidR="003835C2" w:rsidRPr="003835C2">
        <w:rPr>
          <w:rFonts w:ascii="Arial" w:hAnsi="Arial" w:cs="Arial" w:hint="eastAsia"/>
          <w:b/>
          <w:sz w:val="20"/>
          <w:lang w:val="bg-BG"/>
        </w:rPr>
        <w:t>и</w:t>
      </w:r>
      <w:r w:rsidR="003835C2" w:rsidRPr="003835C2">
        <w:rPr>
          <w:rFonts w:ascii="Arial" w:hAnsi="Arial" w:cs="Arial"/>
          <w:b/>
          <w:sz w:val="20"/>
          <w:lang w:val="bg-BG"/>
        </w:rPr>
        <w:t xml:space="preserve"> </w:t>
      </w:r>
      <w:r w:rsidR="003835C2" w:rsidRPr="003835C2">
        <w:rPr>
          <w:rFonts w:ascii="Arial" w:hAnsi="Arial" w:cs="Arial" w:hint="eastAsia"/>
          <w:b/>
          <w:sz w:val="20"/>
          <w:lang w:val="bg-BG"/>
        </w:rPr>
        <w:t>климата</w:t>
      </w:r>
      <w:r w:rsidR="003835C2">
        <w:rPr>
          <w:rFonts w:ascii="Arial" w:hAnsi="Arial" w:cs="Arial"/>
          <w:b/>
          <w:sz w:val="20"/>
          <w:lang w:val="bg-BG"/>
        </w:rPr>
        <w:t xml:space="preserve">, </w:t>
      </w:r>
      <w:r w:rsidR="003835C2" w:rsidRPr="003835C2">
        <w:rPr>
          <w:rFonts w:ascii="Arial" w:hAnsi="Arial" w:cs="Arial" w:hint="eastAsia"/>
          <w:b/>
          <w:sz w:val="20"/>
          <w:lang w:val="bg-BG"/>
        </w:rPr>
        <w:t>който</w:t>
      </w:r>
      <w:r w:rsidR="003835C2" w:rsidRPr="003835C2">
        <w:rPr>
          <w:rFonts w:ascii="Arial" w:hAnsi="Arial" w:cs="Arial"/>
          <w:b/>
          <w:sz w:val="20"/>
          <w:lang w:val="bg-BG"/>
        </w:rPr>
        <w:t xml:space="preserve"> </w:t>
      </w:r>
      <w:r w:rsidR="003835C2" w:rsidRPr="003835C2">
        <w:rPr>
          <w:rFonts w:ascii="Arial" w:hAnsi="Arial" w:cs="Arial" w:hint="eastAsia"/>
          <w:b/>
          <w:sz w:val="20"/>
          <w:lang w:val="bg-BG"/>
        </w:rPr>
        <w:t>да</w:t>
      </w:r>
      <w:r w:rsidR="003835C2" w:rsidRPr="003835C2">
        <w:rPr>
          <w:rFonts w:ascii="Arial" w:hAnsi="Arial" w:cs="Arial"/>
          <w:b/>
          <w:sz w:val="20"/>
          <w:lang w:val="bg-BG"/>
        </w:rPr>
        <w:t xml:space="preserve"> </w:t>
      </w:r>
      <w:r w:rsidR="003835C2" w:rsidRPr="003835C2">
        <w:rPr>
          <w:rFonts w:ascii="Arial" w:hAnsi="Arial" w:cs="Arial" w:hint="eastAsia"/>
          <w:b/>
          <w:sz w:val="20"/>
          <w:lang w:val="bg-BG"/>
        </w:rPr>
        <w:t>обхваща</w:t>
      </w:r>
      <w:r w:rsidR="003835C2" w:rsidRPr="003835C2">
        <w:rPr>
          <w:rFonts w:ascii="Arial" w:hAnsi="Arial" w:cs="Arial"/>
          <w:b/>
          <w:sz w:val="20"/>
          <w:lang w:val="bg-BG"/>
        </w:rPr>
        <w:t xml:space="preserve"> </w:t>
      </w:r>
      <w:r w:rsidR="003835C2" w:rsidRPr="003835C2">
        <w:rPr>
          <w:rFonts w:ascii="Arial" w:hAnsi="Arial" w:cs="Arial" w:hint="eastAsia"/>
          <w:b/>
          <w:sz w:val="20"/>
          <w:lang w:val="bg-BG"/>
        </w:rPr>
        <w:t>и</w:t>
      </w:r>
      <w:r w:rsidR="003835C2" w:rsidRPr="003835C2">
        <w:rPr>
          <w:rFonts w:ascii="Arial" w:hAnsi="Arial" w:cs="Arial"/>
          <w:b/>
          <w:sz w:val="20"/>
          <w:lang w:val="bg-BG"/>
        </w:rPr>
        <w:t xml:space="preserve"> </w:t>
      </w:r>
      <w:r w:rsidR="003835C2" w:rsidRPr="003835C2">
        <w:rPr>
          <w:rFonts w:ascii="Arial" w:hAnsi="Arial" w:cs="Arial" w:hint="eastAsia"/>
          <w:b/>
          <w:sz w:val="20"/>
          <w:lang w:val="bg-BG"/>
        </w:rPr>
        <w:t>двата</w:t>
      </w:r>
      <w:r w:rsidR="003835C2" w:rsidRPr="003835C2">
        <w:rPr>
          <w:rFonts w:ascii="Arial" w:hAnsi="Arial" w:cs="Arial"/>
          <w:b/>
          <w:sz w:val="20"/>
          <w:lang w:val="bg-BG"/>
        </w:rPr>
        <w:t xml:space="preserve"> </w:t>
      </w:r>
      <w:r w:rsidR="003835C2" w:rsidRPr="003835C2">
        <w:rPr>
          <w:rFonts w:ascii="Arial" w:hAnsi="Arial" w:cs="Arial" w:hint="eastAsia"/>
          <w:b/>
          <w:sz w:val="20"/>
          <w:lang w:val="bg-BG"/>
        </w:rPr>
        <w:t>стълба</w:t>
      </w:r>
      <w:r w:rsidR="003835C2">
        <w:rPr>
          <w:rFonts w:ascii="Arial" w:hAnsi="Arial" w:cs="Arial"/>
          <w:b/>
          <w:sz w:val="20"/>
          <w:lang w:val="bg-BG"/>
        </w:rPr>
        <w:t xml:space="preserve"> </w:t>
      </w:r>
      <w:r w:rsidR="00A76189">
        <w:rPr>
          <w:rFonts w:ascii="Arial" w:hAnsi="Arial" w:cs="Arial"/>
          <w:b/>
          <w:sz w:val="20"/>
          <w:lang w:val="bg-BG"/>
        </w:rPr>
        <w:t>по време на</w:t>
      </w:r>
      <w:r w:rsidR="003835C2">
        <w:rPr>
          <w:rFonts w:ascii="Arial" w:hAnsi="Arial" w:cs="Arial"/>
          <w:b/>
          <w:sz w:val="20"/>
          <w:lang w:val="bg-BG"/>
        </w:rPr>
        <w:t xml:space="preserve"> заседанието на</w:t>
      </w:r>
      <w:r w:rsidR="006D183F" w:rsidRPr="00416504">
        <w:rPr>
          <w:rFonts w:ascii="Arial" w:hAnsi="Arial" w:cs="Arial"/>
          <w:b/>
          <w:sz w:val="20"/>
          <w:lang w:val="bg-BG"/>
        </w:rPr>
        <w:t xml:space="preserve"> Съветa по селско стопанство</w:t>
      </w:r>
      <w:r w:rsidR="003835C2">
        <w:rPr>
          <w:rFonts w:ascii="Arial" w:hAnsi="Arial" w:cs="Arial"/>
          <w:b/>
          <w:sz w:val="20"/>
          <w:lang w:val="bg-BG"/>
        </w:rPr>
        <w:t xml:space="preserve">, проведен </w:t>
      </w:r>
      <w:r w:rsidR="006D183F" w:rsidRPr="00416504">
        <w:rPr>
          <w:rFonts w:ascii="Arial" w:hAnsi="Arial" w:cs="Arial"/>
          <w:b/>
          <w:sz w:val="20"/>
          <w:lang w:val="bg-BG"/>
        </w:rPr>
        <w:t>в Брюксел, на 18 ноември</w:t>
      </w:r>
      <w:r w:rsidR="003835C2">
        <w:rPr>
          <w:rFonts w:ascii="Arial" w:hAnsi="Arial" w:cs="Arial"/>
          <w:b/>
          <w:sz w:val="20"/>
          <w:lang w:val="bg-BG"/>
        </w:rPr>
        <w:t xml:space="preserve">. </w:t>
      </w:r>
      <w:r w:rsidR="00D871AB">
        <w:rPr>
          <w:rFonts w:ascii="Arial" w:hAnsi="Arial" w:cs="Arial"/>
          <w:sz w:val="20"/>
          <w:lang w:val="bg-BG"/>
        </w:rPr>
        <w:t>Комисарят по</w:t>
      </w:r>
      <w:r w:rsidR="006D183F" w:rsidRPr="004D45D3">
        <w:rPr>
          <w:rFonts w:ascii="Arial" w:hAnsi="Arial" w:cs="Arial"/>
          <w:sz w:val="20"/>
          <w:lang w:val="bg-BG"/>
        </w:rPr>
        <w:t xml:space="preserve"> земеделие Фил Хоган заяви, че може да има „непредвидени последици от намаляване</w:t>
      </w:r>
      <w:r w:rsidR="004C461D">
        <w:rPr>
          <w:rFonts w:ascii="Arial" w:hAnsi="Arial" w:cs="Arial"/>
          <w:sz w:val="20"/>
          <w:lang w:val="bg-BG"/>
        </w:rPr>
        <w:t>то</w:t>
      </w:r>
      <w:r w:rsidR="006D183F" w:rsidRPr="004D45D3">
        <w:rPr>
          <w:rFonts w:ascii="Arial" w:hAnsi="Arial" w:cs="Arial"/>
          <w:sz w:val="20"/>
          <w:lang w:val="bg-BG"/>
        </w:rPr>
        <w:t xml:space="preserve"> на общото ниво на амбиция“, описвайки го като „стъпка назад, а не напред“. Вместо да отделя 30% от втория стълб за целите, свързани с околната среда и климата, Председателството предлага държавите членки да отделят определен </w:t>
      </w:r>
      <w:r w:rsidR="004C461D">
        <w:rPr>
          <w:rFonts w:ascii="Arial" w:hAnsi="Arial" w:cs="Arial"/>
          <w:sz w:val="20"/>
          <w:lang w:val="bg-BG"/>
        </w:rPr>
        <w:t>процент</w:t>
      </w:r>
      <w:r w:rsidR="006D183F" w:rsidRPr="004D45D3">
        <w:rPr>
          <w:rFonts w:ascii="Arial" w:hAnsi="Arial" w:cs="Arial"/>
          <w:sz w:val="20"/>
          <w:lang w:val="bg-BG"/>
        </w:rPr>
        <w:t xml:space="preserve"> от общия си пакет </w:t>
      </w:r>
      <w:r w:rsidR="004C461D">
        <w:rPr>
          <w:rFonts w:ascii="Arial" w:hAnsi="Arial" w:cs="Arial"/>
          <w:sz w:val="20"/>
          <w:lang w:val="bg-BG"/>
        </w:rPr>
        <w:t>за</w:t>
      </w:r>
      <w:r w:rsidR="006D183F" w:rsidRPr="004D45D3">
        <w:rPr>
          <w:rFonts w:ascii="Arial" w:hAnsi="Arial" w:cs="Arial"/>
          <w:sz w:val="20"/>
          <w:lang w:val="bg-BG"/>
        </w:rPr>
        <w:t xml:space="preserve"> ОСП (първи и втори стълб) за тези цели. Общият процент ще обхване целия стратегически план на ОСП, еднакво приложим за всички държави. След това </w:t>
      </w:r>
      <w:r w:rsidR="009A75C9">
        <w:rPr>
          <w:rFonts w:ascii="Arial" w:hAnsi="Arial" w:cs="Arial"/>
          <w:sz w:val="20"/>
          <w:lang w:val="bg-BG"/>
        </w:rPr>
        <w:t xml:space="preserve">държавите </w:t>
      </w:r>
      <w:r w:rsidR="004C461D">
        <w:rPr>
          <w:rFonts w:ascii="Arial" w:hAnsi="Arial" w:cs="Arial"/>
          <w:sz w:val="20"/>
          <w:lang w:val="bg-BG"/>
        </w:rPr>
        <w:t>членки</w:t>
      </w:r>
      <w:r w:rsidR="006D183F" w:rsidRPr="004D45D3">
        <w:rPr>
          <w:rFonts w:ascii="Arial" w:hAnsi="Arial" w:cs="Arial"/>
          <w:sz w:val="20"/>
          <w:lang w:val="bg-BG"/>
        </w:rPr>
        <w:t xml:space="preserve"> </w:t>
      </w:r>
      <w:r w:rsidR="004C461D">
        <w:rPr>
          <w:rFonts w:ascii="Arial" w:hAnsi="Arial" w:cs="Arial"/>
          <w:sz w:val="20"/>
          <w:lang w:val="bg-BG"/>
        </w:rPr>
        <w:t xml:space="preserve">ще </w:t>
      </w:r>
      <w:r w:rsidR="006D183F" w:rsidRPr="004D45D3">
        <w:rPr>
          <w:rFonts w:ascii="Arial" w:hAnsi="Arial" w:cs="Arial"/>
          <w:sz w:val="20"/>
          <w:lang w:val="bg-BG"/>
        </w:rPr>
        <w:t xml:space="preserve">избират една или повече интервенции по стълб I и </w:t>
      </w:r>
      <w:r w:rsidR="004C461D">
        <w:rPr>
          <w:rFonts w:ascii="Arial" w:hAnsi="Arial" w:cs="Arial"/>
          <w:sz w:val="20"/>
          <w:lang w:val="bg-BG"/>
        </w:rPr>
        <w:t xml:space="preserve">стълб </w:t>
      </w:r>
      <w:r w:rsidR="006D183F" w:rsidRPr="004D45D3">
        <w:rPr>
          <w:rFonts w:ascii="Arial" w:hAnsi="Arial" w:cs="Arial"/>
          <w:sz w:val="20"/>
          <w:lang w:val="bg-BG"/>
        </w:rPr>
        <w:t>II или и дв</w:t>
      </w:r>
      <w:r w:rsidR="004C461D">
        <w:rPr>
          <w:rFonts w:ascii="Arial" w:hAnsi="Arial" w:cs="Arial"/>
          <w:sz w:val="20"/>
          <w:lang w:val="bg-BG"/>
        </w:rPr>
        <w:t>ата</w:t>
      </w:r>
      <w:r w:rsidR="006D183F" w:rsidRPr="004D45D3">
        <w:rPr>
          <w:rFonts w:ascii="Arial" w:hAnsi="Arial" w:cs="Arial"/>
          <w:sz w:val="20"/>
          <w:lang w:val="bg-BG"/>
        </w:rPr>
        <w:t xml:space="preserve">, което </w:t>
      </w:r>
      <w:r w:rsidR="004C461D">
        <w:rPr>
          <w:rFonts w:ascii="Arial" w:hAnsi="Arial" w:cs="Arial"/>
          <w:sz w:val="20"/>
          <w:lang w:val="bg-BG"/>
        </w:rPr>
        <w:t>ще</w:t>
      </w:r>
      <w:r w:rsidR="006D183F" w:rsidRPr="004D45D3">
        <w:rPr>
          <w:rFonts w:ascii="Arial" w:hAnsi="Arial" w:cs="Arial"/>
          <w:sz w:val="20"/>
          <w:lang w:val="bg-BG"/>
        </w:rPr>
        <w:t xml:space="preserve"> доприне</w:t>
      </w:r>
      <w:r w:rsidR="004C461D">
        <w:rPr>
          <w:rFonts w:ascii="Arial" w:hAnsi="Arial" w:cs="Arial"/>
          <w:sz w:val="20"/>
          <w:lang w:val="bg-BG"/>
        </w:rPr>
        <w:t>се</w:t>
      </w:r>
      <w:r w:rsidR="006D183F" w:rsidRPr="004D45D3">
        <w:rPr>
          <w:rFonts w:ascii="Arial" w:hAnsi="Arial" w:cs="Arial"/>
          <w:sz w:val="20"/>
          <w:lang w:val="bg-BG"/>
        </w:rPr>
        <w:t xml:space="preserve"> за достигане на този процент от фиксираната сума. </w:t>
      </w:r>
      <w:r w:rsidR="009A75C9">
        <w:rPr>
          <w:rFonts w:ascii="Arial" w:hAnsi="Arial" w:cs="Arial"/>
          <w:sz w:val="20"/>
          <w:lang w:val="bg-BG"/>
        </w:rPr>
        <w:t xml:space="preserve">Те </w:t>
      </w:r>
      <w:r w:rsidR="004C461D">
        <w:rPr>
          <w:rFonts w:ascii="Arial" w:hAnsi="Arial" w:cs="Arial"/>
          <w:sz w:val="20"/>
          <w:lang w:val="bg-BG"/>
        </w:rPr>
        <w:t xml:space="preserve">включват </w:t>
      </w:r>
      <w:r w:rsidR="009A75C9">
        <w:rPr>
          <w:rFonts w:ascii="Arial" w:hAnsi="Arial" w:cs="Arial"/>
          <w:sz w:val="20"/>
          <w:lang w:val="bg-BG"/>
        </w:rPr>
        <w:t>схеми за околна среда и климаа (</w:t>
      </w:r>
      <w:r w:rsidR="006D183F" w:rsidRPr="004D45D3">
        <w:rPr>
          <w:rFonts w:ascii="Arial" w:hAnsi="Arial" w:cs="Arial"/>
          <w:sz w:val="20"/>
          <w:lang w:val="bg-BG"/>
        </w:rPr>
        <w:t>еко-схеми</w:t>
      </w:r>
      <w:r w:rsidR="009A75C9">
        <w:rPr>
          <w:rFonts w:ascii="Arial" w:hAnsi="Arial" w:cs="Arial"/>
          <w:sz w:val="20"/>
          <w:lang w:val="bg-BG"/>
        </w:rPr>
        <w:t>)</w:t>
      </w:r>
      <w:r w:rsidR="004C461D">
        <w:rPr>
          <w:rFonts w:ascii="Arial" w:hAnsi="Arial" w:cs="Arial"/>
          <w:sz w:val="20"/>
          <w:lang w:val="bg-BG"/>
        </w:rPr>
        <w:t xml:space="preserve"> по стълб І</w:t>
      </w:r>
      <w:r w:rsidR="006D183F" w:rsidRPr="004D45D3">
        <w:rPr>
          <w:rFonts w:ascii="Arial" w:hAnsi="Arial" w:cs="Arial"/>
          <w:sz w:val="20"/>
          <w:lang w:val="bg-BG"/>
        </w:rPr>
        <w:t xml:space="preserve">, ангажименти за управление, допринасящи за околната среда и климата </w:t>
      </w:r>
      <w:r w:rsidR="004C461D">
        <w:rPr>
          <w:rFonts w:ascii="Arial" w:hAnsi="Arial" w:cs="Arial"/>
          <w:sz w:val="20"/>
          <w:lang w:val="bg-BG"/>
        </w:rPr>
        <w:t>по</w:t>
      </w:r>
      <w:r w:rsidR="006D183F" w:rsidRPr="004D45D3">
        <w:rPr>
          <w:rFonts w:ascii="Arial" w:hAnsi="Arial" w:cs="Arial"/>
          <w:sz w:val="20"/>
          <w:lang w:val="bg-BG"/>
        </w:rPr>
        <w:t xml:space="preserve"> стълб II, </w:t>
      </w:r>
      <w:r w:rsidR="006D183F" w:rsidRPr="004D45D3">
        <w:rPr>
          <w:rFonts w:ascii="Arial" w:hAnsi="Arial" w:cs="Arial"/>
          <w:sz w:val="20"/>
          <w:lang w:val="bg-BG"/>
        </w:rPr>
        <w:lastRenderedPageBreak/>
        <w:t xml:space="preserve">определен процент на финансиране за компенсиране на естествени или други специфични за района ограничения, инвестиции, консултантски услуги и трансфер на знания и сътрудничество, свързани с околна среда и </w:t>
      </w:r>
      <w:r w:rsidR="009A75C9">
        <w:rPr>
          <w:rFonts w:ascii="Arial" w:hAnsi="Arial" w:cs="Arial"/>
          <w:sz w:val="20"/>
          <w:lang w:val="bg-BG"/>
        </w:rPr>
        <w:t>климатични цели. Общият процент,</w:t>
      </w:r>
      <w:r w:rsidR="006D183F" w:rsidRPr="004D45D3">
        <w:rPr>
          <w:rFonts w:ascii="Arial" w:hAnsi="Arial" w:cs="Arial"/>
          <w:sz w:val="20"/>
          <w:lang w:val="bg-BG"/>
        </w:rPr>
        <w:t xml:space="preserve"> заместващ предложената 30% цел</w:t>
      </w:r>
      <w:r w:rsidR="009A75C9">
        <w:rPr>
          <w:rFonts w:ascii="Arial" w:hAnsi="Arial" w:cs="Arial"/>
          <w:sz w:val="20"/>
          <w:lang w:val="bg-BG"/>
        </w:rPr>
        <w:t>,</w:t>
      </w:r>
      <w:r w:rsidR="006D183F" w:rsidRPr="004D45D3">
        <w:rPr>
          <w:rFonts w:ascii="Arial" w:hAnsi="Arial" w:cs="Arial"/>
          <w:sz w:val="20"/>
          <w:lang w:val="bg-BG"/>
        </w:rPr>
        <w:t xml:space="preserve"> може да бъде определен по-късно, след решението за дългосрочния бюджет 2021-2027. Финландският министър на земеделието Яри Леппа приветства „принципно споразумението“ относно общия процент, като подчерта, че повече подробности ще бъдат обобщени на по-късен етап</w:t>
      </w:r>
      <w:r w:rsidR="009A75C9">
        <w:rPr>
          <w:rFonts w:ascii="Arial" w:hAnsi="Arial" w:cs="Arial"/>
          <w:sz w:val="20"/>
          <w:lang w:val="bg-BG"/>
        </w:rPr>
        <w:t>,</w:t>
      </w:r>
      <w:r w:rsidR="006D183F" w:rsidRPr="004D45D3">
        <w:rPr>
          <w:rFonts w:ascii="Arial" w:hAnsi="Arial" w:cs="Arial"/>
          <w:sz w:val="20"/>
          <w:lang w:val="bg-BG"/>
        </w:rPr>
        <w:t xml:space="preserve"> след решение</w:t>
      </w:r>
      <w:r w:rsidR="009A75C9">
        <w:rPr>
          <w:rFonts w:ascii="Arial" w:hAnsi="Arial" w:cs="Arial"/>
          <w:sz w:val="20"/>
          <w:lang w:val="bg-BG"/>
        </w:rPr>
        <w:t>то</w:t>
      </w:r>
      <w:r w:rsidR="006D183F" w:rsidRPr="004D45D3">
        <w:rPr>
          <w:rFonts w:ascii="Arial" w:hAnsi="Arial" w:cs="Arial"/>
          <w:sz w:val="20"/>
          <w:lang w:val="bg-BG"/>
        </w:rPr>
        <w:t xml:space="preserve"> на лидерите на ЕС относно многогодишната финансова рамка (МФР). На Съветa по селско стопанство в Брюксел министрите </w:t>
      </w:r>
      <w:r w:rsidR="009A75C9">
        <w:rPr>
          <w:rFonts w:ascii="Arial" w:hAnsi="Arial" w:cs="Arial"/>
          <w:sz w:val="20"/>
          <w:lang w:val="bg-BG"/>
        </w:rPr>
        <w:t>обсъдиха</w:t>
      </w:r>
      <w:r w:rsidR="006D183F" w:rsidRPr="004D45D3">
        <w:rPr>
          <w:rFonts w:ascii="Arial" w:hAnsi="Arial" w:cs="Arial"/>
          <w:sz w:val="20"/>
          <w:lang w:val="bg-BG"/>
        </w:rPr>
        <w:t xml:space="preserve"> </w:t>
      </w:r>
      <w:r w:rsidR="009A75C9" w:rsidRPr="00023623">
        <w:rPr>
          <w:rStyle w:val="tlid-translation"/>
          <w:rFonts w:ascii="Arial" w:hAnsi="Arial" w:cs="Arial"/>
          <w:noProof/>
          <w:sz w:val="20"/>
          <w:lang w:val="bg-BG"/>
        </w:rPr>
        <w:t>така наречения преходен пакет, включващ техническо предложение за актуализиране на правилата за финансова дисциплина и гъвкавост между стълбовете и преходните разпоредби за 2021 г. (изменение на законодателни актове).</w:t>
      </w:r>
      <w:r w:rsidR="009A75C9" w:rsidRPr="00CC1BDB">
        <w:rPr>
          <w:rStyle w:val="tlid-translation"/>
          <w:rFonts w:ascii="Arial" w:hAnsi="Arial" w:cs="Arial"/>
          <w:b/>
          <w:noProof/>
          <w:sz w:val="20"/>
          <w:lang w:val="bg-BG"/>
        </w:rPr>
        <w:t xml:space="preserve"> </w:t>
      </w:r>
      <w:r w:rsidR="009A75C9" w:rsidRPr="00023623">
        <w:rPr>
          <w:rStyle w:val="tlid-translation"/>
          <w:rFonts w:ascii="Arial" w:hAnsi="Arial" w:cs="Arial"/>
          <w:noProof/>
          <w:sz w:val="20"/>
          <w:lang w:val="bg-BG"/>
        </w:rPr>
        <w:t>Целта на този пакет е</w:t>
      </w:r>
      <w:r w:rsidR="009A75C9">
        <w:rPr>
          <w:rStyle w:val="tlid-translation"/>
          <w:rFonts w:ascii="Arial" w:hAnsi="Arial" w:cs="Arial"/>
          <w:noProof/>
          <w:sz w:val="20"/>
          <w:lang w:val="bg-BG"/>
        </w:rPr>
        <w:t xml:space="preserve"> да се </w:t>
      </w:r>
      <w:r w:rsidR="009A75C9" w:rsidRPr="00CC1BDB">
        <w:rPr>
          <w:rStyle w:val="tlid-translation"/>
          <w:rFonts w:ascii="Arial" w:hAnsi="Arial" w:cs="Arial"/>
          <w:noProof/>
          <w:sz w:val="20"/>
          <w:lang w:val="bg-BG"/>
        </w:rPr>
        <w:t>осигур</w:t>
      </w:r>
      <w:r w:rsidR="009A75C9">
        <w:rPr>
          <w:rStyle w:val="tlid-translation"/>
          <w:rFonts w:ascii="Arial" w:hAnsi="Arial" w:cs="Arial"/>
          <w:noProof/>
          <w:sz w:val="20"/>
          <w:lang w:val="bg-BG"/>
        </w:rPr>
        <w:t>и</w:t>
      </w:r>
      <w:r w:rsidR="009A75C9" w:rsidRPr="00CC1BDB">
        <w:rPr>
          <w:rStyle w:val="tlid-translation"/>
          <w:rFonts w:ascii="Arial" w:hAnsi="Arial" w:cs="Arial"/>
          <w:noProof/>
          <w:sz w:val="20"/>
          <w:lang w:val="bg-BG"/>
        </w:rPr>
        <w:t xml:space="preserve"> непрекъснатост на подкрепата по ОСП въз основа на действащите правила (само за една година) и плавен преход до въвеждането на стратегическите планове. </w:t>
      </w:r>
      <w:r w:rsidR="009A75C9">
        <w:rPr>
          <w:rStyle w:val="tlid-translation"/>
          <w:rFonts w:ascii="Arial" w:hAnsi="Arial" w:cs="Arial"/>
          <w:noProof/>
          <w:sz w:val="20"/>
          <w:lang w:val="bg-BG"/>
        </w:rPr>
        <w:t>Комисар Х</w:t>
      </w:r>
      <w:r w:rsidR="009A75C9" w:rsidRPr="00CC1BDB">
        <w:rPr>
          <w:rStyle w:val="tlid-translation"/>
          <w:rFonts w:ascii="Arial" w:hAnsi="Arial" w:cs="Arial"/>
          <w:noProof/>
          <w:sz w:val="20"/>
          <w:lang w:val="bg-BG"/>
        </w:rPr>
        <w:t>оган призова съзаконодателите да завършат процеса възможно най-бързо, като „основният“ преходен регламент трябва да бъде приет „за предпочитане до лятото на 2020 г.“. Някои ДЧ предложиха 2-годишен преходен период като „по-реалистичен вариант“, тъй като считат, че една година е „твърде кратко време“ за цялата административна подготовка и привежане в съответствие на системите с новата правна рамка. Комисар Хоган не подкрепи по-дълъг преход, заявявайки, че "така съществува риск да се намалят средствата в развитие на селските райони ... и в този случай държавите</w:t>
      </w:r>
      <w:r w:rsidR="009A75C9">
        <w:rPr>
          <w:rStyle w:val="tlid-translation"/>
          <w:rFonts w:ascii="Arial" w:hAnsi="Arial" w:cs="Arial"/>
          <w:noProof/>
          <w:sz w:val="20"/>
          <w:lang w:val="bg-BG"/>
        </w:rPr>
        <w:t xml:space="preserve"> </w:t>
      </w:r>
      <w:r w:rsidR="009A75C9" w:rsidRPr="00CC1BDB">
        <w:rPr>
          <w:rStyle w:val="tlid-translation"/>
          <w:rFonts w:ascii="Arial" w:hAnsi="Arial" w:cs="Arial"/>
          <w:noProof/>
          <w:sz w:val="20"/>
          <w:lang w:val="bg-BG"/>
        </w:rPr>
        <w:t xml:space="preserve">членки ще трябва да осигурят средства за запълване на празнината." </w:t>
      </w:r>
    </w:p>
    <w:p w:rsidR="006D183F" w:rsidRDefault="006D183F" w:rsidP="00CC1BDB">
      <w:pPr>
        <w:contextualSpacing/>
        <w:jc w:val="both"/>
        <w:rPr>
          <w:rStyle w:val="tlid-translation"/>
          <w:rFonts w:ascii="Arial" w:hAnsi="Arial" w:cs="Arial"/>
          <w:b/>
          <w:sz w:val="20"/>
          <w:lang w:val="en-US"/>
        </w:rPr>
      </w:pPr>
    </w:p>
    <w:p w:rsidR="006A094F" w:rsidRPr="00CC1BDB" w:rsidRDefault="006D183F" w:rsidP="00DA4860">
      <w:pPr>
        <w:contextualSpacing/>
        <w:jc w:val="both"/>
        <w:rPr>
          <w:rStyle w:val="tlid-translation"/>
          <w:rFonts w:ascii="Arial" w:hAnsi="Arial" w:cs="Arial"/>
          <w:sz w:val="20"/>
          <w:lang w:val="en-US"/>
        </w:rPr>
      </w:pPr>
      <w:r>
        <w:rPr>
          <w:rStyle w:val="tlid-translation"/>
          <w:rFonts w:ascii="Arial" w:hAnsi="Arial" w:cs="Arial"/>
          <w:b/>
          <w:sz w:val="20"/>
          <w:lang w:val="en-US"/>
        </w:rPr>
        <w:t xml:space="preserve">4. </w:t>
      </w:r>
      <w:r w:rsidR="00023623" w:rsidRPr="00023623">
        <w:rPr>
          <w:rStyle w:val="tlid-translation"/>
          <w:rFonts w:ascii="Arial" w:hAnsi="Arial" w:cs="Arial" w:hint="eastAsia"/>
          <w:b/>
          <w:sz w:val="20"/>
          <w:lang w:val="bg-BG"/>
        </w:rPr>
        <w:t>С</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обща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декларация</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по</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инициатива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на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България</w:t>
      </w:r>
      <w:r w:rsidR="006E41FE">
        <w:rPr>
          <w:rStyle w:val="tlid-translation"/>
          <w:rFonts w:ascii="Arial" w:hAnsi="Arial" w:cs="Arial"/>
          <w:b/>
          <w:sz w:val="20"/>
          <w:lang w:val="bg-BG"/>
        </w:rPr>
        <w:t xml:space="preserve">, </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подкрепена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от</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Кипър</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Чехия</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Унгария</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Полша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и</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Румъния</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Европейската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комисия</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беше</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призована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да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продължи</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прилагането</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на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преходната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национална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помощ</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като</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я</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включи</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в</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преходния</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пакет</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за</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ОСП</w:t>
      </w:r>
      <w:r w:rsidR="00023623" w:rsidRPr="00023623">
        <w:rPr>
          <w:rStyle w:val="tlid-translation"/>
          <w:rFonts w:ascii="Arial" w:hAnsi="Arial" w:cs="Arial"/>
          <w:b/>
          <w:sz w:val="20"/>
          <w:lang w:val="bg-BG"/>
        </w:rPr>
        <w:t xml:space="preserve"> (</w:t>
      </w:r>
      <w:r w:rsidR="00023623" w:rsidRPr="00023623">
        <w:rPr>
          <w:rStyle w:val="tlid-translation"/>
          <w:rFonts w:ascii="Arial" w:hAnsi="Arial" w:cs="Arial" w:hint="eastAsia"/>
          <w:b/>
          <w:sz w:val="20"/>
          <w:lang w:val="bg-BG"/>
        </w:rPr>
        <w:t>за</w:t>
      </w:r>
      <w:r w:rsidR="00023623" w:rsidRPr="00023623">
        <w:rPr>
          <w:rStyle w:val="tlid-translation"/>
          <w:rFonts w:ascii="Arial" w:hAnsi="Arial" w:cs="Arial"/>
          <w:b/>
          <w:sz w:val="20"/>
          <w:lang w:val="bg-BG"/>
        </w:rPr>
        <w:t xml:space="preserve"> 2021 </w:t>
      </w:r>
      <w:r w:rsidR="00023623" w:rsidRPr="00023623">
        <w:rPr>
          <w:rStyle w:val="tlid-translation"/>
          <w:rFonts w:ascii="Arial" w:hAnsi="Arial" w:cs="Arial" w:hint="eastAsia"/>
          <w:b/>
          <w:sz w:val="20"/>
          <w:lang w:val="bg-BG"/>
        </w:rPr>
        <w:t>г</w:t>
      </w:r>
      <w:r w:rsidR="00023623" w:rsidRPr="00023623">
        <w:rPr>
          <w:rStyle w:val="tlid-translation"/>
          <w:rFonts w:ascii="Arial" w:hAnsi="Arial" w:cs="Arial"/>
          <w:b/>
          <w:sz w:val="20"/>
          <w:lang w:val="bg-BG"/>
        </w:rPr>
        <w:t xml:space="preserve">.). </w:t>
      </w:r>
      <w:r w:rsidR="00023623" w:rsidRPr="00CC1BDB">
        <w:rPr>
          <w:rStyle w:val="tlid-translation"/>
          <w:rFonts w:ascii="Arial" w:hAnsi="Arial" w:cs="Arial"/>
          <w:noProof/>
          <w:sz w:val="20"/>
          <w:lang w:val="bg-BG"/>
        </w:rPr>
        <w:t xml:space="preserve">С декларацията, включена в протокола </w:t>
      </w:r>
      <w:r w:rsidR="00C545FD">
        <w:rPr>
          <w:rStyle w:val="tlid-translation"/>
          <w:rFonts w:ascii="Arial" w:hAnsi="Arial" w:cs="Arial"/>
          <w:noProof/>
          <w:sz w:val="20"/>
          <w:lang w:val="bg-BG"/>
        </w:rPr>
        <w:t xml:space="preserve">на </w:t>
      </w:r>
      <w:r w:rsidR="00023623" w:rsidRPr="00CC1BDB">
        <w:rPr>
          <w:rStyle w:val="tlid-translation"/>
          <w:rFonts w:ascii="Arial" w:hAnsi="Arial" w:cs="Arial"/>
          <w:noProof/>
          <w:sz w:val="20"/>
          <w:lang w:val="bg-BG"/>
        </w:rPr>
        <w:t xml:space="preserve">заседанието на Съвета на министрите, шестте държави-членки </w:t>
      </w:r>
      <w:r w:rsidR="00023623">
        <w:rPr>
          <w:rStyle w:val="tlid-translation"/>
          <w:rFonts w:ascii="Arial" w:hAnsi="Arial" w:cs="Arial"/>
          <w:noProof/>
          <w:sz w:val="20"/>
          <w:lang w:val="bg-BG"/>
        </w:rPr>
        <w:t xml:space="preserve">заявиха, че </w:t>
      </w:r>
      <w:r w:rsidR="00023623" w:rsidRPr="00CC1BDB">
        <w:rPr>
          <w:rStyle w:val="tlid-translation"/>
          <w:rFonts w:ascii="Arial" w:hAnsi="Arial" w:cs="Arial"/>
          <w:noProof/>
          <w:sz w:val="20"/>
          <w:lang w:val="bg-BG"/>
        </w:rPr>
        <w:t>не приемат приключването на тези допълнителни плащания, идващи от националните бюджети, тъй като средствата са „неутрални по отношение на бюджета за ЕС.“ Предложените преходни разпоредби „с</w:t>
      </w:r>
      <w:r w:rsidR="00C545FD">
        <w:rPr>
          <w:rStyle w:val="tlid-translation"/>
          <w:rFonts w:ascii="Arial" w:hAnsi="Arial" w:cs="Arial"/>
          <w:noProof/>
          <w:sz w:val="20"/>
          <w:lang w:val="bg-BG"/>
        </w:rPr>
        <w:t>е</w:t>
      </w:r>
      <w:r w:rsidR="00023623" w:rsidRPr="00CC1BDB">
        <w:rPr>
          <w:rStyle w:val="tlid-translation"/>
          <w:rFonts w:ascii="Arial" w:hAnsi="Arial" w:cs="Arial"/>
          <w:noProof/>
          <w:sz w:val="20"/>
          <w:lang w:val="bg-BG"/>
        </w:rPr>
        <w:t xml:space="preserve"> основа</w:t>
      </w:r>
      <w:r w:rsidR="00C545FD">
        <w:rPr>
          <w:rStyle w:val="tlid-translation"/>
          <w:rFonts w:ascii="Arial" w:hAnsi="Arial" w:cs="Arial"/>
          <w:noProof/>
          <w:sz w:val="20"/>
          <w:lang w:val="bg-BG"/>
        </w:rPr>
        <w:t>ват</w:t>
      </w:r>
      <w:r w:rsidR="00023623" w:rsidRPr="00CC1BDB">
        <w:rPr>
          <w:rStyle w:val="tlid-translation"/>
          <w:rFonts w:ascii="Arial" w:hAnsi="Arial" w:cs="Arial"/>
          <w:noProof/>
          <w:sz w:val="20"/>
          <w:lang w:val="bg-BG"/>
        </w:rPr>
        <w:t xml:space="preserve"> на съществуващите приложими правила и схеми “ и е</w:t>
      </w:r>
      <w:r w:rsidR="00023623">
        <w:rPr>
          <w:rStyle w:val="tlid-translation"/>
          <w:rFonts w:ascii="Arial" w:hAnsi="Arial" w:cs="Arial"/>
          <w:noProof/>
          <w:sz w:val="20"/>
          <w:lang w:val="bg-BG"/>
        </w:rPr>
        <w:t xml:space="preserve"> </w:t>
      </w:r>
      <w:r w:rsidR="00023623" w:rsidRPr="00CC1BDB">
        <w:rPr>
          <w:rStyle w:val="tlid-translation"/>
          <w:rFonts w:ascii="Arial" w:hAnsi="Arial" w:cs="Arial"/>
          <w:noProof/>
          <w:sz w:val="20"/>
          <w:lang w:val="bg-BG"/>
        </w:rPr>
        <w:t xml:space="preserve">логично  </w:t>
      </w:r>
      <w:r w:rsidR="00023623">
        <w:rPr>
          <w:rStyle w:val="tlid-translation"/>
          <w:rFonts w:ascii="Arial" w:hAnsi="Arial" w:cs="Arial"/>
          <w:noProof/>
          <w:sz w:val="20"/>
          <w:lang w:val="bg-BG"/>
        </w:rPr>
        <w:t>преходната</w:t>
      </w:r>
      <w:r w:rsidR="00C545FD">
        <w:rPr>
          <w:rStyle w:val="tlid-translation"/>
          <w:rFonts w:ascii="Arial" w:hAnsi="Arial" w:cs="Arial"/>
          <w:noProof/>
          <w:sz w:val="20"/>
          <w:lang w:val="bg-BG"/>
        </w:rPr>
        <w:t xml:space="preserve"> национална помощ също</w:t>
      </w:r>
      <w:r w:rsidR="00023623" w:rsidRPr="00CC1BDB">
        <w:rPr>
          <w:rStyle w:val="tlid-translation"/>
          <w:rFonts w:ascii="Arial" w:hAnsi="Arial" w:cs="Arial"/>
          <w:noProof/>
          <w:sz w:val="20"/>
          <w:lang w:val="bg-BG"/>
        </w:rPr>
        <w:t xml:space="preserve"> </w:t>
      </w:r>
      <w:r w:rsidR="00023623">
        <w:rPr>
          <w:rStyle w:val="tlid-translation"/>
          <w:rFonts w:ascii="Arial" w:hAnsi="Arial" w:cs="Arial"/>
          <w:noProof/>
          <w:sz w:val="20"/>
          <w:lang w:val="bg-BG"/>
        </w:rPr>
        <w:t>да бъде включена, защото е</w:t>
      </w:r>
      <w:r w:rsidR="00023623" w:rsidRPr="00CC1BDB">
        <w:rPr>
          <w:rStyle w:val="tlid-translation"/>
          <w:rFonts w:ascii="Arial" w:hAnsi="Arial" w:cs="Arial"/>
          <w:noProof/>
          <w:sz w:val="20"/>
          <w:lang w:val="bg-BG"/>
        </w:rPr>
        <w:t xml:space="preserve"> „част от съществуващата правна рамка“. Продължаването на преходната национална помощ на същото ниво от 2020 г.“ ще даде сигурност и приемственост на засегнатите земеделски стопани</w:t>
      </w:r>
      <w:r w:rsidR="00023623">
        <w:rPr>
          <w:rStyle w:val="tlid-translation"/>
          <w:rFonts w:ascii="Arial" w:hAnsi="Arial" w:cs="Arial"/>
          <w:noProof/>
          <w:sz w:val="20"/>
          <w:lang w:val="bg-BG"/>
        </w:rPr>
        <w:t xml:space="preserve"> </w:t>
      </w:r>
      <w:r w:rsidR="00023623" w:rsidRPr="00CC1BDB">
        <w:rPr>
          <w:rStyle w:val="tlid-translation"/>
          <w:rFonts w:ascii="Arial" w:hAnsi="Arial" w:cs="Arial"/>
          <w:noProof/>
          <w:sz w:val="20"/>
          <w:lang w:val="bg-BG"/>
        </w:rPr>
        <w:t>и ще се избегне внезапно и съществено намаляване на подкрепата. „Споразумението за реформа на ОСП остава приоритет и изключването на преходната национална помощ от преходните правила би засегнало дискусията по този въпрос в рамките на Реформата на ОСП</w:t>
      </w:r>
      <w:r w:rsidR="00C545FD">
        <w:rPr>
          <w:rStyle w:val="tlid-translation"/>
          <w:rFonts w:ascii="Arial" w:hAnsi="Arial" w:cs="Arial"/>
          <w:noProof/>
          <w:sz w:val="20"/>
          <w:lang w:val="bg-BG"/>
        </w:rPr>
        <w:t>“</w:t>
      </w:r>
      <w:r w:rsidR="00023623" w:rsidRPr="00CC1BDB">
        <w:rPr>
          <w:rStyle w:val="tlid-translation"/>
          <w:rFonts w:ascii="Arial" w:hAnsi="Arial" w:cs="Arial"/>
          <w:noProof/>
          <w:sz w:val="20"/>
          <w:lang w:val="bg-BG"/>
        </w:rPr>
        <w:t xml:space="preserve">. Комисарят по земеделие Фил Хоган заяви, че „няма предложение за удължаване на преходната национална помощ, тъй като инструментът е създаден да </w:t>
      </w:r>
      <w:r w:rsidR="00023623">
        <w:rPr>
          <w:rStyle w:val="tlid-translation"/>
          <w:rFonts w:ascii="Arial" w:hAnsi="Arial" w:cs="Arial"/>
          <w:noProof/>
          <w:sz w:val="20"/>
          <w:lang w:val="bg-BG"/>
        </w:rPr>
        <w:t>работи</w:t>
      </w:r>
      <w:r w:rsidR="00023623" w:rsidRPr="00CC1BDB">
        <w:rPr>
          <w:rStyle w:val="tlid-translation"/>
          <w:rFonts w:ascii="Arial" w:hAnsi="Arial" w:cs="Arial"/>
          <w:noProof/>
          <w:sz w:val="20"/>
          <w:lang w:val="bg-BG"/>
        </w:rPr>
        <w:t xml:space="preserve"> до 2020 г. и няма планове за удължаването му след 2020 г.“.</w:t>
      </w:r>
      <w:r w:rsidR="00023623">
        <w:rPr>
          <w:rStyle w:val="tlid-translation"/>
          <w:rFonts w:ascii="Arial" w:hAnsi="Arial" w:cs="Arial"/>
          <w:noProof/>
          <w:sz w:val="20"/>
          <w:lang w:val="bg-BG"/>
        </w:rPr>
        <w:t xml:space="preserve"> </w:t>
      </w:r>
    </w:p>
    <w:p w:rsidR="00DC5A8E" w:rsidRPr="001777B2" w:rsidRDefault="00186654" w:rsidP="00DA4860">
      <w:pPr>
        <w:contextualSpacing/>
        <w:jc w:val="both"/>
        <w:rPr>
          <w:rFonts w:ascii="Arial" w:hAnsi="Arial" w:cs="Arial"/>
          <w:color w:val="000000"/>
          <w:sz w:val="20"/>
        </w:rPr>
      </w:pPr>
      <w:r w:rsidRPr="00186654">
        <w:rPr>
          <w:rStyle w:val="tlid-translation"/>
          <w:rFonts w:ascii="Arial" w:hAnsi="Arial" w:cs="Arial"/>
          <w:b/>
          <w:sz w:val="20"/>
          <w:lang w:val="bg-BG"/>
        </w:rPr>
        <w:t xml:space="preserve"> </w:t>
      </w:r>
    </w:p>
    <w:tbl>
      <w:tblPr>
        <w:tblW w:w="10159" w:type="dxa"/>
        <w:tblInd w:w="108" w:type="dxa"/>
        <w:tblLook w:val="01E0"/>
      </w:tblPr>
      <w:tblGrid>
        <w:gridCol w:w="9923"/>
        <w:gridCol w:w="236"/>
      </w:tblGrid>
      <w:tr w:rsidR="00403CB9" w:rsidRPr="00CE5E69" w:rsidTr="00DF42CC">
        <w:tc>
          <w:tcPr>
            <w:tcW w:w="9923" w:type="dxa"/>
            <w:shd w:val="clear" w:color="auto" w:fill="C0C0C0"/>
            <w:hideMark/>
          </w:tcPr>
          <w:p w:rsidR="00403CB9" w:rsidRPr="00CE5E69" w:rsidRDefault="00403CB9" w:rsidP="00DF42CC">
            <w:pPr>
              <w:jc w:val="both"/>
              <w:rPr>
                <w:rStyle w:val="longtext"/>
                <w:rFonts w:ascii="Arial" w:hAnsi="Arial" w:cs="Arial"/>
                <w:i/>
                <w:sz w:val="20"/>
                <w:lang w:val="bg-BG"/>
              </w:rPr>
            </w:pPr>
            <w:r w:rsidRPr="00CE5E69">
              <w:rPr>
                <w:rStyle w:val="longtext"/>
                <w:rFonts w:ascii="Arial" w:hAnsi="Arial" w:cs="Arial"/>
                <w:i/>
                <w:sz w:val="20"/>
                <w:lang w:val="bg-BG"/>
              </w:rPr>
              <w:t>Още от ЕС и света</w:t>
            </w:r>
          </w:p>
        </w:tc>
        <w:tc>
          <w:tcPr>
            <w:tcW w:w="236" w:type="dxa"/>
          </w:tcPr>
          <w:p w:rsidR="00403CB9" w:rsidRPr="00CE5E69" w:rsidRDefault="00403CB9" w:rsidP="00DF42CC">
            <w:pPr>
              <w:jc w:val="both"/>
              <w:rPr>
                <w:rStyle w:val="longtext"/>
                <w:rFonts w:ascii="Arial" w:hAnsi="Arial" w:cs="Arial"/>
                <w:sz w:val="20"/>
                <w:lang w:val="bg-BG"/>
              </w:rPr>
            </w:pPr>
          </w:p>
        </w:tc>
      </w:tr>
    </w:tbl>
    <w:p w:rsidR="00403CB9" w:rsidRPr="00CE5E69" w:rsidRDefault="00403CB9" w:rsidP="00403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sz w:val="20"/>
          <w:lang w:val="bg-BG"/>
        </w:rPr>
      </w:pPr>
    </w:p>
    <w:p w:rsidR="00A917FB" w:rsidRDefault="006E41FE" w:rsidP="003A2FF8">
      <w:pPr>
        <w:pStyle w:val="Default"/>
        <w:jc w:val="both"/>
        <w:rPr>
          <w:sz w:val="20"/>
          <w:szCs w:val="20"/>
          <w:lang w:val="bg-BG"/>
        </w:rPr>
      </w:pPr>
      <w:r>
        <w:rPr>
          <w:rStyle w:val="longtext"/>
          <w:b/>
          <w:sz w:val="20"/>
          <w:lang w:val="bg-BG"/>
        </w:rPr>
        <w:t>5</w:t>
      </w:r>
      <w:r w:rsidR="00B90317">
        <w:rPr>
          <w:rStyle w:val="longtext"/>
          <w:b/>
          <w:sz w:val="20"/>
        </w:rPr>
        <w:t xml:space="preserve">. </w:t>
      </w:r>
      <w:r w:rsidR="00C81225" w:rsidRPr="00A917FB">
        <w:rPr>
          <w:rStyle w:val="longtext"/>
          <w:b/>
          <w:sz w:val="20"/>
          <w:szCs w:val="20"/>
          <w:lang w:val="bg-BG"/>
        </w:rPr>
        <w:t>Нов доклад на Европейската сметна палата</w:t>
      </w:r>
      <w:r w:rsidR="003A2FF8" w:rsidRPr="00A917FB">
        <w:rPr>
          <w:rStyle w:val="longtext"/>
          <w:b/>
          <w:sz w:val="20"/>
          <w:szCs w:val="20"/>
          <w:lang w:val="bg-BG"/>
        </w:rPr>
        <w:t xml:space="preserve"> (ЕСП) </w:t>
      </w:r>
      <w:r w:rsidR="00C81225" w:rsidRPr="00A917FB">
        <w:rPr>
          <w:rStyle w:val="longtext"/>
          <w:b/>
          <w:sz w:val="20"/>
          <w:szCs w:val="20"/>
          <w:lang w:val="bg-BG"/>
        </w:rPr>
        <w:t xml:space="preserve">заключава, че данните за емисиите на парникови газове в ЕС се докладват съгласно международните изисквания, а инвентаризациите на емисиите са се подобрили с времето. </w:t>
      </w:r>
      <w:r w:rsidR="003A2FF8" w:rsidRPr="00A917FB">
        <w:rPr>
          <w:rStyle w:val="longtext"/>
          <w:sz w:val="20"/>
          <w:szCs w:val="20"/>
          <w:lang w:val="bg-BG"/>
        </w:rPr>
        <w:t>Специал</w:t>
      </w:r>
      <w:r w:rsidR="00360A0D">
        <w:rPr>
          <w:rStyle w:val="longtext"/>
          <w:sz w:val="20"/>
          <w:szCs w:val="20"/>
          <w:lang w:val="bg-BG"/>
        </w:rPr>
        <w:t>е</w:t>
      </w:r>
      <w:r w:rsidR="003A2FF8" w:rsidRPr="00A917FB">
        <w:rPr>
          <w:rStyle w:val="longtext"/>
          <w:sz w:val="20"/>
          <w:szCs w:val="20"/>
          <w:lang w:val="bg-BG"/>
        </w:rPr>
        <w:t>н</w:t>
      </w:r>
      <w:r w:rsidR="00360A0D">
        <w:rPr>
          <w:rStyle w:val="longtext"/>
          <w:sz w:val="20"/>
          <w:szCs w:val="20"/>
          <w:lang w:val="bg-BG"/>
        </w:rPr>
        <w:t xml:space="preserve"> доклад </w:t>
      </w:r>
      <w:r w:rsidR="00A917FB" w:rsidRPr="00A917FB">
        <w:rPr>
          <w:rStyle w:val="longtext"/>
          <w:sz w:val="20"/>
          <w:szCs w:val="20"/>
          <w:lang w:val="bg-BG"/>
        </w:rPr>
        <w:t xml:space="preserve">18/2019 </w:t>
      </w:r>
      <w:r w:rsidR="003A2FF8" w:rsidRPr="00A917FB">
        <w:rPr>
          <w:rStyle w:val="longtext"/>
          <w:sz w:val="20"/>
          <w:szCs w:val="20"/>
          <w:lang w:val="bg-BG"/>
        </w:rPr>
        <w:t xml:space="preserve">е озаглавен „Емисии на парникови газове в ЕС – докладването на емисиите е добро, но е необходима по-качествена информация за бъдещото им намаляване“ </w:t>
      </w:r>
      <w:r w:rsidR="00A917FB" w:rsidRPr="00A917FB">
        <w:rPr>
          <w:rStyle w:val="longtext"/>
          <w:sz w:val="20"/>
          <w:szCs w:val="20"/>
          <w:lang w:val="bg-BG"/>
        </w:rPr>
        <w:t xml:space="preserve">и е публикуван на 20 ноември 2019 г. </w:t>
      </w:r>
      <w:r w:rsidR="001048A8">
        <w:rPr>
          <w:rStyle w:val="longtext"/>
          <w:sz w:val="20"/>
          <w:szCs w:val="20"/>
          <w:lang w:val="bg-BG"/>
        </w:rPr>
        <w:t xml:space="preserve">на страницата на ЕСП: </w:t>
      </w:r>
      <w:hyperlink r:id="rId7" w:history="1">
        <w:r w:rsidR="001048A8" w:rsidRPr="00FA46B2">
          <w:rPr>
            <w:rStyle w:val="a7"/>
            <w:sz w:val="20"/>
            <w:szCs w:val="20"/>
          </w:rPr>
          <w:t>https://www.eca.europa.eu/en/Pages/DocItem.aspx?did=51834</w:t>
        </w:r>
      </w:hyperlink>
      <w:r w:rsidR="001048A8">
        <w:rPr>
          <w:rStyle w:val="longtext"/>
          <w:sz w:val="20"/>
          <w:szCs w:val="20"/>
          <w:lang w:val="bg-BG"/>
        </w:rPr>
        <w:t xml:space="preserve"> </w:t>
      </w:r>
      <w:r w:rsidR="00C81225" w:rsidRPr="00A917FB">
        <w:rPr>
          <w:rStyle w:val="longtext"/>
          <w:sz w:val="20"/>
          <w:szCs w:val="20"/>
          <w:lang w:val="bg-BG"/>
        </w:rPr>
        <w:t>Необходима е обаче по-качествена информация за конкретни сектори като земеделието и горското стопанство, заявяват одиторите. Според тях са необходими и още усилия за подобряване на докладването относно това как политиките на ЕС и националните политики допринасят за постигането на целите за намаляване на емисиите за 2020 г., 2030 г. и 2050 г. ЕС участва в глобалните усилия за намаляване на емисиите на парникови газове и е поставил за цел да намали емисиите си с 20% до 2020 г., с 40 % до 2030 г. и с 80 – 95 % до 2050 г. За да могат да наблюдават напредъка към постигането на тези цели, ЕС</w:t>
      </w:r>
      <w:r w:rsidR="00102353" w:rsidRPr="00A917FB">
        <w:rPr>
          <w:rStyle w:val="longtext"/>
          <w:sz w:val="20"/>
          <w:szCs w:val="20"/>
          <w:lang w:val="bg-BG"/>
        </w:rPr>
        <w:t xml:space="preserve"> </w:t>
      </w:r>
      <w:r w:rsidR="00C81225" w:rsidRPr="00A917FB">
        <w:rPr>
          <w:rStyle w:val="longtext"/>
          <w:sz w:val="20"/>
          <w:szCs w:val="20"/>
          <w:lang w:val="bg-BG"/>
        </w:rPr>
        <w:t>и</w:t>
      </w:r>
      <w:r w:rsidR="00102353" w:rsidRPr="00A917FB">
        <w:rPr>
          <w:rStyle w:val="longtext"/>
          <w:sz w:val="20"/>
          <w:szCs w:val="20"/>
          <w:lang w:val="bg-BG"/>
        </w:rPr>
        <w:t xml:space="preserve"> </w:t>
      </w:r>
      <w:r w:rsidR="00C81225" w:rsidRPr="00A917FB">
        <w:rPr>
          <w:rStyle w:val="longtext"/>
          <w:sz w:val="20"/>
          <w:szCs w:val="20"/>
          <w:lang w:val="bg-BG"/>
        </w:rPr>
        <w:t>държавите</w:t>
      </w:r>
      <w:r w:rsidR="00102353" w:rsidRPr="00A917FB">
        <w:rPr>
          <w:rStyle w:val="longtext"/>
          <w:sz w:val="20"/>
          <w:szCs w:val="20"/>
          <w:lang w:val="bg-BG"/>
        </w:rPr>
        <w:t xml:space="preserve"> </w:t>
      </w:r>
      <w:r w:rsidR="00C81225" w:rsidRPr="00A917FB">
        <w:rPr>
          <w:rStyle w:val="longtext"/>
          <w:sz w:val="20"/>
          <w:szCs w:val="20"/>
          <w:lang w:val="bg-BG"/>
        </w:rPr>
        <w:t>членки докладват ежегодно данни от своите инвентаризации на парникови газове. Те изготвят</w:t>
      </w:r>
      <w:r w:rsidR="00102353" w:rsidRPr="00A917FB">
        <w:rPr>
          <w:rStyle w:val="longtext"/>
          <w:sz w:val="20"/>
          <w:szCs w:val="20"/>
          <w:lang w:val="bg-BG"/>
        </w:rPr>
        <w:t xml:space="preserve"> </w:t>
      </w:r>
      <w:r w:rsidR="00C81225" w:rsidRPr="00A917FB">
        <w:rPr>
          <w:rStyle w:val="longtext"/>
          <w:sz w:val="20"/>
          <w:szCs w:val="20"/>
          <w:lang w:val="bg-BG"/>
        </w:rPr>
        <w:t>и</w:t>
      </w:r>
      <w:r w:rsidR="00102353" w:rsidRPr="00A917FB">
        <w:rPr>
          <w:rStyle w:val="longtext"/>
          <w:sz w:val="20"/>
          <w:szCs w:val="20"/>
          <w:lang w:val="bg-BG"/>
        </w:rPr>
        <w:t xml:space="preserve"> </w:t>
      </w:r>
      <w:r w:rsidR="00C81225" w:rsidRPr="00A917FB">
        <w:rPr>
          <w:rStyle w:val="longtext"/>
          <w:sz w:val="20"/>
          <w:szCs w:val="20"/>
          <w:lang w:val="bg-BG"/>
        </w:rPr>
        <w:t>прогнози, които се използват за оценка на бъдещия напредък</w:t>
      </w:r>
      <w:r w:rsidR="003A2FF8" w:rsidRPr="00A917FB">
        <w:rPr>
          <w:rStyle w:val="longtext"/>
          <w:sz w:val="20"/>
          <w:szCs w:val="20"/>
          <w:lang w:val="bg-BG"/>
        </w:rPr>
        <w:t xml:space="preserve"> </w:t>
      </w:r>
      <w:r w:rsidR="00C81225" w:rsidRPr="00A917FB">
        <w:rPr>
          <w:rStyle w:val="longtext"/>
          <w:sz w:val="20"/>
          <w:szCs w:val="20"/>
          <w:lang w:val="bg-BG"/>
        </w:rPr>
        <w:t>в</w:t>
      </w:r>
      <w:r w:rsidR="003A2FF8" w:rsidRPr="00A917FB">
        <w:rPr>
          <w:rStyle w:val="longtext"/>
          <w:sz w:val="20"/>
          <w:szCs w:val="20"/>
          <w:lang w:val="bg-BG"/>
        </w:rPr>
        <w:t xml:space="preserve"> </w:t>
      </w:r>
      <w:r w:rsidR="00C81225" w:rsidRPr="00A917FB">
        <w:rPr>
          <w:rStyle w:val="longtext"/>
          <w:sz w:val="20"/>
          <w:szCs w:val="20"/>
          <w:lang w:val="bg-BG"/>
        </w:rPr>
        <w:t>намаляването</w:t>
      </w:r>
      <w:r w:rsidR="003A2FF8" w:rsidRPr="00A917FB">
        <w:rPr>
          <w:rStyle w:val="longtext"/>
          <w:sz w:val="20"/>
          <w:szCs w:val="20"/>
          <w:lang w:val="bg-BG"/>
        </w:rPr>
        <w:t xml:space="preserve"> </w:t>
      </w:r>
      <w:r w:rsidR="00C81225" w:rsidRPr="00A917FB">
        <w:rPr>
          <w:rStyle w:val="longtext"/>
          <w:sz w:val="20"/>
          <w:szCs w:val="20"/>
          <w:lang w:val="bg-BG"/>
        </w:rPr>
        <w:t>на емисиите</w:t>
      </w:r>
      <w:r w:rsidR="003A2FF8" w:rsidRPr="00A917FB">
        <w:rPr>
          <w:rStyle w:val="longtext"/>
          <w:sz w:val="20"/>
          <w:szCs w:val="20"/>
          <w:lang w:val="bg-BG"/>
        </w:rPr>
        <w:t xml:space="preserve"> </w:t>
      </w:r>
      <w:r w:rsidR="00C81225" w:rsidRPr="00A917FB">
        <w:rPr>
          <w:rStyle w:val="longtext"/>
          <w:sz w:val="20"/>
          <w:szCs w:val="20"/>
          <w:lang w:val="bg-BG"/>
        </w:rPr>
        <w:t>и</w:t>
      </w:r>
      <w:r w:rsidR="003A2FF8" w:rsidRPr="00A917FB">
        <w:rPr>
          <w:rStyle w:val="longtext"/>
          <w:sz w:val="20"/>
          <w:szCs w:val="20"/>
          <w:lang w:val="bg-BG"/>
        </w:rPr>
        <w:t xml:space="preserve"> </w:t>
      </w:r>
      <w:r w:rsidR="00C81225" w:rsidRPr="00A917FB">
        <w:rPr>
          <w:rStyle w:val="longtext"/>
          <w:sz w:val="20"/>
          <w:szCs w:val="20"/>
          <w:lang w:val="bg-BG"/>
        </w:rPr>
        <w:t>за</w:t>
      </w:r>
      <w:r w:rsidR="003A2FF8" w:rsidRPr="00A917FB">
        <w:rPr>
          <w:rStyle w:val="longtext"/>
          <w:sz w:val="20"/>
          <w:szCs w:val="20"/>
          <w:lang w:val="bg-BG"/>
        </w:rPr>
        <w:t xml:space="preserve"> </w:t>
      </w:r>
      <w:r w:rsidR="00C81225" w:rsidRPr="00A917FB">
        <w:rPr>
          <w:rStyle w:val="longtext"/>
          <w:sz w:val="20"/>
          <w:szCs w:val="20"/>
          <w:lang w:val="bg-BG"/>
        </w:rPr>
        <w:t>индикация дали политиките</w:t>
      </w:r>
      <w:r w:rsidR="003A2FF8" w:rsidRPr="00A917FB">
        <w:rPr>
          <w:rStyle w:val="longtext"/>
          <w:sz w:val="20"/>
          <w:szCs w:val="20"/>
          <w:lang w:val="bg-BG"/>
        </w:rPr>
        <w:t xml:space="preserve"> </w:t>
      </w:r>
      <w:r w:rsidR="00C81225" w:rsidRPr="00A917FB">
        <w:rPr>
          <w:rStyle w:val="longtext"/>
          <w:sz w:val="20"/>
          <w:szCs w:val="20"/>
          <w:lang w:val="bg-BG"/>
        </w:rPr>
        <w:t>и</w:t>
      </w:r>
      <w:r w:rsidR="003A2FF8" w:rsidRPr="00A917FB">
        <w:rPr>
          <w:rStyle w:val="longtext"/>
          <w:sz w:val="20"/>
          <w:szCs w:val="20"/>
          <w:lang w:val="bg-BG"/>
        </w:rPr>
        <w:t xml:space="preserve"> </w:t>
      </w:r>
      <w:r w:rsidR="00C81225" w:rsidRPr="00A917FB">
        <w:rPr>
          <w:rStyle w:val="longtext"/>
          <w:sz w:val="20"/>
          <w:szCs w:val="20"/>
          <w:lang w:val="bg-BG"/>
        </w:rPr>
        <w:t xml:space="preserve">мерките, насочени към това, ще бъдат </w:t>
      </w:r>
      <w:r w:rsidR="003A2FF8" w:rsidRPr="00A917FB">
        <w:rPr>
          <w:rStyle w:val="longtext"/>
          <w:sz w:val="20"/>
          <w:szCs w:val="20"/>
          <w:lang w:val="bg-BG"/>
        </w:rPr>
        <w:t xml:space="preserve"> </w:t>
      </w:r>
      <w:r w:rsidR="00C81225" w:rsidRPr="00A917FB">
        <w:rPr>
          <w:rStyle w:val="longtext"/>
          <w:sz w:val="20"/>
          <w:szCs w:val="20"/>
          <w:lang w:val="bg-BG"/>
        </w:rPr>
        <w:t>ефективни. Одиторите разгледаха дали Европейската комисия, подпомагана от Европейската агенция за околната среда, извършва необходимите проверки на качеството на инвентаризациите на емисиите на парникови газове</w:t>
      </w:r>
      <w:r w:rsidR="003A2FF8" w:rsidRPr="00A917FB">
        <w:rPr>
          <w:rStyle w:val="longtext"/>
          <w:sz w:val="20"/>
          <w:szCs w:val="20"/>
          <w:lang w:val="bg-BG"/>
        </w:rPr>
        <w:t xml:space="preserve"> </w:t>
      </w:r>
      <w:r w:rsidR="00C81225" w:rsidRPr="00A917FB">
        <w:rPr>
          <w:rStyle w:val="longtext"/>
          <w:sz w:val="20"/>
          <w:szCs w:val="20"/>
          <w:lang w:val="bg-BG"/>
        </w:rPr>
        <w:t>в</w:t>
      </w:r>
      <w:r w:rsidR="003A2FF8" w:rsidRPr="00A917FB">
        <w:rPr>
          <w:rStyle w:val="longtext"/>
          <w:sz w:val="20"/>
          <w:szCs w:val="20"/>
          <w:lang w:val="bg-BG"/>
        </w:rPr>
        <w:t xml:space="preserve"> </w:t>
      </w:r>
      <w:r w:rsidR="00C81225" w:rsidRPr="00A917FB">
        <w:rPr>
          <w:rStyle w:val="longtext"/>
          <w:sz w:val="20"/>
          <w:szCs w:val="20"/>
          <w:lang w:val="bg-BG"/>
        </w:rPr>
        <w:t>ЕС и</w:t>
      </w:r>
      <w:r w:rsidR="003A2FF8" w:rsidRPr="00A917FB">
        <w:rPr>
          <w:rStyle w:val="longtext"/>
          <w:sz w:val="20"/>
          <w:szCs w:val="20"/>
          <w:lang w:val="bg-BG"/>
        </w:rPr>
        <w:t xml:space="preserve"> </w:t>
      </w:r>
      <w:r w:rsidR="00C81225" w:rsidRPr="00A917FB">
        <w:rPr>
          <w:rStyle w:val="longtext"/>
          <w:sz w:val="20"/>
          <w:szCs w:val="20"/>
          <w:lang w:val="bg-BG"/>
        </w:rPr>
        <w:t>на</w:t>
      </w:r>
      <w:r w:rsidR="003A2FF8" w:rsidRPr="00A917FB">
        <w:rPr>
          <w:rStyle w:val="longtext"/>
          <w:sz w:val="20"/>
          <w:szCs w:val="20"/>
          <w:lang w:val="bg-BG"/>
        </w:rPr>
        <w:t xml:space="preserve"> </w:t>
      </w:r>
      <w:r w:rsidR="00C81225" w:rsidRPr="00A917FB">
        <w:rPr>
          <w:rStyle w:val="longtext"/>
          <w:sz w:val="20"/>
          <w:szCs w:val="20"/>
          <w:lang w:val="bg-BG"/>
        </w:rPr>
        <w:t>информацията за планираното намаляване на емисиите на ниво ЕС.</w:t>
      </w:r>
      <w:r w:rsidR="00C81225" w:rsidRPr="00A917FB">
        <w:rPr>
          <w:rStyle w:val="longtext"/>
          <w:b/>
          <w:sz w:val="20"/>
          <w:szCs w:val="20"/>
          <w:lang w:val="bg-BG"/>
        </w:rPr>
        <w:t xml:space="preserve"> </w:t>
      </w:r>
      <w:r w:rsidR="00A917FB" w:rsidRPr="00A917FB">
        <w:rPr>
          <w:sz w:val="20"/>
          <w:szCs w:val="20"/>
          <w:lang w:val="bg-BG"/>
        </w:rPr>
        <w:t xml:space="preserve">Сметната палата установи, че инвентаризациите на ЕС и на държавите членки включват седемте основни парникови газове и всички ключови сектори, както се изисква от международните правила за докладване. Одиторите посочват също, че инвентаризацията на емисиите на парникови газове в ЕС се е подобрила с времето. Прегледът на качеството на </w:t>
      </w:r>
      <w:r w:rsidR="00A917FB" w:rsidRPr="00A917FB">
        <w:rPr>
          <w:sz w:val="20"/>
          <w:szCs w:val="20"/>
          <w:lang w:val="bg-BG"/>
        </w:rPr>
        <w:lastRenderedPageBreak/>
        <w:t>инвентаризациите е задоволителен и като цяло общото равнище на несигурност е намаляло през последните години, въпреки че за сектора на земеползването, промените в земеползването и горското стопанство (ЗПЗГС) проверителите не извършват същите видове проверки, както за другите сектори.</w:t>
      </w:r>
      <w:r w:rsidR="00A917FB">
        <w:rPr>
          <w:sz w:val="20"/>
          <w:szCs w:val="20"/>
          <w:lang w:val="bg-BG"/>
        </w:rPr>
        <w:t xml:space="preserve"> </w:t>
      </w:r>
      <w:r w:rsidR="00A917FB" w:rsidRPr="00A917FB">
        <w:rPr>
          <w:sz w:val="20"/>
          <w:szCs w:val="20"/>
          <w:lang w:val="bg-BG"/>
        </w:rPr>
        <w:t xml:space="preserve">За да постигне намаляване на емисиите до 2020 г., ЕС е определил целеви нива, които засягат по-голямата част от докладваните данни, в т.ч. международната авиация. Първите цели за сектора на ЗПЗГС обаче са определени за 2030 г., а за международното корабоплаване </w:t>
      </w:r>
      <w:r w:rsidR="00A917FB">
        <w:rPr>
          <w:sz w:val="20"/>
          <w:szCs w:val="20"/>
          <w:lang w:val="bg-BG"/>
        </w:rPr>
        <w:t>–</w:t>
      </w:r>
      <w:r w:rsidR="00A917FB" w:rsidRPr="00A917FB">
        <w:rPr>
          <w:sz w:val="20"/>
          <w:szCs w:val="20"/>
          <w:lang w:val="bg-BG"/>
        </w:rPr>
        <w:t xml:space="preserve"> за 2050 г., без да са въведени етапни цели за ЕС или мерки за намаляване на емисиите. Насоките и помощта от ЕС са помогнали на държавите членки да подобрят своите прогнози. Одиторите обаче предупреждават, че Комисията не е оценила риска от значителни отклонения от собствения ѝ общ референтен сценарий за ЕС. Понастоящем обобщените прогнози на държавите членки след 2023 г. сочат по-ниски равнища на намаляване на емисиите, отколкото в референтния сценарий на Комисията.</w:t>
      </w:r>
      <w:r w:rsidR="001048A8">
        <w:rPr>
          <w:sz w:val="20"/>
          <w:szCs w:val="20"/>
          <w:lang w:val="bg-BG"/>
        </w:rPr>
        <w:t xml:space="preserve"> </w:t>
      </w:r>
      <w:r w:rsidR="00A917FB" w:rsidRPr="00A917FB">
        <w:rPr>
          <w:sz w:val="20"/>
          <w:szCs w:val="20"/>
          <w:lang w:val="bg-BG"/>
        </w:rPr>
        <w:t>Комисията представи неотдавна стратегическа дългосрочна визия за постигане на неутралност по отношение на климата до 2050 г. Тя също така е разработила няколко пътни карти за развитието на секторите, които са отговорни за почти 70 % от емисиите, като например транспорта и енергетиката. За други ключови сектори обаче няма такива специални пътни карти, например за селското стопанство и ЗПЗГС, тъй като Общата селскостопанска политика се определя за 7-годишен период. На последно място, въпреки че Комисията извършва проверки на качеството на информацията, представена от държавите членки, докладването относно въздействието на изпълняваните понастоящем мерки остава непълно. Следователно Комисията не може да представи подробна картина на това как политиките и мерките на ЕС и държавите членки допринасят за постигането на планираните намаления на емисиите за 2020 г., 2030 г. и 2050 г.</w:t>
      </w:r>
    </w:p>
    <w:p w:rsidR="009F2552" w:rsidRDefault="009F2552" w:rsidP="003A2FF8">
      <w:pPr>
        <w:pStyle w:val="Default"/>
        <w:jc w:val="both"/>
        <w:rPr>
          <w:sz w:val="20"/>
          <w:szCs w:val="20"/>
          <w:lang w:val="bg-BG"/>
        </w:rPr>
      </w:pPr>
    </w:p>
    <w:p w:rsidR="005F6E40" w:rsidRPr="009F2552" w:rsidRDefault="009F2552" w:rsidP="005F6E40">
      <w:pPr>
        <w:jc w:val="both"/>
        <w:rPr>
          <w:rFonts w:ascii="Arial" w:eastAsiaTheme="minorHAnsi" w:hAnsi="Arial" w:cs="Arial"/>
          <w:color w:val="000000"/>
          <w:sz w:val="20"/>
          <w:lang w:val="bg-BG"/>
        </w:rPr>
      </w:pPr>
      <w:r>
        <w:rPr>
          <w:rStyle w:val="longtext"/>
          <w:rFonts w:ascii="Arial" w:hAnsi="Arial" w:cs="Arial"/>
          <w:b/>
          <w:sz w:val="20"/>
          <w:lang w:val="bg-BG"/>
        </w:rPr>
        <w:t xml:space="preserve">6. </w:t>
      </w:r>
      <w:r w:rsidR="005F6E40" w:rsidRPr="009F2552">
        <w:rPr>
          <w:rFonts w:ascii="Arial" w:hAnsi="Arial" w:cs="Arial"/>
          <w:b/>
          <w:color w:val="000000"/>
          <w:sz w:val="20"/>
          <w:lang w:val="bg-BG"/>
        </w:rPr>
        <w:t>На 18 ноември в Брюксел Съветът на Европейския съюз и Европейският парламент постигнаха споразумение относно основните елементи на бюджета на ЕС за 2020 г. включително по приоритети като растеж и конкурентоспособност, климатични действия, иновации, научни изследвания и развитие, младеж и сигурност</w:t>
      </w:r>
      <w:r w:rsidR="005F6E40" w:rsidRPr="009F2552">
        <w:rPr>
          <w:rFonts w:ascii="Arial" w:eastAsiaTheme="minorHAnsi" w:hAnsi="Arial" w:cs="Arial"/>
          <w:color w:val="000000"/>
          <w:sz w:val="20"/>
          <w:lang w:val="bg-BG"/>
        </w:rPr>
        <w:t xml:space="preserve">. </w:t>
      </w:r>
      <w:r w:rsidRPr="009F2552">
        <w:rPr>
          <w:rFonts w:ascii="Arial" w:eastAsiaTheme="minorHAnsi" w:hAnsi="Arial" w:cs="Arial"/>
          <w:color w:val="000000"/>
          <w:sz w:val="20"/>
          <w:lang w:val="bg-BG"/>
        </w:rPr>
        <w:t>П</w:t>
      </w:r>
      <w:r w:rsidR="005F6E40" w:rsidRPr="009F2552">
        <w:rPr>
          <w:rFonts w:ascii="Arial" w:eastAsiaTheme="minorHAnsi" w:hAnsi="Arial" w:cs="Arial"/>
          <w:color w:val="000000"/>
          <w:sz w:val="20"/>
          <w:lang w:val="bg-BG"/>
        </w:rPr>
        <w:t>остигнатият компромис определя общите задължения за следващата година на 168,7 млрд.  евро (0.99% от БНД на ЕС-28), което представлява увеличение с 1,5% в сравнение с бюджета за 2019 г. Общите плащания възлизат на 153,6 млрд. евро (0.90% от БНД на ЕС-28), което е нарастване с 3,4% спрямо 2019 г.</w:t>
      </w:r>
      <w:r>
        <w:rPr>
          <w:rFonts w:ascii="Arial" w:eastAsiaTheme="minorHAnsi" w:hAnsi="Arial" w:cs="Arial"/>
          <w:color w:val="000000"/>
          <w:sz w:val="20"/>
          <w:lang w:val="bg-BG"/>
        </w:rPr>
        <w:t xml:space="preserve"> </w:t>
      </w:r>
      <w:r w:rsidR="005F6E40" w:rsidRPr="009F2552">
        <w:rPr>
          <w:rFonts w:ascii="Arial" w:eastAsiaTheme="minorHAnsi" w:hAnsi="Arial" w:cs="Arial"/>
          <w:color w:val="000000"/>
          <w:sz w:val="20"/>
          <w:lang w:val="bg-BG"/>
        </w:rPr>
        <w:t xml:space="preserve">Договорените числа се основават на предпоставката, че Обединеното кралство ще продължи да участва пълноценно във финансирането и изпълнението на бюджета на ЕС за 2020 г. 21% от общия бюджет ще бъде отделен за мерки за борба с изменението на климата. Парламентът и Съветът на ЕС постигнаха съгласие да поставят по-голям акцент върху действията, свързани с климата в няколко области като изследвания и развитие, транспортна и енергийна инфраструктура (Механизъм за свързване на </w:t>
      </w:r>
      <w:r>
        <w:rPr>
          <w:rFonts w:ascii="Arial" w:eastAsiaTheme="minorHAnsi" w:hAnsi="Arial" w:cs="Arial"/>
          <w:color w:val="000000"/>
          <w:sz w:val="20"/>
          <w:lang w:val="bg-BG"/>
        </w:rPr>
        <w:t xml:space="preserve">Европа </w:t>
      </w:r>
      <w:r w:rsidR="005F6E40" w:rsidRPr="009F2552">
        <w:rPr>
          <w:rFonts w:ascii="Arial" w:eastAsiaTheme="minorHAnsi" w:hAnsi="Arial" w:cs="Arial"/>
          <w:color w:val="000000"/>
          <w:sz w:val="20"/>
          <w:lang w:val="bg-BG"/>
        </w:rPr>
        <w:t>и външни действия на ЕС</w:t>
      </w:r>
      <w:r>
        <w:rPr>
          <w:rFonts w:ascii="Arial" w:eastAsiaTheme="minorHAnsi" w:hAnsi="Arial" w:cs="Arial"/>
          <w:color w:val="000000"/>
          <w:sz w:val="20"/>
          <w:lang w:val="bg-BG"/>
        </w:rPr>
        <w:t>)</w:t>
      </w:r>
      <w:r w:rsidR="005F6E40" w:rsidRPr="009F2552">
        <w:rPr>
          <w:rFonts w:ascii="Arial" w:eastAsiaTheme="minorHAnsi" w:hAnsi="Arial" w:cs="Arial"/>
          <w:color w:val="000000"/>
          <w:sz w:val="20"/>
          <w:lang w:val="bg-BG"/>
        </w:rPr>
        <w:t>. Допълнителни средства бяха отпуснати и за програмата LIFE на ЕС и Европейската агенция по околна среда в подкрепа на борбата срещу изменението на климата.</w:t>
      </w:r>
      <w:r>
        <w:rPr>
          <w:rFonts w:ascii="Arial" w:eastAsiaTheme="minorHAnsi" w:hAnsi="Arial" w:cs="Arial"/>
          <w:color w:val="000000"/>
          <w:sz w:val="20"/>
          <w:lang w:val="bg-BG"/>
        </w:rPr>
        <w:t xml:space="preserve"> </w:t>
      </w:r>
      <w:r w:rsidR="005F6E40" w:rsidRPr="009F2552">
        <w:rPr>
          <w:rFonts w:ascii="Arial" w:eastAsiaTheme="minorHAnsi" w:hAnsi="Arial" w:cs="Arial"/>
          <w:color w:val="000000"/>
          <w:sz w:val="20"/>
          <w:lang w:val="bg-BG"/>
        </w:rPr>
        <w:t xml:space="preserve">Други важни елементи на споразумението включват  25,3 млрд. евро за програмите за конкурентоспособност за растеж и работни места, Европейски спътникови навигационни системи и енергийния сектор. </w:t>
      </w:r>
      <w:r>
        <w:rPr>
          <w:rFonts w:ascii="Arial" w:eastAsiaTheme="minorHAnsi" w:hAnsi="Arial" w:cs="Arial"/>
          <w:color w:val="000000"/>
          <w:sz w:val="20"/>
          <w:lang w:val="bg-BG"/>
        </w:rPr>
        <w:t>Програмата Еразмус+ щ</w:t>
      </w:r>
      <w:r w:rsidR="005F6E40" w:rsidRPr="009F2552">
        <w:rPr>
          <w:rFonts w:ascii="Arial" w:eastAsiaTheme="minorHAnsi" w:hAnsi="Arial" w:cs="Arial"/>
          <w:color w:val="000000"/>
          <w:sz w:val="20"/>
          <w:lang w:val="bg-BG"/>
        </w:rPr>
        <w:t>е получи 2,9 млрд. евро.</w:t>
      </w:r>
      <w:r>
        <w:rPr>
          <w:rFonts w:ascii="Arial" w:eastAsiaTheme="minorHAnsi" w:hAnsi="Arial" w:cs="Arial"/>
          <w:color w:val="000000"/>
          <w:sz w:val="20"/>
          <w:lang w:val="bg-BG"/>
        </w:rPr>
        <w:t xml:space="preserve"> </w:t>
      </w:r>
      <w:r w:rsidR="005F6E40" w:rsidRPr="009F2552">
        <w:rPr>
          <w:rFonts w:ascii="Arial" w:eastAsiaTheme="minorHAnsi" w:hAnsi="Arial" w:cs="Arial"/>
          <w:color w:val="000000"/>
          <w:sz w:val="20"/>
          <w:lang w:val="bg-BG"/>
        </w:rPr>
        <w:t>Пакетът Младежка инициатива за заетост е определен на 145 млн. евро.  Според съвместно изявление на Европейския парламент, Съвета на ЕС и Комисията, планът е да се добавят допълнителни 50 милиона евро през следващата година, ако Комисията потвърди, че това е необходимо.</w:t>
      </w:r>
      <w:r>
        <w:rPr>
          <w:rFonts w:ascii="Arial" w:eastAsiaTheme="minorHAnsi" w:hAnsi="Arial" w:cs="Arial"/>
          <w:color w:val="000000"/>
          <w:sz w:val="20"/>
          <w:lang w:val="bg-BG"/>
        </w:rPr>
        <w:t xml:space="preserve"> </w:t>
      </w:r>
      <w:r w:rsidR="005F6E40" w:rsidRPr="009F2552">
        <w:rPr>
          <w:rFonts w:ascii="Arial" w:eastAsiaTheme="minorHAnsi" w:hAnsi="Arial" w:cs="Arial"/>
          <w:color w:val="000000"/>
          <w:sz w:val="20"/>
          <w:lang w:val="bg-BG"/>
        </w:rPr>
        <w:t xml:space="preserve">Допълнителни средства в сравнение с 2019 г. са отпуснати и в областта на сигурността и миграцията,  а също и за няколко агенции като </w:t>
      </w:r>
      <w:r>
        <w:rPr>
          <w:rFonts w:ascii="Arial" w:eastAsiaTheme="minorHAnsi" w:hAnsi="Arial" w:cs="Arial"/>
          <w:color w:val="000000"/>
          <w:sz w:val="20"/>
          <w:lang w:val="bg-BG"/>
        </w:rPr>
        <w:t>Фронтекс</w:t>
      </w:r>
      <w:r w:rsidR="005F6E40" w:rsidRPr="009F2552">
        <w:rPr>
          <w:rFonts w:ascii="Arial" w:eastAsiaTheme="minorHAnsi" w:hAnsi="Arial" w:cs="Arial"/>
          <w:color w:val="000000"/>
          <w:sz w:val="20"/>
          <w:lang w:val="bg-BG"/>
        </w:rPr>
        <w:t>, Европейската служба за подкрепа в областта на убежището, Европол, Европ</w:t>
      </w:r>
      <w:r w:rsidR="0067091A">
        <w:rPr>
          <w:rFonts w:ascii="Arial" w:eastAsiaTheme="minorHAnsi" w:hAnsi="Arial" w:cs="Arial"/>
          <w:color w:val="000000"/>
          <w:sz w:val="20"/>
          <w:lang w:val="bg-BG"/>
        </w:rPr>
        <w:t>ейската прокуратура и Евроджаст</w:t>
      </w:r>
      <w:r w:rsidR="005F6E40" w:rsidRPr="009F2552">
        <w:rPr>
          <w:rFonts w:ascii="Arial" w:eastAsiaTheme="minorHAnsi" w:hAnsi="Arial" w:cs="Arial"/>
          <w:color w:val="000000"/>
          <w:sz w:val="20"/>
          <w:lang w:val="bg-BG"/>
        </w:rPr>
        <w:t xml:space="preserve">. Инструментите на ЕС за външна дейност също бяха засилени, за да покрият ангажиментите на ЕС към   Сирия и Доверителния фонд на ЕС за Африка за борба с първопричините за миграцията през Северноафриканския прозорец. Както през 2018 г., така и през 2019 г. предприсъединителните фондове за Турция </w:t>
      </w:r>
      <w:r w:rsidR="0067091A">
        <w:rPr>
          <w:rFonts w:ascii="Arial" w:eastAsiaTheme="minorHAnsi" w:hAnsi="Arial" w:cs="Arial"/>
          <w:color w:val="000000"/>
          <w:sz w:val="20"/>
          <w:lang w:val="bg-BG"/>
        </w:rPr>
        <w:t>са</w:t>
      </w:r>
      <w:r w:rsidR="005F6E40" w:rsidRPr="009F2552">
        <w:rPr>
          <w:rFonts w:ascii="Arial" w:eastAsiaTheme="minorHAnsi" w:hAnsi="Arial" w:cs="Arial"/>
          <w:color w:val="000000"/>
          <w:sz w:val="20"/>
          <w:lang w:val="bg-BG"/>
        </w:rPr>
        <w:t xml:space="preserve"> значително намалени</w:t>
      </w:r>
      <w:r w:rsidR="0067091A">
        <w:rPr>
          <w:rFonts w:ascii="Arial" w:eastAsiaTheme="minorHAnsi" w:hAnsi="Arial" w:cs="Arial"/>
          <w:color w:val="000000"/>
          <w:sz w:val="20"/>
          <w:lang w:val="bg-BG"/>
        </w:rPr>
        <w:t>,</w:t>
      </w:r>
      <w:r w:rsidR="005F6E40" w:rsidRPr="009F2552">
        <w:rPr>
          <w:rFonts w:ascii="Arial" w:eastAsiaTheme="minorHAnsi" w:hAnsi="Arial" w:cs="Arial"/>
          <w:color w:val="000000"/>
          <w:sz w:val="20"/>
          <w:lang w:val="bg-BG"/>
        </w:rPr>
        <w:t xml:space="preserve"> предвид отдалечаването на Турция от ценностите на ЕС. От друга страна са осигурени повече средства за Западните Балкани.</w:t>
      </w:r>
      <w:r w:rsidR="0067091A">
        <w:rPr>
          <w:rFonts w:ascii="Arial" w:eastAsiaTheme="minorHAnsi" w:hAnsi="Arial" w:cs="Arial"/>
          <w:color w:val="000000"/>
          <w:sz w:val="20"/>
          <w:lang w:val="bg-BG"/>
        </w:rPr>
        <w:t xml:space="preserve"> </w:t>
      </w:r>
      <w:r w:rsidR="005F6E40" w:rsidRPr="009F2552">
        <w:rPr>
          <w:rFonts w:ascii="Arial" w:eastAsiaTheme="minorHAnsi" w:hAnsi="Arial" w:cs="Arial"/>
          <w:color w:val="000000"/>
          <w:sz w:val="20"/>
          <w:lang w:val="bg-BG"/>
        </w:rPr>
        <w:t>Съветът и Парламентът на ЕС също така се договориха да обсъдят допълнително използването на неизразходвани средства от предходни години. Европейският парламент и Съветът на ЕС трябва официално да одобрят текста в рамките на 14 дни. Очаква се Съветът да го одобри на 25 ноември. Гласуването в Европейския парламент е насрочено за 27 ноември.</w:t>
      </w:r>
    </w:p>
    <w:p w:rsidR="005F6E40" w:rsidRDefault="005F6E40" w:rsidP="005F6E40">
      <w:pPr>
        <w:jc w:val="both"/>
        <w:rPr>
          <w:rFonts w:ascii="Arial" w:hAnsi="Arial" w:cs="Arial"/>
          <w:color w:val="000000"/>
          <w:sz w:val="20"/>
          <w:lang w:val="bg-BG"/>
        </w:rPr>
      </w:pPr>
    </w:p>
    <w:p w:rsidR="005F6E40" w:rsidRPr="00DC60CC" w:rsidRDefault="0067091A" w:rsidP="005F6E40">
      <w:pPr>
        <w:jc w:val="both"/>
        <w:rPr>
          <w:rFonts w:ascii="Arial" w:hAnsi="Arial" w:cs="Arial"/>
          <w:color w:val="000000"/>
          <w:sz w:val="20"/>
          <w:lang w:val="bg-BG"/>
        </w:rPr>
      </w:pPr>
      <w:r>
        <w:rPr>
          <w:rFonts w:ascii="Arial" w:hAnsi="Arial" w:cs="Arial"/>
          <w:b/>
          <w:sz w:val="20"/>
          <w:lang w:val="bg-BG"/>
        </w:rPr>
        <w:t>7</w:t>
      </w:r>
      <w:r w:rsidR="005F6E40" w:rsidRPr="00EE377C">
        <w:rPr>
          <w:rFonts w:ascii="Arial" w:hAnsi="Arial" w:cs="Arial"/>
          <w:b/>
          <w:sz w:val="20"/>
          <w:lang w:val="bg-BG"/>
        </w:rPr>
        <w:t xml:space="preserve">. </w:t>
      </w:r>
      <w:r w:rsidR="005F6E40" w:rsidRPr="00EE377C">
        <w:rPr>
          <w:rFonts w:ascii="Arial" w:hAnsi="Arial" w:cs="Arial"/>
          <w:b/>
          <w:sz w:val="20"/>
        </w:rPr>
        <w:t xml:space="preserve">Финландското председателство на Съвета ще </w:t>
      </w:r>
      <w:r w:rsidR="005F6E40" w:rsidRPr="00EE377C">
        <w:rPr>
          <w:rFonts w:ascii="Arial" w:hAnsi="Arial" w:cs="Arial"/>
          <w:b/>
          <w:sz w:val="20"/>
          <w:lang w:val="bg-BG"/>
        </w:rPr>
        <w:t xml:space="preserve">представи съвсем </w:t>
      </w:r>
      <w:r w:rsidR="005F6E40" w:rsidRPr="00EE377C">
        <w:rPr>
          <w:rFonts w:ascii="Arial" w:hAnsi="Arial" w:cs="Arial"/>
          <w:b/>
          <w:sz w:val="20"/>
        </w:rPr>
        <w:t xml:space="preserve">скоро количествен компромис относно </w:t>
      </w:r>
      <w:r w:rsidR="00137F06">
        <w:rPr>
          <w:rFonts w:ascii="Arial" w:hAnsi="Arial" w:cs="Arial"/>
          <w:b/>
          <w:sz w:val="20"/>
          <w:lang w:val="bg-BG"/>
        </w:rPr>
        <w:t xml:space="preserve">многогодишната </w:t>
      </w:r>
      <w:r w:rsidR="005F6E40" w:rsidRPr="00EE377C">
        <w:rPr>
          <w:rFonts w:ascii="Arial" w:hAnsi="Arial" w:cs="Arial"/>
          <w:b/>
          <w:sz w:val="20"/>
        </w:rPr>
        <w:t>финансова рамка за 2021–2027 г.</w:t>
      </w:r>
      <w:r w:rsidR="005F6E40" w:rsidRPr="00EE377C">
        <w:rPr>
          <w:rFonts w:ascii="Arial" w:hAnsi="Arial" w:cs="Arial"/>
          <w:b/>
          <w:sz w:val="20"/>
          <w:lang w:val="bg-BG"/>
        </w:rPr>
        <w:t xml:space="preserve"> </w:t>
      </w:r>
      <w:r w:rsidR="005F6E40" w:rsidRPr="00DC60CC">
        <w:rPr>
          <w:rFonts w:ascii="Arial" w:hAnsi="Arial" w:cs="Arial"/>
          <w:color w:val="000000"/>
          <w:sz w:val="20"/>
          <w:lang w:val="bg-BG"/>
        </w:rPr>
        <w:t>На 19 ноември в Брюксел председателство</w:t>
      </w:r>
      <w:r w:rsidR="005F6E40">
        <w:rPr>
          <w:rFonts w:ascii="Arial" w:hAnsi="Arial" w:cs="Arial"/>
          <w:color w:val="000000"/>
          <w:sz w:val="20"/>
          <w:lang w:val="bg-BG"/>
        </w:rPr>
        <w:t xml:space="preserve">то </w:t>
      </w:r>
      <w:r w:rsidR="005F6E40" w:rsidRPr="00DC60CC">
        <w:rPr>
          <w:rFonts w:ascii="Arial" w:hAnsi="Arial" w:cs="Arial"/>
          <w:color w:val="000000"/>
          <w:sz w:val="20"/>
          <w:lang w:val="bg-BG"/>
        </w:rPr>
        <w:t>посочи, че ще представи нова версия</w:t>
      </w:r>
      <w:r w:rsidR="00137F06">
        <w:rPr>
          <w:rFonts w:ascii="Arial" w:hAnsi="Arial" w:cs="Arial"/>
          <w:color w:val="000000"/>
          <w:sz w:val="20"/>
          <w:lang w:val="bg-BG"/>
        </w:rPr>
        <w:t>,</w:t>
      </w:r>
      <w:r w:rsidR="005F6E40" w:rsidRPr="00DC60CC">
        <w:rPr>
          <w:rFonts w:ascii="Arial" w:hAnsi="Arial" w:cs="Arial"/>
          <w:color w:val="000000"/>
          <w:sz w:val="20"/>
          <w:lang w:val="bg-BG"/>
        </w:rPr>
        <w:t xml:space="preserve"> с числа на „</w:t>
      </w:r>
      <w:r w:rsidR="00137F06">
        <w:rPr>
          <w:rFonts w:ascii="Arial" w:hAnsi="Arial" w:cs="Arial"/>
          <w:color w:val="000000"/>
          <w:sz w:val="20"/>
          <w:lang w:val="bg-BG"/>
        </w:rPr>
        <w:t>преговорната кутия</w:t>
      </w:r>
      <w:r w:rsidR="005F6E40" w:rsidRPr="00DC60CC">
        <w:rPr>
          <w:rFonts w:ascii="Arial" w:hAnsi="Arial" w:cs="Arial"/>
          <w:color w:val="000000"/>
          <w:sz w:val="20"/>
          <w:lang w:val="bg-BG"/>
        </w:rPr>
        <w:t>“ към края на ноември. Този документ</w:t>
      </w:r>
      <w:r w:rsidR="005F6E40">
        <w:rPr>
          <w:rFonts w:ascii="Arial" w:hAnsi="Arial" w:cs="Arial"/>
          <w:color w:val="000000"/>
          <w:sz w:val="20"/>
          <w:lang w:val="bg-BG"/>
        </w:rPr>
        <w:t xml:space="preserve">, </w:t>
      </w:r>
      <w:r w:rsidR="005F6E40" w:rsidRPr="00DC60CC">
        <w:rPr>
          <w:rFonts w:ascii="Arial" w:hAnsi="Arial" w:cs="Arial"/>
          <w:color w:val="000000"/>
          <w:sz w:val="20"/>
          <w:lang w:val="bg-BG"/>
        </w:rPr>
        <w:t>чиято цел е да постигне  споразумение относно МФР</w:t>
      </w:r>
      <w:r w:rsidR="005F6E40">
        <w:rPr>
          <w:rFonts w:ascii="Arial" w:hAnsi="Arial" w:cs="Arial"/>
          <w:color w:val="000000"/>
          <w:sz w:val="20"/>
          <w:lang w:val="bg-BG"/>
        </w:rPr>
        <w:t xml:space="preserve">, </w:t>
      </w:r>
      <w:r w:rsidR="005F6E40" w:rsidRPr="00DC60CC">
        <w:rPr>
          <w:rFonts w:ascii="Arial" w:hAnsi="Arial" w:cs="Arial"/>
          <w:color w:val="000000"/>
          <w:sz w:val="20"/>
          <w:lang w:val="bg-BG"/>
        </w:rPr>
        <w:t xml:space="preserve">ще бъде представен пред Европейския съвет на 12 и 13 декември, след което ще се проведе дебат по този чувствителен въпрос. Финландският министър по европейските въпроси Тити Тупурайнен потвърди тази новина пред </w:t>
      </w:r>
      <w:r w:rsidR="005F6E40" w:rsidRPr="00DC60CC">
        <w:rPr>
          <w:rFonts w:ascii="Arial" w:hAnsi="Arial" w:cs="Arial"/>
          <w:color w:val="000000"/>
          <w:sz w:val="20"/>
          <w:lang w:val="bg-BG"/>
        </w:rPr>
        <w:lastRenderedPageBreak/>
        <w:t>Съвета по общи въпроси.</w:t>
      </w:r>
      <w:r w:rsidR="005F6E40">
        <w:rPr>
          <w:rFonts w:ascii="Arial" w:hAnsi="Arial" w:cs="Arial"/>
          <w:color w:val="000000"/>
          <w:sz w:val="20"/>
          <w:lang w:val="bg-BG"/>
        </w:rPr>
        <w:t xml:space="preserve"> Тя </w:t>
      </w:r>
      <w:r w:rsidR="005F6E40" w:rsidRPr="00DC60CC">
        <w:rPr>
          <w:rFonts w:ascii="Arial" w:hAnsi="Arial" w:cs="Arial"/>
          <w:color w:val="000000"/>
          <w:sz w:val="20"/>
          <w:lang w:val="bg-BG"/>
        </w:rPr>
        <w:t>посочи, че позицията на Европейския парламент за общо 1,3% от брутния национален доход (БНД) на ЕС и „кошница“ от нови собствени ресурси не се е променила</w:t>
      </w:r>
      <w:r w:rsidR="005F6E40">
        <w:rPr>
          <w:rFonts w:ascii="Arial" w:hAnsi="Arial" w:cs="Arial"/>
          <w:color w:val="000000"/>
          <w:sz w:val="20"/>
          <w:lang w:val="bg-BG"/>
        </w:rPr>
        <w:t xml:space="preserve"> и</w:t>
      </w:r>
      <w:r w:rsidR="005F6E40" w:rsidRPr="00DC60CC">
        <w:rPr>
          <w:rFonts w:ascii="Arial" w:hAnsi="Arial" w:cs="Arial"/>
          <w:color w:val="000000"/>
          <w:sz w:val="20"/>
          <w:lang w:val="bg-BG"/>
        </w:rPr>
        <w:t xml:space="preserve"> изрази надежда, че Европейският съвет ще постигне споразумение за следващата МФР възможно най-скоро.</w:t>
      </w:r>
      <w:r w:rsidR="005F6E40">
        <w:rPr>
          <w:rFonts w:ascii="Arial" w:hAnsi="Arial" w:cs="Arial"/>
          <w:color w:val="000000"/>
          <w:sz w:val="20"/>
          <w:lang w:val="bg-BG"/>
        </w:rPr>
        <w:t xml:space="preserve"> </w:t>
      </w:r>
      <w:r w:rsidR="005F6E40" w:rsidRPr="00DC60CC">
        <w:rPr>
          <w:rFonts w:ascii="Arial" w:hAnsi="Arial" w:cs="Arial"/>
          <w:color w:val="000000"/>
          <w:sz w:val="20"/>
          <w:lang w:val="bg-BG"/>
        </w:rPr>
        <w:t>Европейският комисар по бюджета Гюнтер Йотингер уточни, че новата „</w:t>
      </w:r>
      <w:r w:rsidR="00137F06">
        <w:rPr>
          <w:rFonts w:ascii="Arial" w:hAnsi="Arial" w:cs="Arial"/>
          <w:color w:val="000000"/>
          <w:sz w:val="20"/>
          <w:lang w:val="bg-BG"/>
        </w:rPr>
        <w:t>преговорна кутия</w:t>
      </w:r>
      <w:r w:rsidR="005F6E40" w:rsidRPr="00DC60CC">
        <w:rPr>
          <w:rFonts w:ascii="Arial" w:hAnsi="Arial" w:cs="Arial"/>
          <w:color w:val="000000"/>
          <w:sz w:val="20"/>
          <w:lang w:val="bg-BG"/>
        </w:rPr>
        <w:t xml:space="preserve">“ ще бъде обсъдена по време на Съвета по общи въпроси на 10 декември, преди да бъде представена на лидерите на ЕС. Той смята, че има малък шанс Европейският съвет да постигне </w:t>
      </w:r>
      <w:r w:rsidR="005F6E40">
        <w:rPr>
          <w:rFonts w:ascii="Arial" w:hAnsi="Arial" w:cs="Arial"/>
          <w:color w:val="000000"/>
          <w:sz w:val="20"/>
          <w:lang w:val="bg-BG"/>
        </w:rPr>
        <w:t xml:space="preserve">цялостно </w:t>
      </w:r>
      <w:r w:rsidR="005F6E40" w:rsidRPr="00DC60CC">
        <w:rPr>
          <w:rFonts w:ascii="Arial" w:hAnsi="Arial" w:cs="Arial"/>
          <w:color w:val="000000"/>
          <w:sz w:val="20"/>
          <w:lang w:val="bg-BG"/>
        </w:rPr>
        <w:t>споразумение за МФР</w:t>
      </w:r>
      <w:r w:rsidR="005F6E40">
        <w:rPr>
          <w:rFonts w:ascii="Arial" w:hAnsi="Arial" w:cs="Arial"/>
          <w:color w:val="000000"/>
          <w:sz w:val="20"/>
          <w:lang w:val="bg-BG"/>
        </w:rPr>
        <w:t xml:space="preserve"> </w:t>
      </w:r>
      <w:r w:rsidR="005F6E40" w:rsidRPr="00DC60CC">
        <w:rPr>
          <w:rFonts w:ascii="Arial" w:hAnsi="Arial" w:cs="Arial"/>
          <w:color w:val="000000"/>
          <w:sz w:val="20"/>
          <w:lang w:val="bg-BG"/>
        </w:rPr>
        <w:t>през декември</w:t>
      </w:r>
      <w:r w:rsidR="005F6E40">
        <w:rPr>
          <w:rFonts w:ascii="Arial" w:hAnsi="Arial" w:cs="Arial"/>
          <w:color w:val="000000"/>
          <w:sz w:val="20"/>
          <w:lang w:val="bg-BG"/>
        </w:rPr>
        <w:t xml:space="preserve">. </w:t>
      </w:r>
      <w:r w:rsidR="005F6E40" w:rsidRPr="00DC60CC">
        <w:rPr>
          <w:rFonts w:ascii="Arial" w:hAnsi="Arial" w:cs="Arial"/>
          <w:color w:val="000000"/>
          <w:sz w:val="20"/>
          <w:lang w:val="bg-BG"/>
        </w:rPr>
        <w:t xml:space="preserve">Той също така </w:t>
      </w:r>
      <w:r w:rsidR="00137F06">
        <w:rPr>
          <w:rFonts w:ascii="Arial" w:hAnsi="Arial" w:cs="Arial"/>
          <w:color w:val="000000"/>
          <w:sz w:val="20"/>
          <w:lang w:val="bg-BG"/>
        </w:rPr>
        <w:t>препоръча</w:t>
      </w:r>
      <w:r w:rsidR="005F6E40" w:rsidRPr="00DC60CC">
        <w:rPr>
          <w:rFonts w:ascii="Arial" w:hAnsi="Arial" w:cs="Arial"/>
          <w:color w:val="000000"/>
          <w:sz w:val="20"/>
          <w:lang w:val="bg-BG"/>
        </w:rPr>
        <w:t xml:space="preserve"> Европейския</w:t>
      </w:r>
      <w:r w:rsidR="00137F06">
        <w:rPr>
          <w:rFonts w:ascii="Arial" w:hAnsi="Arial" w:cs="Arial"/>
          <w:color w:val="000000"/>
          <w:sz w:val="20"/>
          <w:lang w:val="bg-BG"/>
        </w:rPr>
        <w:t>т</w:t>
      </w:r>
      <w:r w:rsidR="005F6E40">
        <w:rPr>
          <w:rFonts w:ascii="Arial" w:hAnsi="Arial" w:cs="Arial"/>
          <w:color w:val="000000"/>
          <w:sz w:val="20"/>
          <w:lang w:val="bg-BG"/>
        </w:rPr>
        <w:t xml:space="preserve"> с</w:t>
      </w:r>
      <w:r w:rsidR="005F6E40" w:rsidRPr="00DC60CC">
        <w:rPr>
          <w:rFonts w:ascii="Arial" w:hAnsi="Arial" w:cs="Arial"/>
          <w:color w:val="000000"/>
          <w:sz w:val="20"/>
          <w:lang w:val="bg-BG"/>
        </w:rPr>
        <w:t>ъвет да включи</w:t>
      </w:r>
      <w:r w:rsidR="00137F06">
        <w:rPr>
          <w:rFonts w:ascii="Arial" w:hAnsi="Arial" w:cs="Arial"/>
          <w:color w:val="000000"/>
          <w:sz w:val="20"/>
          <w:lang w:val="bg-BG"/>
        </w:rPr>
        <w:t xml:space="preserve"> </w:t>
      </w:r>
      <w:r w:rsidR="005F6E40" w:rsidRPr="00DC60CC">
        <w:rPr>
          <w:rFonts w:ascii="Arial" w:hAnsi="Arial" w:cs="Arial"/>
          <w:color w:val="000000"/>
          <w:sz w:val="20"/>
          <w:lang w:val="bg-BG"/>
        </w:rPr>
        <w:t xml:space="preserve">Европейския парламент във всички преговори за МФР за 2021-2027 г. </w:t>
      </w:r>
      <w:r w:rsidR="005F6E40">
        <w:rPr>
          <w:rFonts w:ascii="Arial" w:hAnsi="Arial" w:cs="Arial"/>
          <w:color w:val="000000"/>
          <w:sz w:val="20"/>
          <w:lang w:val="bg-BG"/>
        </w:rPr>
        <w:t>Според него т</w:t>
      </w:r>
      <w:r w:rsidR="005F6E40" w:rsidRPr="00DC60CC">
        <w:rPr>
          <w:rFonts w:ascii="Arial" w:hAnsi="Arial" w:cs="Arial"/>
          <w:color w:val="000000"/>
          <w:sz w:val="20"/>
          <w:lang w:val="bg-BG"/>
        </w:rPr>
        <w:t>ова ще улесни постигането на споразумение</w:t>
      </w:r>
      <w:r w:rsidR="005F6E40">
        <w:rPr>
          <w:rFonts w:ascii="Arial" w:hAnsi="Arial" w:cs="Arial"/>
          <w:color w:val="000000"/>
          <w:sz w:val="20"/>
          <w:lang w:val="bg-BG"/>
        </w:rPr>
        <w:t xml:space="preserve">. </w:t>
      </w:r>
      <w:r w:rsidR="005F6E40" w:rsidRPr="00DC60CC">
        <w:rPr>
          <w:rFonts w:ascii="Arial" w:hAnsi="Arial" w:cs="Arial"/>
          <w:color w:val="000000"/>
          <w:sz w:val="20"/>
          <w:lang w:val="bg-BG"/>
        </w:rPr>
        <w:t>Европейският парламент трябва да посочи дали одобрява МФР или не.</w:t>
      </w:r>
      <w:r w:rsidR="005F6E40">
        <w:rPr>
          <w:rFonts w:ascii="Arial" w:hAnsi="Arial" w:cs="Arial"/>
          <w:color w:val="000000"/>
          <w:sz w:val="20"/>
          <w:lang w:val="bg-BG"/>
        </w:rPr>
        <w:t xml:space="preserve"> </w:t>
      </w:r>
      <w:bookmarkStart w:id="0" w:name="_GoBack"/>
      <w:bookmarkEnd w:id="0"/>
      <w:r w:rsidR="005F6E40" w:rsidRPr="00DC60CC">
        <w:rPr>
          <w:rFonts w:ascii="Arial" w:hAnsi="Arial" w:cs="Arial"/>
          <w:color w:val="000000"/>
          <w:sz w:val="20"/>
          <w:lang w:val="bg-BG"/>
        </w:rPr>
        <w:t>Споразумение за МФР за 2021–2027 г. вероятно ще бъде постигнато по време на хърватското председателство на Съвета през първата половина на 2020 г.</w:t>
      </w:r>
    </w:p>
    <w:p w:rsidR="005F6E40" w:rsidRPr="00DC60CC" w:rsidRDefault="005F6E40" w:rsidP="005F6E40">
      <w:pPr>
        <w:jc w:val="both"/>
        <w:rPr>
          <w:rFonts w:ascii="Arial" w:hAnsi="Arial" w:cs="Arial"/>
          <w:sz w:val="20"/>
        </w:rPr>
      </w:pPr>
    </w:p>
    <w:p w:rsidR="005F6E40" w:rsidRDefault="005F6E40" w:rsidP="003A2FF8">
      <w:pPr>
        <w:pStyle w:val="Default"/>
        <w:jc w:val="both"/>
        <w:rPr>
          <w:sz w:val="20"/>
          <w:szCs w:val="20"/>
          <w:lang w:val="bg-BG"/>
        </w:rPr>
      </w:pPr>
    </w:p>
    <w:p w:rsidR="00442CE5" w:rsidRDefault="00442CE5" w:rsidP="003A2FF8">
      <w:pPr>
        <w:pStyle w:val="Default"/>
        <w:jc w:val="both"/>
        <w:rPr>
          <w:sz w:val="20"/>
          <w:szCs w:val="20"/>
          <w:lang w:val="bg-BG"/>
        </w:rPr>
      </w:pPr>
    </w:p>
    <w:p w:rsidR="00A917FB" w:rsidRDefault="00A917FB" w:rsidP="003A2FF8">
      <w:pPr>
        <w:pStyle w:val="Default"/>
        <w:jc w:val="both"/>
        <w:rPr>
          <w:sz w:val="20"/>
          <w:szCs w:val="20"/>
          <w:lang w:val="bg-BG"/>
        </w:rPr>
      </w:pPr>
    </w:p>
    <w:sectPr w:rsidR="00A917FB"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AAE" w:rsidRDefault="005A2AAE">
      <w:r>
        <w:separator/>
      </w:r>
    </w:p>
  </w:endnote>
  <w:endnote w:type="continuationSeparator" w:id="1">
    <w:p w:rsidR="005A2AAE" w:rsidRDefault="005A2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E1" w:rsidRDefault="009C7036">
    <w:pPr>
      <w:pStyle w:val="a5"/>
      <w:framePr w:wrap="around" w:vAnchor="text" w:hAnchor="margin" w:xAlign="right" w:y="1"/>
      <w:rPr>
        <w:rStyle w:val="a9"/>
        <w:rFonts w:eastAsia="SimSun"/>
      </w:rPr>
    </w:pPr>
    <w:r>
      <w:rPr>
        <w:rStyle w:val="a9"/>
        <w:rFonts w:eastAsia="SimSun"/>
      </w:rPr>
      <w:fldChar w:fldCharType="begin"/>
    </w:r>
    <w:r w:rsidR="00403CB9">
      <w:rPr>
        <w:rStyle w:val="a9"/>
        <w:rFonts w:eastAsia="SimSun"/>
      </w:rPr>
      <w:instrText xml:space="preserve">PAGE  </w:instrText>
    </w:r>
    <w:r>
      <w:rPr>
        <w:rStyle w:val="a9"/>
        <w:rFonts w:eastAsia="SimSun"/>
      </w:rPr>
      <w:fldChar w:fldCharType="end"/>
    </w:r>
  </w:p>
  <w:p w:rsidR="005618E1" w:rsidRDefault="005A2AA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CB3" w:rsidRPr="004B3CB3" w:rsidRDefault="005A2AAE" w:rsidP="004B3CB3">
    <w:pPr>
      <w:pStyle w:val="a5"/>
      <w:pBdr>
        <w:bottom w:val="single" w:sz="4" w:space="1" w:color="7030A0"/>
      </w:pBdr>
      <w:ind w:right="-23"/>
      <w:rPr>
        <w:rFonts w:ascii="Arial" w:hAnsi="Arial"/>
        <w:i/>
        <w:iCs/>
        <w:color w:val="800080"/>
        <w:sz w:val="18"/>
        <w:szCs w:val="18"/>
        <w:lang w:val="en-US"/>
      </w:rPr>
    </w:pPr>
  </w:p>
  <w:p w:rsidR="004B3CB3" w:rsidRPr="004B3CB3" w:rsidRDefault="00403CB9" w:rsidP="00A02094">
    <w:pPr>
      <w:pStyle w:val="a5"/>
      <w:ind w:right="-23"/>
      <w:jc w:val="center"/>
      <w:rPr>
        <w:rFonts w:ascii="Arial" w:hAnsi="Arial" w:cs="Arial"/>
        <w:i/>
        <w:sz w:val="20"/>
        <w:lang w:val="ru-RU"/>
      </w:rPr>
    </w:pPr>
    <w:r>
      <w:rPr>
        <w:rFonts w:ascii="Arial" w:hAnsi="Arial"/>
        <w:i/>
        <w:iCs/>
        <w:color w:val="800080"/>
        <w:sz w:val="18"/>
        <w:szCs w:val="18"/>
        <w:lang w:val="bg-BG"/>
      </w:rPr>
      <w:t>Дирекции „Директни плащания” и „Пазарни мерки и организации на производители“, МЗХГ</w:t>
    </w:r>
  </w:p>
  <w:p w:rsidR="005618E1" w:rsidRPr="004B3CB3" w:rsidRDefault="005A2AAE">
    <w:pPr>
      <w:pStyle w:val="a5"/>
      <w:ind w:right="360"/>
      <w:rPr>
        <w:rFonts w:ascii="Arial" w:hAnsi="Arial"/>
        <w:i/>
        <w:iCs/>
        <w:color w:val="800080"/>
        <w:sz w:val="18"/>
        <w:szCs w:val="18"/>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AAE" w:rsidRDefault="005A2AAE">
      <w:r>
        <w:separator/>
      </w:r>
    </w:p>
  </w:footnote>
  <w:footnote w:type="continuationSeparator" w:id="1">
    <w:p w:rsidR="005A2AAE" w:rsidRDefault="005A2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1E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5A2AAE"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5A2AAE">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750FB4">
      <w:rPr>
        <w:rFonts w:ascii="Arial" w:hAnsi="Arial"/>
        <w:b/>
        <w:bCs/>
        <w:color w:val="800080"/>
        <w:sz w:val="20"/>
        <w:lang w:val="en-US"/>
      </w:rPr>
      <w:t>9</w:t>
    </w:r>
    <w:r w:rsidR="00D74AA1">
      <w:rPr>
        <w:rFonts w:ascii="Arial" w:hAnsi="Arial"/>
        <w:b/>
        <w:bCs/>
        <w:color w:val="800080"/>
        <w:sz w:val="20"/>
        <w:lang w:val="en-US"/>
      </w:rPr>
      <w:t>7</w:t>
    </w:r>
    <w:r>
      <w:rPr>
        <w:rFonts w:ascii="Arial" w:hAnsi="Arial"/>
        <w:b/>
        <w:bCs/>
        <w:color w:val="800080"/>
        <w:sz w:val="20"/>
        <w:lang w:val="bg-BG"/>
      </w:rPr>
      <w:t>/</w:t>
    </w:r>
    <w:r w:rsidR="00D74AA1">
      <w:rPr>
        <w:rFonts w:ascii="Arial" w:hAnsi="Arial"/>
        <w:b/>
        <w:bCs/>
        <w:color w:val="800080"/>
        <w:sz w:val="20"/>
        <w:lang w:val="en-US"/>
      </w:rPr>
      <w:t>25</w:t>
    </w:r>
    <w:r w:rsidR="00750FB4">
      <w:rPr>
        <w:rFonts w:ascii="Arial" w:hAnsi="Arial"/>
        <w:b/>
        <w:bCs/>
        <w:color w:val="800080"/>
        <w:sz w:val="20"/>
        <w:lang w:val="en-US"/>
      </w:rPr>
      <w:t>.11</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BA0"/>
    <w:multiLevelType w:val="hybridMultilevel"/>
    <w:tmpl w:val="15FCDA66"/>
    <w:lvl w:ilvl="0" w:tplc="C392756C">
      <w:start w:val="1"/>
      <w:numFmt w:val="decimal"/>
      <w:lvlText w:val="%1."/>
      <w:lvlJc w:val="left"/>
      <w:pPr>
        <w:ind w:left="720" w:hanging="360"/>
      </w:pPr>
      <w:rPr>
        <w:rFonts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2">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403CB9"/>
    <w:rsid w:val="00000E7B"/>
    <w:rsid w:val="00023623"/>
    <w:rsid w:val="0002497A"/>
    <w:rsid w:val="00046D50"/>
    <w:rsid w:val="00081DAE"/>
    <w:rsid w:val="00091CD4"/>
    <w:rsid w:val="000A31F0"/>
    <w:rsid w:val="000B2026"/>
    <w:rsid w:val="000C1373"/>
    <w:rsid w:val="00102353"/>
    <w:rsid w:val="001048A8"/>
    <w:rsid w:val="001179B6"/>
    <w:rsid w:val="00131A6D"/>
    <w:rsid w:val="00134872"/>
    <w:rsid w:val="0013606E"/>
    <w:rsid w:val="00137F06"/>
    <w:rsid w:val="0014608C"/>
    <w:rsid w:val="001639CC"/>
    <w:rsid w:val="00173E25"/>
    <w:rsid w:val="00180441"/>
    <w:rsid w:val="00186654"/>
    <w:rsid w:val="001E1EAA"/>
    <w:rsid w:val="001E4C01"/>
    <w:rsid w:val="001F2EC7"/>
    <w:rsid w:val="00221CDF"/>
    <w:rsid w:val="00222A87"/>
    <w:rsid w:val="002610A9"/>
    <w:rsid w:val="00274F4E"/>
    <w:rsid w:val="00285183"/>
    <w:rsid w:val="0029220D"/>
    <w:rsid w:val="002A5150"/>
    <w:rsid w:val="002A6A4C"/>
    <w:rsid w:val="002D25F9"/>
    <w:rsid w:val="002F1104"/>
    <w:rsid w:val="002F450E"/>
    <w:rsid w:val="002F6211"/>
    <w:rsid w:val="00300FA3"/>
    <w:rsid w:val="00304D05"/>
    <w:rsid w:val="00313FBA"/>
    <w:rsid w:val="00320AF0"/>
    <w:rsid w:val="00353ACF"/>
    <w:rsid w:val="00360A0D"/>
    <w:rsid w:val="003835C2"/>
    <w:rsid w:val="003877CA"/>
    <w:rsid w:val="003952CE"/>
    <w:rsid w:val="003A2FF8"/>
    <w:rsid w:val="003A56BA"/>
    <w:rsid w:val="003B7AAB"/>
    <w:rsid w:val="003C0E47"/>
    <w:rsid w:val="003C1BFF"/>
    <w:rsid w:val="003E118D"/>
    <w:rsid w:val="003E5CB2"/>
    <w:rsid w:val="003F1404"/>
    <w:rsid w:val="00403CB9"/>
    <w:rsid w:val="004133A8"/>
    <w:rsid w:val="00416504"/>
    <w:rsid w:val="00422311"/>
    <w:rsid w:val="0044148C"/>
    <w:rsid w:val="00442CE5"/>
    <w:rsid w:val="00446398"/>
    <w:rsid w:val="00454CF3"/>
    <w:rsid w:val="004923C1"/>
    <w:rsid w:val="004C461D"/>
    <w:rsid w:val="004D25FE"/>
    <w:rsid w:val="004D45D3"/>
    <w:rsid w:val="00502A0A"/>
    <w:rsid w:val="005247A5"/>
    <w:rsid w:val="00537A32"/>
    <w:rsid w:val="005A0184"/>
    <w:rsid w:val="005A2AAE"/>
    <w:rsid w:val="005B4574"/>
    <w:rsid w:val="005C1BB7"/>
    <w:rsid w:val="005C4EE8"/>
    <w:rsid w:val="005F6E40"/>
    <w:rsid w:val="006367A9"/>
    <w:rsid w:val="0067091A"/>
    <w:rsid w:val="00682667"/>
    <w:rsid w:val="006961F0"/>
    <w:rsid w:val="006A094F"/>
    <w:rsid w:val="006A739D"/>
    <w:rsid w:val="006D183F"/>
    <w:rsid w:val="006E41FE"/>
    <w:rsid w:val="00705B40"/>
    <w:rsid w:val="007276F0"/>
    <w:rsid w:val="00734448"/>
    <w:rsid w:val="00750FB4"/>
    <w:rsid w:val="007846E5"/>
    <w:rsid w:val="0078732A"/>
    <w:rsid w:val="007A388B"/>
    <w:rsid w:val="007A70E6"/>
    <w:rsid w:val="007B03F2"/>
    <w:rsid w:val="007D62B8"/>
    <w:rsid w:val="007D7438"/>
    <w:rsid w:val="007F4E89"/>
    <w:rsid w:val="008030C3"/>
    <w:rsid w:val="00816686"/>
    <w:rsid w:val="0082007C"/>
    <w:rsid w:val="008206C1"/>
    <w:rsid w:val="0083232B"/>
    <w:rsid w:val="00845489"/>
    <w:rsid w:val="00852DE4"/>
    <w:rsid w:val="00861450"/>
    <w:rsid w:val="0087702E"/>
    <w:rsid w:val="0087763E"/>
    <w:rsid w:val="008836F2"/>
    <w:rsid w:val="008E0F81"/>
    <w:rsid w:val="00910462"/>
    <w:rsid w:val="00934FA6"/>
    <w:rsid w:val="009355BA"/>
    <w:rsid w:val="009704A2"/>
    <w:rsid w:val="0099695D"/>
    <w:rsid w:val="009A5D09"/>
    <w:rsid w:val="009A75C9"/>
    <w:rsid w:val="009C7036"/>
    <w:rsid w:val="009D0924"/>
    <w:rsid w:val="009D6F1E"/>
    <w:rsid w:val="009F2552"/>
    <w:rsid w:val="009F4E95"/>
    <w:rsid w:val="009F7022"/>
    <w:rsid w:val="00A02094"/>
    <w:rsid w:val="00A1170C"/>
    <w:rsid w:val="00A447C0"/>
    <w:rsid w:val="00A56825"/>
    <w:rsid w:val="00A673EB"/>
    <w:rsid w:val="00A76189"/>
    <w:rsid w:val="00A917FB"/>
    <w:rsid w:val="00AA513C"/>
    <w:rsid w:val="00AB1841"/>
    <w:rsid w:val="00AC73DE"/>
    <w:rsid w:val="00AE14FF"/>
    <w:rsid w:val="00AE2FF4"/>
    <w:rsid w:val="00B16835"/>
    <w:rsid w:val="00B34793"/>
    <w:rsid w:val="00B64ABE"/>
    <w:rsid w:val="00B64F87"/>
    <w:rsid w:val="00B73DA3"/>
    <w:rsid w:val="00B74F21"/>
    <w:rsid w:val="00B8112B"/>
    <w:rsid w:val="00B853D4"/>
    <w:rsid w:val="00B90317"/>
    <w:rsid w:val="00B93F21"/>
    <w:rsid w:val="00B94172"/>
    <w:rsid w:val="00BC70E2"/>
    <w:rsid w:val="00BE55CA"/>
    <w:rsid w:val="00BF118B"/>
    <w:rsid w:val="00BF28EC"/>
    <w:rsid w:val="00C00F88"/>
    <w:rsid w:val="00C20809"/>
    <w:rsid w:val="00C3643A"/>
    <w:rsid w:val="00C37B23"/>
    <w:rsid w:val="00C545FD"/>
    <w:rsid w:val="00C60D17"/>
    <w:rsid w:val="00C6312D"/>
    <w:rsid w:val="00C718EB"/>
    <w:rsid w:val="00C81225"/>
    <w:rsid w:val="00CB196D"/>
    <w:rsid w:val="00CC1BDB"/>
    <w:rsid w:val="00CE5E69"/>
    <w:rsid w:val="00D1195A"/>
    <w:rsid w:val="00D167B1"/>
    <w:rsid w:val="00D3159B"/>
    <w:rsid w:val="00D32B06"/>
    <w:rsid w:val="00D43BBD"/>
    <w:rsid w:val="00D61B59"/>
    <w:rsid w:val="00D74AA1"/>
    <w:rsid w:val="00D80D84"/>
    <w:rsid w:val="00D8519B"/>
    <w:rsid w:val="00D871AB"/>
    <w:rsid w:val="00DA4860"/>
    <w:rsid w:val="00DC5A8E"/>
    <w:rsid w:val="00DF7E91"/>
    <w:rsid w:val="00E02B6A"/>
    <w:rsid w:val="00E05F7D"/>
    <w:rsid w:val="00E17E07"/>
    <w:rsid w:val="00E2125A"/>
    <w:rsid w:val="00E23670"/>
    <w:rsid w:val="00E24FA2"/>
    <w:rsid w:val="00E256E7"/>
    <w:rsid w:val="00E44DF1"/>
    <w:rsid w:val="00E6099A"/>
    <w:rsid w:val="00E74ABE"/>
    <w:rsid w:val="00EA4B29"/>
    <w:rsid w:val="00EA4B99"/>
    <w:rsid w:val="00EB0F17"/>
    <w:rsid w:val="00EB783C"/>
    <w:rsid w:val="00EC0DDC"/>
    <w:rsid w:val="00EE38E7"/>
    <w:rsid w:val="00EE7B1B"/>
    <w:rsid w:val="00F0360F"/>
    <w:rsid w:val="00F23EFD"/>
    <w:rsid w:val="00F4416D"/>
    <w:rsid w:val="00F531AD"/>
    <w:rsid w:val="00FD4196"/>
    <w:rsid w:val="00FE14C1"/>
    <w:rsid w:val="00FF3C83"/>
    <w:rsid w:val="00FF761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CB9"/>
    <w:pPr>
      <w:spacing w:after="0" w:line="240" w:lineRule="auto"/>
    </w:pPr>
    <w:rPr>
      <w:rFonts w:ascii="Hebar" w:eastAsia="Times New Roman" w:hAnsi="Hebar" w:cs="Times New Roman"/>
      <w:sz w:val="24"/>
      <w:szCs w:val="20"/>
      <w:lang w:val="en-GB"/>
    </w:rPr>
  </w:style>
  <w:style w:type="paragraph" w:styleId="2">
    <w:name w:val="heading 2"/>
    <w:basedOn w:val="a"/>
    <w:next w:val="a"/>
    <w:link w:val="20"/>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CB9"/>
    <w:pPr>
      <w:tabs>
        <w:tab w:val="center" w:pos="4536"/>
        <w:tab w:val="right" w:pos="9072"/>
      </w:tabs>
    </w:pPr>
  </w:style>
  <w:style w:type="character" w:customStyle="1" w:styleId="a4">
    <w:name w:val="Горен колонтитул Знак"/>
    <w:basedOn w:val="a0"/>
    <w:link w:val="a3"/>
    <w:uiPriority w:val="99"/>
    <w:rsid w:val="00403CB9"/>
    <w:rPr>
      <w:rFonts w:ascii="Hebar" w:eastAsia="Times New Roman" w:hAnsi="Hebar" w:cs="Times New Roman"/>
      <w:sz w:val="24"/>
      <w:szCs w:val="20"/>
      <w:lang w:val="en-GB"/>
    </w:rPr>
  </w:style>
  <w:style w:type="paragraph" w:styleId="a5">
    <w:name w:val="footer"/>
    <w:basedOn w:val="a"/>
    <w:link w:val="a6"/>
    <w:uiPriority w:val="99"/>
    <w:rsid w:val="00403CB9"/>
    <w:pPr>
      <w:tabs>
        <w:tab w:val="center" w:pos="4536"/>
        <w:tab w:val="right" w:pos="9072"/>
      </w:tabs>
    </w:pPr>
  </w:style>
  <w:style w:type="character" w:customStyle="1" w:styleId="a6">
    <w:name w:val="Долен колонтитул Знак"/>
    <w:basedOn w:val="a0"/>
    <w:link w:val="a5"/>
    <w:uiPriority w:val="99"/>
    <w:rsid w:val="00403CB9"/>
    <w:rPr>
      <w:rFonts w:ascii="Hebar" w:eastAsia="Times New Roman" w:hAnsi="Hebar" w:cs="Times New Roman"/>
      <w:sz w:val="24"/>
      <w:szCs w:val="20"/>
      <w:lang w:val="en-GB"/>
    </w:rPr>
  </w:style>
  <w:style w:type="character" w:styleId="a7">
    <w:name w:val="Hyperlink"/>
    <w:rsid w:val="00403CB9"/>
    <w:rPr>
      <w:color w:val="0000FF"/>
      <w:u w:val="single"/>
    </w:rPr>
  </w:style>
  <w:style w:type="paragraph" w:styleId="a8">
    <w:name w:val="Normal (Web)"/>
    <w:basedOn w:val="a"/>
    <w:uiPriority w:val="99"/>
    <w:rsid w:val="00403CB9"/>
    <w:pPr>
      <w:spacing w:before="100" w:beforeAutospacing="1" w:after="100" w:afterAutospacing="1"/>
    </w:pPr>
    <w:rPr>
      <w:rFonts w:ascii="Times New Roman" w:hAnsi="Times New Roman"/>
      <w:szCs w:val="24"/>
      <w:lang w:val="bg-BG" w:eastAsia="bg-BG"/>
    </w:rPr>
  </w:style>
  <w:style w:type="character" w:styleId="a9">
    <w:name w:val="page number"/>
    <w:basedOn w:val="a0"/>
    <w:rsid w:val="00403CB9"/>
  </w:style>
  <w:style w:type="paragraph" w:styleId="HTML">
    <w:name w:val="HTML Preformatted"/>
    <w:basedOn w:val="a"/>
    <w:link w:val="HTML0"/>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0">
    <w:name w:val="HTML стандартен Знак"/>
    <w:basedOn w:val="a0"/>
    <w:link w:val="HTML"/>
    <w:rsid w:val="00403CB9"/>
    <w:rPr>
      <w:rFonts w:ascii="Courier New" w:eastAsia="SimSun" w:hAnsi="Courier New" w:cs="Courier New"/>
      <w:sz w:val="20"/>
      <w:szCs w:val="20"/>
      <w:lang w:val="bg-BG" w:eastAsia="zh-TW"/>
    </w:rPr>
  </w:style>
  <w:style w:type="character" w:customStyle="1" w:styleId="longtext">
    <w:name w:val="long_text"/>
    <w:basedOn w:val="a0"/>
    <w:rsid w:val="00403CB9"/>
  </w:style>
  <w:style w:type="character" w:customStyle="1" w:styleId="notranslate">
    <w:name w:val="notranslate"/>
    <w:rsid w:val="00403CB9"/>
  </w:style>
  <w:style w:type="paragraph" w:styleId="aa">
    <w:name w:val="Balloon Text"/>
    <w:basedOn w:val="a"/>
    <w:link w:val="ab"/>
    <w:uiPriority w:val="99"/>
    <w:semiHidden/>
    <w:unhideWhenUsed/>
    <w:rsid w:val="00B93F21"/>
    <w:rPr>
      <w:rFonts w:ascii="Tahoma" w:hAnsi="Tahoma" w:cs="Tahoma"/>
      <w:sz w:val="16"/>
      <w:szCs w:val="16"/>
    </w:rPr>
  </w:style>
  <w:style w:type="character" w:customStyle="1" w:styleId="ab">
    <w:name w:val="Изнесен текст Знак"/>
    <w:basedOn w:val="a0"/>
    <w:link w:val="aa"/>
    <w:uiPriority w:val="99"/>
    <w:semiHidden/>
    <w:rsid w:val="00B93F21"/>
    <w:rPr>
      <w:rFonts w:ascii="Tahoma" w:eastAsia="Times New Roman" w:hAnsi="Tahoma" w:cs="Tahoma"/>
      <w:sz w:val="16"/>
      <w:szCs w:val="16"/>
      <w:lang w:val="en-GB"/>
    </w:rPr>
  </w:style>
  <w:style w:type="paragraph" w:customStyle="1" w:styleId="ac">
    <w:name w:val="Знак Знак"/>
    <w:basedOn w:val="a"/>
    <w:rsid w:val="001E1EAA"/>
    <w:rPr>
      <w:rFonts w:ascii="Times New Roman" w:hAnsi="Times New Roman"/>
      <w:szCs w:val="24"/>
      <w:lang w:val="pl-PL" w:eastAsia="pl-PL"/>
    </w:rPr>
  </w:style>
  <w:style w:type="paragraph" w:styleId="ad">
    <w:name w:val="Body Text"/>
    <w:basedOn w:val="a"/>
    <w:link w:val="ae"/>
    <w:rsid w:val="001E1EAA"/>
    <w:rPr>
      <w:rFonts w:ascii="Times New Roman" w:hAnsi="Times New Roman"/>
      <w:sz w:val="28"/>
      <w:lang w:val="bg-BG"/>
    </w:rPr>
  </w:style>
  <w:style w:type="character" w:customStyle="1" w:styleId="ae">
    <w:name w:val="Основен текст Знак"/>
    <w:basedOn w:val="a0"/>
    <w:link w:val="ad"/>
    <w:rsid w:val="001E1EAA"/>
    <w:rPr>
      <w:rFonts w:ascii="Times New Roman" w:eastAsia="Times New Roman" w:hAnsi="Times New Roman" w:cs="Times New Roman"/>
      <w:sz w:val="28"/>
      <w:szCs w:val="20"/>
      <w:lang w:val="bg-BG"/>
    </w:rPr>
  </w:style>
  <w:style w:type="character" w:customStyle="1" w:styleId="20">
    <w:name w:val="Заглавие 2 Знак"/>
    <w:basedOn w:val="a0"/>
    <w:link w:val="2"/>
    <w:uiPriority w:val="9"/>
    <w:rsid w:val="006367A9"/>
    <w:rPr>
      <w:rFonts w:asciiTheme="majorHAnsi" w:eastAsiaTheme="majorEastAsia" w:hAnsiTheme="majorHAnsi" w:cstheme="majorBidi"/>
      <w:b/>
      <w:bCs/>
      <w:color w:val="5B9BD5" w:themeColor="accent1"/>
      <w:sz w:val="26"/>
      <w:szCs w:val="26"/>
      <w:lang w:val="en-GB"/>
    </w:rPr>
  </w:style>
  <w:style w:type="paragraph" w:styleId="af">
    <w:name w:val="Title"/>
    <w:basedOn w:val="a"/>
    <w:link w:val="af0"/>
    <w:qFormat/>
    <w:rsid w:val="00A1170C"/>
    <w:pPr>
      <w:jc w:val="center"/>
    </w:pPr>
    <w:rPr>
      <w:rFonts w:ascii="Times New Roman" w:hAnsi="Times New Roman"/>
      <w:b/>
      <w:sz w:val="28"/>
      <w:lang w:val="bg-BG" w:eastAsia="bg-BG"/>
    </w:rPr>
  </w:style>
  <w:style w:type="character" w:customStyle="1" w:styleId="af0">
    <w:name w:val="Заглавие Знак"/>
    <w:basedOn w:val="a0"/>
    <w:link w:val="af"/>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a0"/>
    <w:rsid w:val="00C6312D"/>
  </w:style>
  <w:style w:type="character" w:styleId="af1">
    <w:name w:val="annotation reference"/>
    <w:basedOn w:val="a0"/>
    <w:uiPriority w:val="99"/>
    <w:semiHidden/>
    <w:unhideWhenUsed/>
    <w:rsid w:val="003A2FF8"/>
    <w:rPr>
      <w:sz w:val="16"/>
      <w:szCs w:val="16"/>
    </w:rPr>
  </w:style>
  <w:style w:type="paragraph" w:styleId="af2">
    <w:name w:val="annotation text"/>
    <w:basedOn w:val="a"/>
    <w:link w:val="af3"/>
    <w:uiPriority w:val="99"/>
    <w:semiHidden/>
    <w:unhideWhenUsed/>
    <w:rsid w:val="003A2FF8"/>
    <w:rPr>
      <w:sz w:val="20"/>
    </w:rPr>
  </w:style>
  <w:style w:type="character" w:customStyle="1" w:styleId="af3">
    <w:name w:val="Текст на коментар Знак"/>
    <w:basedOn w:val="a0"/>
    <w:link w:val="af2"/>
    <w:uiPriority w:val="99"/>
    <w:semiHidden/>
    <w:rsid w:val="003A2FF8"/>
    <w:rPr>
      <w:rFonts w:ascii="Hebar" w:eastAsia="Times New Roman" w:hAnsi="Hebar" w:cs="Times New Roman"/>
      <w:sz w:val="20"/>
      <w:szCs w:val="20"/>
      <w:lang w:val="en-GB"/>
    </w:rPr>
  </w:style>
  <w:style w:type="paragraph" w:styleId="af4">
    <w:name w:val="annotation subject"/>
    <w:basedOn w:val="af2"/>
    <w:next w:val="af2"/>
    <w:link w:val="af5"/>
    <w:uiPriority w:val="99"/>
    <w:semiHidden/>
    <w:unhideWhenUsed/>
    <w:rsid w:val="003A2FF8"/>
    <w:rPr>
      <w:b/>
      <w:bCs/>
    </w:rPr>
  </w:style>
  <w:style w:type="character" w:customStyle="1" w:styleId="af5">
    <w:name w:val="Предмет на коментар Знак"/>
    <w:basedOn w:val="af3"/>
    <w:link w:val="af4"/>
    <w:uiPriority w:val="99"/>
    <w:semiHidden/>
    <w:rsid w:val="003A2FF8"/>
    <w:rPr>
      <w:rFonts w:ascii="Hebar" w:eastAsia="Times New Roman" w:hAnsi="Hebar" w:cs="Times New Roman"/>
      <w:b/>
      <w:bCs/>
      <w:sz w:val="20"/>
      <w:szCs w:val="20"/>
      <w:lang w:val="en-GB"/>
    </w:rPr>
  </w:style>
  <w:style w:type="character" w:styleId="af6">
    <w:name w:val="Strong"/>
    <w:basedOn w:val="a0"/>
    <w:uiPriority w:val="22"/>
    <w:qFormat/>
    <w:rsid w:val="00B64ABE"/>
    <w:rPr>
      <w:b/>
      <w:bCs/>
    </w:rPr>
  </w:style>
  <w:style w:type="paragraph" w:styleId="af7">
    <w:name w:val="List Paragraph"/>
    <w:basedOn w:val="a"/>
    <w:uiPriority w:val="34"/>
    <w:qFormat/>
    <w:rsid w:val="00B64A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character" w:styleId="CommentReference">
    <w:name w:val="annotation reference"/>
    <w:basedOn w:val="DefaultParagraphFont"/>
    <w:uiPriority w:val="99"/>
    <w:semiHidden/>
    <w:unhideWhenUsed/>
    <w:rsid w:val="003A2FF8"/>
    <w:rPr>
      <w:sz w:val="16"/>
      <w:szCs w:val="16"/>
    </w:rPr>
  </w:style>
  <w:style w:type="paragraph" w:styleId="CommentText">
    <w:name w:val="annotation text"/>
    <w:basedOn w:val="Normal"/>
    <w:link w:val="CommentTextChar"/>
    <w:uiPriority w:val="99"/>
    <w:semiHidden/>
    <w:unhideWhenUsed/>
    <w:rsid w:val="003A2FF8"/>
    <w:rPr>
      <w:sz w:val="20"/>
    </w:rPr>
  </w:style>
  <w:style w:type="character" w:customStyle="1" w:styleId="CommentTextChar">
    <w:name w:val="Comment Text Char"/>
    <w:basedOn w:val="DefaultParagraphFont"/>
    <w:link w:val="CommentText"/>
    <w:uiPriority w:val="99"/>
    <w:semiHidden/>
    <w:rsid w:val="003A2FF8"/>
    <w:rPr>
      <w:rFonts w:ascii="Hebar" w:eastAsia="Times New Roman" w:hAnsi="Hebar"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A2FF8"/>
    <w:rPr>
      <w:b/>
      <w:bCs/>
    </w:rPr>
  </w:style>
  <w:style w:type="character" w:customStyle="1" w:styleId="CommentSubjectChar">
    <w:name w:val="Comment Subject Char"/>
    <w:basedOn w:val="CommentTextChar"/>
    <w:link w:val="CommentSubject"/>
    <w:uiPriority w:val="99"/>
    <w:semiHidden/>
    <w:rsid w:val="003A2FF8"/>
    <w:rPr>
      <w:rFonts w:ascii="Hebar" w:eastAsia="Times New Roman" w:hAnsi="Hebar" w:cs="Times New Roman"/>
      <w:b/>
      <w:bCs/>
      <w:sz w:val="20"/>
      <w:szCs w:val="20"/>
      <w:lang w:val="en-GB"/>
    </w:rPr>
  </w:style>
  <w:style w:type="character" w:styleId="Strong">
    <w:name w:val="Strong"/>
    <w:basedOn w:val="DefaultParagraphFont"/>
    <w:uiPriority w:val="22"/>
    <w:qFormat/>
    <w:rsid w:val="00B64ABE"/>
    <w:rPr>
      <w:b/>
      <w:bCs/>
    </w:rPr>
  </w:style>
  <w:style w:type="paragraph" w:styleId="ListParagraph">
    <w:name w:val="List Paragraph"/>
    <w:basedOn w:val="Normal"/>
    <w:uiPriority w:val="34"/>
    <w:qFormat/>
    <w:rsid w:val="00B64ABE"/>
    <w:pPr>
      <w:ind w:left="720"/>
      <w:contextualSpacing/>
    </w:pPr>
  </w:style>
</w:styles>
</file>

<file path=word/webSettings.xml><?xml version="1.0" encoding="utf-8"?>
<w:webSettings xmlns:r="http://schemas.openxmlformats.org/officeDocument/2006/relationships" xmlns:w="http://schemas.openxmlformats.org/wordprocessingml/2006/main">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25535435">
      <w:bodyDiv w:val="1"/>
      <w:marLeft w:val="0"/>
      <w:marRight w:val="0"/>
      <w:marTop w:val="0"/>
      <w:marBottom w:val="0"/>
      <w:divBdr>
        <w:top w:val="none" w:sz="0" w:space="0" w:color="auto"/>
        <w:left w:val="none" w:sz="0" w:space="0" w:color="auto"/>
        <w:bottom w:val="none" w:sz="0" w:space="0" w:color="auto"/>
        <w:right w:val="none" w:sz="0" w:space="0" w:color="auto"/>
      </w:divBdr>
    </w:div>
    <w:div w:id="315693110">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22979715">
      <w:bodyDiv w:val="1"/>
      <w:marLeft w:val="0"/>
      <w:marRight w:val="0"/>
      <w:marTop w:val="0"/>
      <w:marBottom w:val="0"/>
      <w:divBdr>
        <w:top w:val="none" w:sz="0" w:space="0" w:color="auto"/>
        <w:left w:val="none" w:sz="0" w:space="0" w:color="auto"/>
        <w:bottom w:val="none" w:sz="0" w:space="0" w:color="auto"/>
        <w:right w:val="none" w:sz="0" w:space="0" w:color="auto"/>
      </w:divBdr>
      <w:divsChild>
        <w:div w:id="172912829">
          <w:marLeft w:val="0"/>
          <w:marRight w:val="0"/>
          <w:marTop w:val="0"/>
          <w:marBottom w:val="0"/>
          <w:divBdr>
            <w:top w:val="none" w:sz="0" w:space="0" w:color="auto"/>
            <w:left w:val="none" w:sz="0" w:space="0" w:color="auto"/>
            <w:bottom w:val="none" w:sz="0" w:space="0" w:color="auto"/>
            <w:right w:val="none" w:sz="0" w:space="0" w:color="auto"/>
          </w:divBdr>
        </w:div>
        <w:div w:id="598022183">
          <w:marLeft w:val="0"/>
          <w:marRight w:val="0"/>
          <w:marTop w:val="0"/>
          <w:marBottom w:val="0"/>
          <w:divBdr>
            <w:top w:val="none" w:sz="0" w:space="0" w:color="auto"/>
            <w:left w:val="none" w:sz="0" w:space="0" w:color="auto"/>
            <w:bottom w:val="none" w:sz="0" w:space="0" w:color="auto"/>
            <w:right w:val="none" w:sz="0" w:space="0" w:color="auto"/>
          </w:divBdr>
        </w:div>
        <w:div w:id="261258208">
          <w:marLeft w:val="0"/>
          <w:marRight w:val="0"/>
          <w:marTop w:val="0"/>
          <w:marBottom w:val="0"/>
          <w:divBdr>
            <w:top w:val="none" w:sz="0" w:space="0" w:color="auto"/>
            <w:left w:val="none" w:sz="0" w:space="0" w:color="auto"/>
            <w:bottom w:val="none" w:sz="0" w:space="0" w:color="auto"/>
            <w:right w:val="none" w:sz="0" w:space="0" w:color="auto"/>
          </w:divBdr>
        </w:div>
        <w:div w:id="2021273611">
          <w:marLeft w:val="0"/>
          <w:marRight w:val="0"/>
          <w:marTop w:val="0"/>
          <w:marBottom w:val="0"/>
          <w:divBdr>
            <w:top w:val="none" w:sz="0" w:space="0" w:color="auto"/>
            <w:left w:val="none" w:sz="0" w:space="0" w:color="auto"/>
            <w:bottom w:val="none" w:sz="0" w:space="0" w:color="auto"/>
            <w:right w:val="none" w:sz="0" w:space="0" w:color="auto"/>
          </w:divBdr>
        </w:div>
        <w:div w:id="752699333">
          <w:marLeft w:val="0"/>
          <w:marRight w:val="0"/>
          <w:marTop w:val="0"/>
          <w:marBottom w:val="0"/>
          <w:divBdr>
            <w:top w:val="none" w:sz="0" w:space="0" w:color="auto"/>
            <w:left w:val="none" w:sz="0" w:space="0" w:color="auto"/>
            <w:bottom w:val="none" w:sz="0" w:space="0" w:color="auto"/>
            <w:right w:val="none" w:sz="0" w:space="0" w:color="auto"/>
          </w:divBdr>
        </w:div>
        <w:div w:id="1692562983">
          <w:marLeft w:val="0"/>
          <w:marRight w:val="0"/>
          <w:marTop w:val="0"/>
          <w:marBottom w:val="0"/>
          <w:divBdr>
            <w:top w:val="none" w:sz="0" w:space="0" w:color="auto"/>
            <w:left w:val="none" w:sz="0" w:space="0" w:color="auto"/>
            <w:bottom w:val="none" w:sz="0" w:space="0" w:color="auto"/>
            <w:right w:val="none" w:sz="0" w:space="0" w:color="auto"/>
          </w:divBdr>
        </w:div>
        <w:div w:id="1770660312">
          <w:marLeft w:val="0"/>
          <w:marRight w:val="0"/>
          <w:marTop w:val="0"/>
          <w:marBottom w:val="0"/>
          <w:divBdr>
            <w:top w:val="none" w:sz="0" w:space="0" w:color="auto"/>
            <w:left w:val="none" w:sz="0" w:space="0" w:color="auto"/>
            <w:bottom w:val="none" w:sz="0" w:space="0" w:color="auto"/>
            <w:right w:val="none" w:sz="0" w:space="0" w:color="auto"/>
          </w:divBdr>
        </w:div>
        <w:div w:id="2144152704">
          <w:marLeft w:val="0"/>
          <w:marRight w:val="0"/>
          <w:marTop w:val="0"/>
          <w:marBottom w:val="0"/>
          <w:divBdr>
            <w:top w:val="none" w:sz="0" w:space="0" w:color="auto"/>
            <w:left w:val="none" w:sz="0" w:space="0" w:color="auto"/>
            <w:bottom w:val="none" w:sz="0" w:space="0" w:color="auto"/>
            <w:right w:val="none" w:sz="0" w:space="0" w:color="auto"/>
          </w:divBdr>
        </w:div>
        <w:div w:id="1388533274">
          <w:marLeft w:val="0"/>
          <w:marRight w:val="0"/>
          <w:marTop w:val="0"/>
          <w:marBottom w:val="0"/>
          <w:divBdr>
            <w:top w:val="none" w:sz="0" w:space="0" w:color="auto"/>
            <w:left w:val="none" w:sz="0" w:space="0" w:color="auto"/>
            <w:bottom w:val="none" w:sz="0" w:space="0" w:color="auto"/>
            <w:right w:val="none" w:sz="0" w:space="0" w:color="auto"/>
          </w:divBdr>
        </w:div>
        <w:div w:id="1381632243">
          <w:marLeft w:val="0"/>
          <w:marRight w:val="0"/>
          <w:marTop w:val="0"/>
          <w:marBottom w:val="0"/>
          <w:divBdr>
            <w:top w:val="none" w:sz="0" w:space="0" w:color="auto"/>
            <w:left w:val="none" w:sz="0" w:space="0" w:color="auto"/>
            <w:bottom w:val="none" w:sz="0" w:space="0" w:color="auto"/>
            <w:right w:val="none" w:sz="0" w:space="0" w:color="auto"/>
          </w:divBdr>
        </w:div>
        <w:div w:id="1264609805">
          <w:marLeft w:val="0"/>
          <w:marRight w:val="0"/>
          <w:marTop w:val="0"/>
          <w:marBottom w:val="0"/>
          <w:divBdr>
            <w:top w:val="none" w:sz="0" w:space="0" w:color="auto"/>
            <w:left w:val="none" w:sz="0" w:space="0" w:color="auto"/>
            <w:bottom w:val="none" w:sz="0" w:space="0" w:color="auto"/>
            <w:right w:val="none" w:sz="0" w:space="0" w:color="auto"/>
          </w:divBdr>
        </w:div>
        <w:div w:id="383021105">
          <w:marLeft w:val="0"/>
          <w:marRight w:val="0"/>
          <w:marTop w:val="0"/>
          <w:marBottom w:val="0"/>
          <w:divBdr>
            <w:top w:val="none" w:sz="0" w:space="0" w:color="auto"/>
            <w:left w:val="none" w:sz="0" w:space="0" w:color="auto"/>
            <w:bottom w:val="none" w:sz="0" w:space="0" w:color="auto"/>
            <w:right w:val="none" w:sz="0" w:space="0" w:color="auto"/>
          </w:divBdr>
        </w:div>
        <w:div w:id="1002925940">
          <w:marLeft w:val="0"/>
          <w:marRight w:val="0"/>
          <w:marTop w:val="0"/>
          <w:marBottom w:val="0"/>
          <w:divBdr>
            <w:top w:val="none" w:sz="0" w:space="0" w:color="auto"/>
            <w:left w:val="none" w:sz="0" w:space="0" w:color="auto"/>
            <w:bottom w:val="none" w:sz="0" w:space="0" w:color="auto"/>
            <w:right w:val="none" w:sz="0" w:space="0" w:color="auto"/>
          </w:divBdr>
        </w:div>
        <w:div w:id="1298535309">
          <w:marLeft w:val="0"/>
          <w:marRight w:val="0"/>
          <w:marTop w:val="0"/>
          <w:marBottom w:val="0"/>
          <w:divBdr>
            <w:top w:val="none" w:sz="0" w:space="0" w:color="auto"/>
            <w:left w:val="none" w:sz="0" w:space="0" w:color="auto"/>
            <w:bottom w:val="none" w:sz="0" w:space="0" w:color="auto"/>
            <w:right w:val="none" w:sz="0" w:space="0" w:color="auto"/>
          </w:divBdr>
        </w:div>
        <w:div w:id="672219502">
          <w:marLeft w:val="0"/>
          <w:marRight w:val="0"/>
          <w:marTop w:val="0"/>
          <w:marBottom w:val="0"/>
          <w:divBdr>
            <w:top w:val="none" w:sz="0" w:space="0" w:color="auto"/>
            <w:left w:val="none" w:sz="0" w:space="0" w:color="auto"/>
            <w:bottom w:val="none" w:sz="0" w:space="0" w:color="auto"/>
            <w:right w:val="none" w:sz="0" w:space="0" w:color="auto"/>
          </w:divBdr>
        </w:div>
        <w:div w:id="629749100">
          <w:marLeft w:val="0"/>
          <w:marRight w:val="0"/>
          <w:marTop w:val="0"/>
          <w:marBottom w:val="0"/>
          <w:divBdr>
            <w:top w:val="none" w:sz="0" w:space="0" w:color="auto"/>
            <w:left w:val="none" w:sz="0" w:space="0" w:color="auto"/>
            <w:bottom w:val="none" w:sz="0" w:space="0" w:color="auto"/>
            <w:right w:val="none" w:sz="0" w:space="0" w:color="auto"/>
          </w:divBdr>
        </w:div>
        <w:div w:id="198789158">
          <w:marLeft w:val="0"/>
          <w:marRight w:val="0"/>
          <w:marTop w:val="0"/>
          <w:marBottom w:val="0"/>
          <w:divBdr>
            <w:top w:val="none" w:sz="0" w:space="0" w:color="auto"/>
            <w:left w:val="none" w:sz="0" w:space="0" w:color="auto"/>
            <w:bottom w:val="none" w:sz="0" w:space="0" w:color="auto"/>
            <w:right w:val="none" w:sz="0" w:space="0" w:color="auto"/>
          </w:divBdr>
        </w:div>
        <w:div w:id="30501674">
          <w:marLeft w:val="0"/>
          <w:marRight w:val="0"/>
          <w:marTop w:val="0"/>
          <w:marBottom w:val="0"/>
          <w:divBdr>
            <w:top w:val="none" w:sz="0" w:space="0" w:color="auto"/>
            <w:left w:val="none" w:sz="0" w:space="0" w:color="auto"/>
            <w:bottom w:val="none" w:sz="0" w:space="0" w:color="auto"/>
            <w:right w:val="none" w:sz="0" w:space="0" w:color="auto"/>
          </w:divBdr>
        </w:div>
        <w:div w:id="1254320176">
          <w:marLeft w:val="0"/>
          <w:marRight w:val="0"/>
          <w:marTop w:val="0"/>
          <w:marBottom w:val="0"/>
          <w:divBdr>
            <w:top w:val="none" w:sz="0" w:space="0" w:color="auto"/>
            <w:left w:val="none" w:sz="0" w:space="0" w:color="auto"/>
            <w:bottom w:val="none" w:sz="0" w:space="0" w:color="auto"/>
            <w:right w:val="none" w:sz="0" w:space="0" w:color="auto"/>
          </w:divBdr>
        </w:div>
        <w:div w:id="714161233">
          <w:marLeft w:val="0"/>
          <w:marRight w:val="0"/>
          <w:marTop w:val="0"/>
          <w:marBottom w:val="0"/>
          <w:divBdr>
            <w:top w:val="none" w:sz="0" w:space="0" w:color="auto"/>
            <w:left w:val="none" w:sz="0" w:space="0" w:color="auto"/>
            <w:bottom w:val="none" w:sz="0" w:space="0" w:color="auto"/>
            <w:right w:val="none" w:sz="0" w:space="0" w:color="auto"/>
          </w:divBdr>
        </w:div>
        <w:div w:id="2011828053">
          <w:marLeft w:val="0"/>
          <w:marRight w:val="0"/>
          <w:marTop w:val="0"/>
          <w:marBottom w:val="0"/>
          <w:divBdr>
            <w:top w:val="none" w:sz="0" w:space="0" w:color="auto"/>
            <w:left w:val="none" w:sz="0" w:space="0" w:color="auto"/>
            <w:bottom w:val="none" w:sz="0" w:space="0" w:color="auto"/>
            <w:right w:val="none" w:sz="0" w:space="0" w:color="auto"/>
          </w:divBdr>
        </w:div>
        <w:div w:id="842470607">
          <w:marLeft w:val="0"/>
          <w:marRight w:val="0"/>
          <w:marTop w:val="0"/>
          <w:marBottom w:val="0"/>
          <w:divBdr>
            <w:top w:val="none" w:sz="0" w:space="0" w:color="auto"/>
            <w:left w:val="none" w:sz="0" w:space="0" w:color="auto"/>
            <w:bottom w:val="none" w:sz="0" w:space="0" w:color="auto"/>
            <w:right w:val="none" w:sz="0" w:space="0" w:color="auto"/>
          </w:divBdr>
        </w:div>
        <w:div w:id="1318537682">
          <w:marLeft w:val="0"/>
          <w:marRight w:val="0"/>
          <w:marTop w:val="0"/>
          <w:marBottom w:val="0"/>
          <w:divBdr>
            <w:top w:val="none" w:sz="0" w:space="0" w:color="auto"/>
            <w:left w:val="none" w:sz="0" w:space="0" w:color="auto"/>
            <w:bottom w:val="none" w:sz="0" w:space="0" w:color="auto"/>
            <w:right w:val="none" w:sz="0" w:space="0" w:color="auto"/>
          </w:divBdr>
        </w:div>
        <w:div w:id="241840580">
          <w:marLeft w:val="0"/>
          <w:marRight w:val="0"/>
          <w:marTop w:val="0"/>
          <w:marBottom w:val="0"/>
          <w:divBdr>
            <w:top w:val="none" w:sz="0" w:space="0" w:color="auto"/>
            <w:left w:val="none" w:sz="0" w:space="0" w:color="auto"/>
            <w:bottom w:val="none" w:sz="0" w:space="0" w:color="auto"/>
            <w:right w:val="none" w:sz="0" w:space="0" w:color="auto"/>
          </w:divBdr>
        </w:div>
        <w:div w:id="1039628552">
          <w:marLeft w:val="0"/>
          <w:marRight w:val="0"/>
          <w:marTop w:val="0"/>
          <w:marBottom w:val="0"/>
          <w:divBdr>
            <w:top w:val="none" w:sz="0" w:space="0" w:color="auto"/>
            <w:left w:val="none" w:sz="0" w:space="0" w:color="auto"/>
            <w:bottom w:val="none" w:sz="0" w:space="0" w:color="auto"/>
            <w:right w:val="none" w:sz="0" w:space="0" w:color="auto"/>
          </w:divBdr>
        </w:div>
        <w:div w:id="1325353008">
          <w:marLeft w:val="0"/>
          <w:marRight w:val="0"/>
          <w:marTop w:val="0"/>
          <w:marBottom w:val="0"/>
          <w:divBdr>
            <w:top w:val="none" w:sz="0" w:space="0" w:color="auto"/>
            <w:left w:val="none" w:sz="0" w:space="0" w:color="auto"/>
            <w:bottom w:val="none" w:sz="0" w:space="0" w:color="auto"/>
            <w:right w:val="none" w:sz="0" w:space="0" w:color="auto"/>
          </w:divBdr>
        </w:div>
        <w:div w:id="1879273308">
          <w:marLeft w:val="0"/>
          <w:marRight w:val="0"/>
          <w:marTop w:val="0"/>
          <w:marBottom w:val="0"/>
          <w:divBdr>
            <w:top w:val="none" w:sz="0" w:space="0" w:color="auto"/>
            <w:left w:val="none" w:sz="0" w:space="0" w:color="auto"/>
            <w:bottom w:val="none" w:sz="0" w:space="0" w:color="auto"/>
            <w:right w:val="none" w:sz="0" w:space="0" w:color="auto"/>
          </w:divBdr>
        </w:div>
        <w:div w:id="1422336367">
          <w:marLeft w:val="0"/>
          <w:marRight w:val="0"/>
          <w:marTop w:val="0"/>
          <w:marBottom w:val="0"/>
          <w:divBdr>
            <w:top w:val="none" w:sz="0" w:space="0" w:color="auto"/>
            <w:left w:val="none" w:sz="0" w:space="0" w:color="auto"/>
            <w:bottom w:val="none" w:sz="0" w:space="0" w:color="auto"/>
            <w:right w:val="none" w:sz="0" w:space="0" w:color="auto"/>
          </w:divBdr>
        </w:div>
        <w:div w:id="1000355616">
          <w:marLeft w:val="0"/>
          <w:marRight w:val="0"/>
          <w:marTop w:val="0"/>
          <w:marBottom w:val="0"/>
          <w:divBdr>
            <w:top w:val="none" w:sz="0" w:space="0" w:color="auto"/>
            <w:left w:val="none" w:sz="0" w:space="0" w:color="auto"/>
            <w:bottom w:val="none" w:sz="0" w:space="0" w:color="auto"/>
            <w:right w:val="none" w:sz="0" w:space="0" w:color="auto"/>
          </w:divBdr>
        </w:div>
        <w:div w:id="1720474864">
          <w:marLeft w:val="0"/>
          <w:marRight w:val="0"/>
          <w:marTop w:val="0"/>
          <w:marBottom w:val="0"/>
          <w:divBdr>
            <w:top w:val="none" w:sz="0" w:space="0" w:color="auto"/>
            <w:left w:val="none" w:sz="0" w:space="0" w:color="auto"/>
            <w:bottom w:val="none" w:sz="0" w:space="0" w:color="auto"/>
            <w:right w:val="none" w:sz="0" w:space="0" w:color="auto"/>
          </w:divBdr>
        </w:div>
        <w:div w:id="360400882">
          <w:marLeft w:val="0"/>
          <w:marRight w:val="0"/>
          <w:marTop w:val="0"/>
          <w:marBottom w:val="0"/>
          <w:divBdr>
            <w:top w:val="none" w:sz="0" w:space="0" w:color="auto"/>
            <w:left w:val="none" w:sz="0" w:space="0" w:color="auto"/>
            <w:bottom w:val="none" w:sz="0" w:space="0" w:color="auto"/>
            <w:right w:val="none" w:sz="0" w:space="0" w:color="auto"/>
          </w:divBdr>
        </w:div>
        <w:div w:id="865871520">
          <w:marLeft w:val="0"/>
          <w:marRight w:val="0"/>
          <w:marTop w:val="0"/>
          <w:marBottom w:val="0"/>
          <w:divBdr>
            <w:top w:val="none" w:sz="0" w:space="0" w:color="auto"/>
            <w:left w:val="none" w:sz="0" w:space="0" w:color="auto"/>
            <w:bottom w:val="none" w:sz="0" w:space="0" w:color="auto"/>
            <w:right w:val="none" w:sz="0" w:space="0" w:color="auto"/>
          </w:divBdr>
        </w:div>
        <w:div w:id="1593129084">
          <w:marLeft w:val="0"/>
          <w:marRight w:val="0"/>
          <w:marTop w:val="0"/>
          <w:marBottom w:val="0"/>
          <w:divBdr>
            <w:top w:val="none" w:sz="0" w:space="0" w:color="auto"/>
            <w:left w:val="none" w:sz="0" w:space="0" w:color="auto"/>
            <w:bottom w:val="none" w:sz="0" w:space="0" w:color="auto"/>
            <w:right w:val="none" w:sz="0" w:space="0" w:color="auto"/>
          </w:divBdr>
        </w:div>
        <w:div w:id="80566418">
          <w:marLeft w:val="0"/>
          <w:marRight w:val="0"/>
          <w:marTop w:val="0"/>
          <w:marBottom w:val="0"/>
          <w:divBdr>
            <w:top w:val="none" w:sz="0" w:space="0" w:color="auto"/>
            <w:left w:val="none" w:sz="0" w:space="0" w:color="auto"/>
            <w:bottom w:val="none" w:sz="0" w:space="0" w:color="auto"/>
            <w:right w:val="none" w:sz="0" w:space="0" w:color="auto"/>
          </w:divBdr>
        </w:div>
        <w:div w:id="96798626">
          <w:marLeft w:val="0"/>
          <w:marRight w:val="0"/>
          <w:marTop w:val="0"/>
          <w:marBottom w:val="0"/>
          <w:divBdr>
            <w:top w:val="none" w:sz="0" w:space="0" w:color="auto"/>
            <w:left w:val="none" w:sz="0" w:space="0" w:color="auto"/>
            <w:bottom w:val="none" w:sz="0" w:space="0" w:color="auto"/>
            <w:right w:val="none" w:sz="0" w:space="0" w:color="auto"/>
          </w:divBdr>
        </w:div>
        <w:div w:id="1436166889">
          <w:marLeft w:val="0"/>
          <w:marRight w:val="0"/>
          <w:marTop w:val="0"/>
          <w:marBottom w:val="0"/>
          <w:divBdr>
            <w:top w:val="none" w:sz="0" w:space="0" w:color="auto"/>
            <w:left w:val="none" w:sz="0" w:space="0" w:color="auto"/>
            <w:bottom w:val="none" w:sz="0" w:space="0" w:color="auto"/>
            <w:right w:val="none" w:sz="0" w:space="0" w:color="auto"/>
          </w:divBdr>
        </w:div>
        <w:div w:id="777455261">
          <w:marLeft w:val="0"/>
          <w:marRight w:val="0"/>
          <w:marTop w:val="0"/>
          <w:marBottom w:val="0"/>
          <w:divBdr>
            <w:top w:val="none" w:sz="0" w:space="0" w:color="auto"/>
            <w:left w:val="none" w:sz="0" w:space="0" w:color="auto"/>
            <w:bottom w:val="none" w:sz="0" w:space="0" w:color="auto"/>
            <w:right w:val="none" w:sz="0" w:space="0" w:color="auto"/>
          </w:divBdr>
        </w:div>
        <w:div w:id="826090548">
          <w:marLeft w:val="0"/>
          <w:marRight w:val="0"/>
          <w:marTop w:val="0"/>
          <w:marBottom w:val="0"/>
          <w:divBdr>
            <w:top w:val="none" w:sz="0" w:space="0" w:color="auto"/>
            <w:left w:val="none" w:sz="0" w:space="0" w:color="auto"/>
            <w:bottom w:val="none" w:sz="0" w:space="0" w:color="auto"/>
            <w:right w:val="none" w:sz="0" w:space="0" w:color="auto"/>
          </w:divBdr>
        </w:div>
        <w:div w:id="1784184069">
          <w:marLeft w:val="0"/>
          <w:marRight w:val="0"/>
          <w:marTop w:val="0"/>
          <w:marBottom w:val="0"/>
          <w:divBdr>
            <w:top w:val="none" w:sz="0" w:space="0" w:color="auto"/>
            <w:left w:val="none" w:sz="0" w:space="0" w:color="auto"/>
            <w:bottom w:val="none" w:sz="0" w:space="0" w:color="auto"/>
            <w:right w:val="none" w:sz="0" w:space="0" w:color="auto"/>
          </w:divBdr>
        </w:div>
        <w:div w:id="1124158723">
          <w:marLeft w:val="0"/>
          <w:marRight w:val="0"/>
          <w:marTop w:val="0"/>
          <w:marBottom w:val="0"/>
          <w:divBdr>
            <w:top w:val="none" w:sz="0" w:space="0" w:color="auto"/>
            <w:left w:val="none" w:sz="0" w:space="0" w:color="auto"/>
            <w:bottom w:val="none" w:sz="0" w:space="0" w:color="auto"/>
            <w:right w:val="none" w:sz="0" w:space="0" w:color="auto"/>
          </w:divBdr>
        </w:div>
        <w:div w:id="162550289">
          <w:marLeft w:val="0"/>
          <w:marRight w:val="0"/>
          <w:marTop w:val="0"/>
          <w:marBottom w:val="0"/>
          <w:divBdr>
            <w:top w:val="none" w:sz="0" w:space="0" w:color="auto"/>
            <w:left w:val="none" w:sz="0" w:space="0" w:color="auto"/>
            <w:bottom w:val="none" w:sz="0" w:space="0" w:color="auto"/>
            <w:right w:val="none" w:sz="0" w:space="0" w:color="auto"/>
          </w:divBdr>
        </w:div>
        <w:div w:id="122508538">
          <w:marLeft w:val="0"/>
          <w:marRight w:val="0"/>
          <w:marTop w:val="0"/>
          <w:marBottom w:val="0"/>
          <w:divBdr>
            <w:top w:val="none" w:sz="0" w:space="0" w:color="auto"/>
            <w:left w:val="none" w:sz="0" w:space="0" w:color="auto"/>
            <w:bottom w:val="none" w:sz="0" w:space="0" w:color="auto"/>
            <w:right w:val="none" w:sz="0" w:space="0" w:color="auto"/>
          </w:divBdr>
        </w:div>
        <w:div w:id="512257601">
          <w:marLeft w:val="0"/>
          <w:marRight w:val="0"/>
          <w:marTop w:val="0"/>
          <w:marBottom w:val="0"/>
          <w:divBdr>
            <w:top w:val="none" w:sz="0" w:space="0" w:color="auto"/>
            <w:left w:val="none" w:sz="0" w:space="0" w:color="auto"/>
            <w:bottom w:val="none" w:sz="0" w:space="0" w:color="auto"/>
            <w:right w:val="none" w:sz="0" w:space="0" w:color="auto"/>
          </w:divBdr>
        </w:div>
        <w:div w:id="1432630272">
          <w:marLeft w:val="0"/>
          <w:marRight w:val="0"/>
          <w:marTop w:val="0"/>
          <w:marBottom w:val="0"/>
          <w:divBdr>
            <w:top w:val="none" w:sz="0" w:space="0" w:color="auto"/>
            <w:left w:val="none" w:sz="0" w:space="0" w:color="auto"/>
            <w:bottom w:val="none" w:sz="0" w:space="0" w:color="auto"/>
            <w:right w:val="none" w:sz="0" w:space="0" w:color="auto"/>
          </w:divBdr>
        </w:div>
        <w:div w:id="75136464">
          <w:marLeft w:val="0"/>
          <w:marRight w:val="0"/>
          <w:marTop w:val="0"/>
          <w:marBottom w:val="0"/>
          <w:divBdr>
            <w:top w:val="none" w:sz="0" w:space="0" w:color="auto"/>
            <w:left w:val="none" w:sz="0" w:space="0" w:color="auto"/>
            <w:bottom w:val="none" w:sz="0" w:space="0" w:color="auto"/>
            <w:right w:val="none" w:sz="0" w:space="0" w:color="auto"/>
          </w:divBdr>
        </w:div>
        <w:div w:id="1185441839">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
        <w:div w:id="1855218002">
          <w:marLeft w:val="0"/>
          <w:marRight w:val="0"/>
          <w:marTop w:val="0"/>
          <w:marBottom w:val="0"/>
          <w:divBdr>
            <w:top w:val="none" w:sz="0" w:space="0" w:color="auto"/>
            <w:left w:val="none" w:sz="0" w:space="0" w:color="auto"/>
            <w:bottom w:val="none" w:sz="0" w:space="0" w:color="auto"/>
            <w:right w:val="none" w:sz="0" w:space="0" w:color="auto"/>
          </w:divBdr>
        </w:div>
        <w:div w:id="739447772">
          <w:marLeft w:val="0"/>
          <w:marRight w:val="0"/>
          <w:marTop w:val="0"/>
          <w:marBottom w:val="0"/>
          <w:divBdr>
            <w:top w:val="none" w:sz="0" w:space="0" w:color="auto"/>
            <w:left w:val="none" w:sz="0" w:space="0" w:color="auto"/>
            <w:bottom w:val="none" w:sz="0" w:space="0" w:color="auto"/>
            <w:right w:val="none" w:sz="0" w:space="0" w:color="auto"/>
          </w:divBdr>
        </w:div>
        <w:div w:id="1975326750">
          <w:marLeft w:val="0"/>
          <w:marRight w:val="0"/>
          <w:marTop w:val="0"/>
          <w:marBottom w:val="0"/>
          <w:divBdr>
            <w:top w:val="none" w:sz="0" w:space="0" w:color="auto"/>
            <w:left w:val="none" w:sz="0" w:space="0" w:color="auto"/>
            <w:bottom w:val="none" w:sz="0" w:space="0" w:color="auto"/>
            <w:right w:val="none" w:sz="0" w:space="0" w:color="auto"/>
          </w:divBdr>
        </w:div>
        <w:div w:id="1039478359">
          <w:marLeft w:val="0"/>
          <w:marRight w:val="0"/>
          <w:marTop w:val="0"/>
          <w:marBottom w:val="0"/>
          <w:divBdr>
            <w:top w:val="none" w:sz="0" w:space="0" w:color="auto"/>
            <w:left w:val="none" w:sz="0" w:space="0" w:color="auto"/>
            <w:bottom w:val="none" w:sz="0" w:space="0" w:color="auto"/>
            <w:right w:val="none" w:sz="0" w:space="0" w:color="auto"/>
          </w:divBdr>
        </w:div>
        <w:div w:id="1166672948">
          <w:marLeft w:val="0"/>
          <w:marRight w:val="0"/>
          <w:marTop w:val="0"/>
          <w:marBottom w:val="0"/>
          <w:divBdr>
            <w:top w:val="none" w:sz="0" w:space="0" w:color="auto"/>
            <w:left w:val="none" w:sz="0" w:space="0" w:color="auto"/>
            <w:bottom w:val="none" w:sz="0" w:space="0" w:color="auto"/>
            <w:right w:val="none" w:sz="0" w:space="0" w:color="auto"/>
          </w:divBdr>
        </w:div>
        <w:div w:id="1317807169">
          <w:marLeft w:val="0"/>
          <w:marRight w:val="0"/>
          <w:marTop w:val="0"/>
          <w:marBottom w:val="0"/>
          <w:divBdr>
            <w:top w:val="none" w:sz="0" w:space="0" w:color="auto"/>
            <w:left w:val="none" w:sz="0" w:space="0" w:color="auto"/>
            <w:bottom w:val="none" w:sz="0" w:space="0" w:color="auto"/>
            <w:right w:val="none" w:sz="0" w:space="0" w:color="auto"/>
          </w:divBdr>
        </w:div>
        <w:div w:id="1698382536">
          <w:marLeft w:val="0"/>
          <w:marRight w:val="0"/>
          <w:marTop w:val="0"/>
          <w:marBottom w:val="0"/>
          <w:divBdr>
            <w:top w:val="none" w:sz="0" w:space="0" w:color="auto"/>
            <w:left w:val="none" w:sz="0" w:space="0" w:color="auto"/>
            <w:bottom w:val="none" w:sz="0" w:space="0" w:color="auto"/>
            <w:right w:val="none" w:sz="0" w:space="0" w:color="auto"/>
          </w:divBdr>
        </w:div>
        <w:div w:id="2071028901">
          <w:marLeft w:val="0"/>
          <w:marRight w:val="0"/>
          <w:marTop w:val="0"/>
          <w:marBottom w:val="0"/>
          <w:divBdr>
            <w:top w:val="none" w:sz="0" w:space="0" w:color="auto"/>
            <w:left w:val="none" w:sz="0" w:space="0" w:color="auto"/>
            <w:bottom w:val="none" w:sz="0" w:space="0" w:color="auto"/>
            <w:right w:val="none" w:sz="0" w:space="0" w:color="auto"/>
          </w:divBdr>
        </w:div>
        <w:div w:id="628442021">
          <w:marLeft w:val="0"/>
          <w:marRight w:val="0"/>
          <w:marTop w:val="0"/>
          <w:marBottom w:val="0"/>
          <w:divBdr>
            <w:top w:val="none" w:sz="0" w:space="0" w:color="auto"/>
            <w:left w:val="none" w:sz="0" w:space="0" w:color="auto"/>
            <w:bottom w:val="none" w:sz="0" w:space="0" w:color="auto"/>
            <w:right w:val="none" w:sz="0" w:space="0" w:color="auto"/>
          </w:divBdr>
        </w:div>
        <w:div w:id="1072629543">
          <w:marLeft w:val="0"/>
          <w:marRight w:val="0"/>
          <w:marTop w:val="0"/>
          <w:marBottom w:val="0"/>
          <w:divBdr>
            <w:top w:val="none" w:sz="0" w:space="0" w:color="auto"/>
            <w:left w:val="none" w:sz="0" w:space="0" w:color="auto"/>
            <w:bottom w:val="none" w:sz="0" w:space="0" w:color="auto"/>
            <w:right w:val="none" w:sz="0" w:space="0" w:color="auto"/>
          </w:divBdr>
        </w:div>
        <w:div w:id="1876114313">
          <w:marLeft w:val="0"/>
          <w:marRight w:val="0"/>
          <w:marTop w:val="0"/>
          <w:marBottom w:val="0"/>
          <w:divBdr>
            <w:top w:val="none" w:sz="0" w:space="0" w:color="auto"/>
            <w:left w:val="none" w:sz="0" w:space="0" w:color="auto"/>
            <w:bottom w:val="none" w:sz="0" w:space="0" w:color="auto"/>
            <w:right w:val="none" w:sz="0" w:space="0" w:color="auto"/>
          </w:divBdr>
        </w:div>
        <w:div w:id="491137961">
          <w:marLeft w:val="0"/>
          <w:marRight w:val="0"/>
          <w:marTop w:val="0"/>
          <w:marBottom w:val="0"/>
          <w:divBdr>
            <w:top w:val="none" w:sz="0" w:space="0" w:color="auto"/>
            <w:left w:val="none" w:sz="0" w:space="0" w:color="auto"/>
            <w:bottom w:val="none" w:sz="0" w:space="0" w:color="auto"/>
            <w:right w:val="none" w:sz="0" w:space="0" w:color="auto"/>
          </w:divBdr>
        </w:div>
        <w:div w:id="2074809378">
          <w:marLeft w:val="0"/>
          <w:marRight w:val="0"/>
          <w:marTop w:val="0"/>
          <w:marBottom w:val="0"/>
          <w:divBdr>
            <w:top w:val="none" w:sz="0" w:space="0" w:color="auto"/>
            <w:left w:val="none" w:sz="0" w:space="0" w:color="auto"/>
            <w:bottom w:val="none" w:sz="0" w:space="0" w:color="auto"/>
            <w:right w:val="none" w:sz="0" w:space="0" w:color="auto"/>
          </w:divBdr>
        </w:div>
        <w:div w:id="1668362452">
          <w:marLeft w:val="0"/>
          <w:marRight w:val="0"/>
          <w:marTop w:val="0"/>
          <w:marBottom w:val="0"/>
          <w:divBdr>
            <w:top w:val="none" w:sz="0" w:space="0" w:color="auto"/>
            <w:left w:val="none" w:sz="0" w:space="0" w:color="auto"/>
            <w:bottom w:val="none" w:sz="0" w:space="0" w:color="auto"/>
            <w:right w:val="none" w:sz="0" w:space="0" w:color="auto"/>
          </w:divBdr>
        </w:div>
        <w:div w:id="1215655143">
          <w:marLeft w:val="0"/>
          <w:marRight w:val="0"/>
          <w:marTop w:val="0"/>
          <w:marBottom w:val="0"/>
          <w:divBdr>
            <w:top w:val="none" w:sz="0" w:space="0" w:color="auto"/>
            <w:left w:val="none" w:sz="0" w:space="0" w:color="auto"/>
            <w:bottom w:val="none" w:sz="0" w:space="0" w:color="auto"/>
            <w:right w:val="none" w:sz="0" w:space="0" w:color="auto"/>
          </w:divBdr>
        </w:div>
        <w:div w:id="201943145">
          <w:marLeft w:val="0"/>
          <w:marRight w:val="0"/>
          <w:marTop w:val="0"/>
          <w:marBottom w:val="0"/>
          <w:divBdr>
            <w:top w:val="none" w:sz="0" w:space="0" w:color="auto"/>
            <w:left w:val="none" w:sz="0" w:space="0" w:color="auto"/>
            <w:bottom w:val="none" w:sz="0" w:space="0" w:color="auto"/>
            <w:right w:val="none" w:sz="0" w:space="0" w:color="auto"/>
          </w:divBdr>
        </w:div>
        <w:div w:id="862477778">
          <w:marLeft w:val="0"/>
          <w:marRight w:val="0"/>
          <w:marTop w:val="0"/>
          <w:marBottom w:val="0"/>
          <w:divBdr>
            <w:top w:val="none" w:sz="0" w:space="0" w:color="auto"/>
            <w:left w:val="none" w:sz="0" w:space="0" w:color="auto"/>
            <w:bottom w:val="none" w:sz="0" w:space="0" w:color="auto"/>
            <w:right w:val="none" w:sz="0" w:space="0" w:color="auto"/>
          </w:divBdr>
        </w:div>
        <w:div w:id="2018265228">
          <w:marLeft w:val="0"/>
          <w:marRight w:val="0"/>
          <w:marTop w:val="0"/>
          <w:marBottom w:val="0"/>
          <w:divBdr>
            <w:top w:val="none" w:sz="0" w:space="0" w:color="auto"/>
            <w:left w:val="none" w:sz="0" w:space="0" w:color="auto"/>
            <w:bottom w:val="none" w:sz="0" w:space="0" w:color="auto"/>
            <w:right w:val="none" w:sz="0" w:space="0" w:color="auto"/>
          </w:divBdr>
        </w:div>
        <w:div w:id="1228421835">
          <w:marLeft w:val="0"/>
          <w:marRight w:val="0"/>
          <w:marTop w:val="0"/>
          <w:marBottom w:val="0"/>
          <w:divBdr>
            <w:top w:val="none" w:sz="0" w:space="0" w:color="auto"/>
            <w:left w:val="none" w:sz="0" w:space="0" w:color="auto"/>
            <w:bottom w:val="none" w:sz="0" w:space="0" w:color="auto"/>
            <w:right w:val="none" w:sz="0" w:space="0" w:color="auto"/>
          </w:divBdr>
        </w:div>
        <w:div w:id="357435042">
          <w:marLeft w:val="0"/>
          <w:marRight w:val="0"/>
          <w:marTop w:val="0"/>
          <w:marBottom w:val="0"/>
          <w:divBdr>
            <w:top w:val="none" w:sz="0" w:space="0" w:color="auto"/>
            <w:left w:val="none" w:sz="0" w:space="0" w:color="auto"/>
            <w:bottom w:val="none" w:sz="0" w:space="0" w:color="auto"/>
            <w:right w:val="none" w:sz="0" w:space="0" w:color="auto"/>
          </w:divBdr>
        </w:div>
        <w:div w:id="87779853">
          <w:marLeft w:val="0"/>
          <w:marRight w:val="0"/>
          <w:marTop w:val="0"/>
          <w:marBottom w:val="0"/>
          <w:divBdr>
            <w:top w:val="none" w:sz="0" w:space="0" w:color="auto"/>
            <w:left w:val="none" w:sz="0" w:space="0" w:color="auto"/>
            <w:bottom w:val="none" w:sz="0" w:space="0" w:color="auto"/>
            <w:right w:val="none" w:sz="0" w:space="0" w:color="auto"/>
          </w:divBdr>
        </w:div>
        <w:div w:id="455685196">
          <w:marLeft w:val="0"/>
          <w:marRight w:val="0"/>
          <w:marTop w:val="0"/>
          <w:marBottom w:val="0"/>
          <w:divBdr>
            <w:top w:val="none" w:sz="0" w:space="0" w:color="auto"/>
            <w:left w:val="none" w:sz="0" w:space="0" w:color="auto"/>
            <w:bottom w:val="none" w:sz="0" w:space="0" w:color="auto"/>
            <w:right w:val="none" w:sz="0" w:space="0" w:color="auto"/>
          </w:divBdr>
        </w:div>
        <w:div w:id="1916473119">
          <w:marLeft w:val="0"/>
          <w:marRight w:val="0"/>
          <w:marTop w:val="0"/>
          <w:marBottom w:val="0"/>
          <w:divBdr>
            <w:top w:val="none" w:sz="0" w:space="0" w:color="auto"/>
            <w:left w:val="none" w:sz="0" w:space="0" w:color="auto"/>
            <w:bottom w:val="none" w:sz="0" w:space="0" w:color="auto"/>
            <w:right w:val="none" w:sz="0" w:space="0" w:color="auto"/>
          </w:divBdr>
        </w:div>
        <w:div w:id="872034582">
          <w:marLeft w:val="0"/>
          <w:marRight w:val="0"/>
          <w:marTop w:val="0"/>
          <w:marBottom w:val="0"/>
          <w:divBdr>
            <w:top w:val="none" w:sz="0" w:space="0" w:color="auto"/>
            <w:left w:val="none" w:sz="0" w:space="0" w:color="auto"/>
            <w:bottom w:val="none" w:sz="0" w:space="0" w:color="auto"/>
            <w:right w:val="none" w:sz="0" w:space="0" w:color="auto"/>
          </w:divBdr>
        </w:div>
        <w:div w:id="940182068">
          <w:marLeft w:val="0"/>
          <w:marRight w:val="0"/>
          <w:marTop w:val="0"/>
          <w:marBottom w:val="0"/>
          <w:divBdr>
            <w:top w:val="none" w:sz="0" w:space="0" w:color="auto"/>
            <w:left w:val="none" w:sz="0" w:space="0" w:color="auto"/>
            <w:bottom w:val="none" w:sz="0" w:space="0" w:color="auto"/>
            <w:right w:val="none" w:sz="0" w:space="0" w:color="auto"/>
          </w:divBdr>
        </w:div>
        <w:div w:id="2030641301">
          <w:marLeft w:val="0"/>
          <w:marRight w:val="0"/>
          <w:marTop w:val="0"/>
          <w:marBottom w:val="0"/>
          <w:divBdr>
            <w:top w:val="none" w:sz="0" w:space="0" w:color="auto"/>
            <w:left w:val="none" w:sz="0" w:space="0" w:color="auto"/>
            <w:bottom w:val="none" w:sz="0" w:space="0" w:color="auto"/>
            <w:right w:val="none" w:sz="0" w:space="0" w:color="auto"/>
          </w:divBdr>
        </w:div>
        <w:div w:id="270556819">
          <w:marLeft w:val="0"/>
          <w:marRight w:val="0"/>
          <w:marTop w:val="0"/>
          <w:marBottom w:val="0"/>
          <w:divBdr>
            <w:top w:val="none" w:sz="0" w:space="0" w:color="auto"/>
            <w:left w:val="none" w:sz="0" w:space="0" w:color="auto"/>
            <w:bottom w:val="none" w:sz="0" w:space="0" w:color="auto"/>
            <w:right w:val="none" w:sz="0" w:space="0" w:color="auto"/>
          </w:divBdr>
        </w:div>
        <w:div w:id="1297250507">
          <w:marLeft w:val="0"/>
          <w:marRight w:val="0"/>
          <w:marTop w:val="0"/>
          <w:marBottom w:val="0"/>
          <w:divBdr>
            <w:top w:val="none" w:sz="0" w:space="0" w:color="auto"/>
            <w:left w:val="none" w:sz="0" w:space="0" w:color="auto"/>
            <w:bottom w:val="none" w:sz="0" w:space="0" w:color="auto"/>
            <w:right w:val="none" w:sz="0" w:space="0" w:color="auto"/>
          </w:divBdr>
        </w:div>
        <w:div w:id="877083628">
          <w:marLeft w:val="0"/>
          <w:marRight w:val="0"/>
          <w:marTop w:val="0"/>
          <w:marBottom w:val="0"/>
          <w:divBdr>
            <w:top w:val="none" w:sz="0" w:space="0" w:color="auto"/>
            <w:left w:val="none" w:sz="0" w:space="0" w:color="auto"/>
            <w:bottom w:val="none" w:sz="0" w:space="0" w:color="auto"/>
            <w:right w:val="none" w:sz="0" w:space="0" w:color="auto"/>
          </w:divBdr>
        </w:div>
        <w:div w:id="1571693679">
          <w:marLeft w:val="0"/>
          <w:marRight w:val="0"/>
          <w:marTop w:val="0"/>
          <w:marBottom w:val="0"/>
          <w:divBdr>
            <w:top w:val="none" w:sz="0" w:space="0" w:color="auto"/>
            <w:left w:val="none" w:sz="0" w:space="0" w:color="auto"/>
            <w:bottom w:val="none" w:sz="0" w:space="0" w:color="auto"/>
            <w:right w:val="none" w:sz="0" w:space="0" w:color="auto"/>
          </w:divBdr>
        </w:div>
        <w:div w:id="950434873">
          <w:marLeft w:val="0"/>
          <w:marRight w:val="0"/>
          <w:marTop w:val="0"/>
          <w:marBottom w:val="0"/>
          <w:divBdr>
            <w:top w:val="none" w:sz="0" w:space="0" w:color="auto"/>
            <w:left w:val="none" w:sz="0" w:space="0" w:color="auto"/>
            <w:bottom w:val="none" w:sz="0" w:space="0" w:color="auto"/>
            <w:right w:val="none" w:sz="0" w:space="0" w:color="auto"/>
          </w:divBdr>
        </w:div>
        <w:div w:id="1284926649">
          <w:marLeft w:val="0"/>
          <w:marRight w:val="0"/>
          <w:marTop w:val="0"/>
          <w:marBottom w:val="0"/>
          <w:divBdr>
            <w:top w:val="none" w:sz="0" w:space="0" w:color="auto"/>
            <w:left w:val="none" w:sz="0" w:space="0" w:color="auto"/>
            <w:bottom w:val="none" w:sz="0" w:space="0" w:color="auto"/>
            <w:right w:val="none" w:sz="0" w:space="0" w:color="auto"/>
          </w:divBdr>
        </w:div>
        <w:div w:id="234171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eca.europa.eu/en/Pages/DocItem.aspx?did=518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user</cp:lastModifiedBy>
  <cp:revision>24</cp:revision>
  <cp:lastPrinted>2019-11-26T07:03:00Z</cp:lastPrinted>
  <dcterms:created xsi:type="dcterms:W3CDTF">2019-11-25T11:55:00Z</dcterms:created>
  <dcterms:modified xsi:type="dcterms:W3CDTF">2019-11-26T07:04:00Z</dcterms:modified>
</cp:coreProperties>
</file>