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403CB9" w:rsidRPr="00CE4F1F" w:rsidTr="00DF42CC">
        <w:tc>
          <w:tcPr>
            <w:tcW w:w="9923" w:type="dxa"/>
            <w:shd w:val="clear" w:color="auto" w:fill="C0C0C0"/>
          </w:tcPr>
          <w:p w:rsidR="00403CB9" w:rsidRPr="00CE4F1F" w:rsidRDefault="00403CB9" w:rsidP="00DF42CC">
            <w:pPr>
              <w:jc w:val="both"/>
              <w:rPr>
                <w:rFonts w:ascii="Arial" w:hAnsi="Arial" w:cs="Arial"/>
                <w:i/>
                <w:sz w:val="20"/>
                <w:lang w:val="bg-BG"/>
              </w:rPr>
            </w:pPr>
            <w:r w:rsidRPr="00CE4F1F">
              <w:rPr>
                <w:rFonts w:ascii="Arial" w:hAnsi="Arial" w:cs="Arial"/>
                <w:i/>
                <w:sz w:val="20"/>
                <w:lang w:val="bg-BG"/>
              </w:rPr>
              <w:t>Директни плащания</w:t>
            </w:r>
          </w:p>
        </w:tc>
      </w:tr>
    </w:tbl>
    <w:p w:rsidR="00403CB9" w:rsidRPr="00CE4F1F" w:rsidRDefault="00403CB9" w:rsidP="00403CB9">
      <w:pPr>
        <w:jc w:val="both"/>
        <w:rPr>
          <w:rStyle w:val="longtext"/>
          <w:rFonts w:ascii="Arial" w:hAnsi="Arial" w:cs="Arial"/>
          <w:b/>
          <w:sz w:val="20"/>
          <w:lang w:val="bg-BG"/>
        </w:rPr>
      </w:pPr>
    </w:p>
    <w:p w:rsidR="00F44848" w:rsidRPr="00CE4F1F" w:rsidRDefault="009704A2" w:rsidP="00F44848">
      <w:pPr>
        <w:pStyle w:val="HTMLPreformatted"/>
        <w:shd w:val="clear" w:color="auto" w:fill="F8F9FA"/>
        <w:jc w:val="both"/>
        <w:rPr>
          <w:rFonts w:ascii="Arial" w:hAnsi="Arial" w:cs="Arial"/>
          <w:color w:val="222222"/>
          <w:lang w:eastAsia="bg-BG"/>
        </w:rPr>
      </w:pPr>
      <w:r w:rsidRPr="00CE4F1F">
        <w:rPr>
          <w:rFonts w:ascii="Arial" w:hAnsi="Arial" w:cs="Arial"/>
          <w:b/>
          <w:color w:val="000000"/>
        </w:rPr>
        <w:t>1</w:t>
      </w:r>
      <w:r w:rsidR="00F44848" w:rsidRPr="00CE4F1F">
        <w:rPr>
          <w:rFonts w:ascii="Arial" w:hAnsi="Arial" w:cs="Arial"/>
          <w:b/>
          <w:color w:val="000000"/>
        </w:rPr>
        <w:t>.</w:t>
      </w:r>
      <w:r w:rsidR="00F44848" w:rsidRPr="00CE4F1F">
        <w:rPr>
          <w:rFonts w:ascii="Arial" w:hAnsi="Arial" w:cs="Arial"/>
          <w:b/>
          <w:color w:val="222222"/>
          <w:lang w:eastAsia="bg-BG"/>
        </w:rPr>
        <w:t xml:space="preserve"> Земеделските стопани </w:t>
      </w:r>
      <w:r w:rsidR="00C95B33" w:rsidRPr="00CE4F1F">
        <w:rPr>
          <w:rFonts w:ascii="Arial" w:hAnsi="Arial" w:cs="Arial"/>
          <w:b/>
          <w:color w:val="222222"/>
          <w:lang w:eastAsia="bg-BG"/>
        </w:rPr>
        <w:t>с</w:t>
      </w:r>
      <w:r w:rsidR="00F44848" w:rsidRPr="00CE4F1F">
        <w:rPr>
          <w:rFonts w:ascii="Arial" w:hAnsi="Arial" w:cs="Arial"/>
          <w:b/>
          <w:color w:val="222222"/>
          <w:lang w:eastAsia="bg-BG"/>
        </w:rPr>
        <w:t>ледва да имат предвид, че изгарянето на стърнища представлява нарушение на основно изискване за поддържане на земята в добро земеделско и екологично състояние, което е част от изискванията за кръстосано съответствие</w:t>
      </w:r>
      <w:r w:rsidR="00F44848" w:rsidRPr="00CE4F1F">
        <w:rPr>
          <w:rFonts w:ascii="Arial" w:hAnsi="Arial" w:cs="Arial"/>
          <w:color w:val="222222"/>
          <w:lang w:eastAsia="bg-BG"/>
        </w:rPr>
        <w:t xml:space="preserve">. Спазването на изискванията за кръстосано съответствие е задължително условие, за да могат кандидатите по директни плащания да получат субсидиите си в пълен размер. </w:t>
      </w:r>
    </w:p>
    <w:p w:rsidR="009D0924" w:rsidRPr="00CE4F1F" w:rsidRDefault="009D0924" w:rsidP="00403CB9">
      <w:pPr>
        <w:jc w:val="both"/>
        <w:rPr>
          <w:rFonts w:ascii="Arial" w:eastAsia="SimSun" w:hAnsi="Arial" w:cs="Arial"/>
          <w:b/>
          <w:bCs/>
          <w:color w:val="000000"/>
          <w:sz w:val="20"/>
          <w:lang w:val="bg-BG" w:eastAsia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403CB9" w:rsidRPr="00CE4F1F" w:rsidTr="00DF42CC">
        <w:tc>
          <w:tcPr>
            <w:tcW w:w="9900" w:type="dxa"/>
            <w:shd w:val="clear" w:color="auto" w:fill="C0C0C0"/>
            <w:hideMark/>
          </w:tcPr>
          <w:p w:rsidR="00403CB9" w:rsidRPr="00CE4F1F" w:rsidRDefault="00403CB9" w:rsidP="00DF42CC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0"/>
                <w:lang w:val="bg-BG"/>
              </w:rPr>
            </w:pPr>
            <w:r w:rsidRPr="00CE4F1F">
              <w:rPr>
                <w:rFonts w:ascii="Arial" w:hAnsi="Arial" w:cs="Arial"/>
                <w:i/>
                <w:sz w:val="20"/>
                <w:lang w:val="bg-BG"/>
              </w:rPr>
              <w:t>Визия за ОСП след 2020 г.</w:t>
            </w:r>
          </w:p>
        </w:tc>
        <w:tc>
          <w:tcPr>
            <w:tcW w:w="256" w:type="dxa"/>
          </w:tcPr>
          <w:p w:rsidR="00403CB9" w:rsidRPr="00CE4F1F" w:rsidRDefault="00403CB9" w:rsidP="00DF42CC">
            <w:pPr>
              <w:jc w:val="both"/>
              <w:rPr>
                <w:rFonts w:ascii="Arial" w:hAnsi="Arial" w:cs="Arial"/>
                <w:sz w:val="20"/>
                <w:lang w:val="bg-BG"/>
              </w:rPr>
            </w:pPr>
          </w:p>
        </w:tc>
      </w:tr>
    </w:tbl>
    <w:p w:rsidR="002F05CF" w:rsidRPr="00CE4F1F" w:rsidRDefault="00A66620" w:rsidP="002F05CF">
      <w:pPr>
        <w:pStyle w:val="NormalWeb"/>
        <w:spacing w:after="200"/>
        <w:jc w:val="both"/>
        <w:rPr>
          <w:rFonts w:ascii="Arial" w:eastAsia="SimSun" w:hAnsi="Arial" w:cs="Arial"/>
          <w:color w:val="000000"/>
          <w:sz w:val="20"/>
          <w:szCs w:val="20"/>
          <w:lang w:eastAsia="zh-TW"/>
        </w:rPr>
      </w:pPr>
      <w:r w:rsidRPr="00CE4F1F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2</w:t>
      </w:r>
      <w:r w:rsidR="009339F7" w:rsidRPr="00CE4F1F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. </w:t>
      </w:r>
      <w:r w:rsidR="009339F7" w:rsidRPr="00CE4F1F">
        <w:rPr>
          <w:rFonts w:ascii="Arial" w:eastAsia="SimSun" w:hAnsi="Arial" w:cs="Arial"/>
          <w:b/>
          <w:color w:val="000000"/>
          <w:sz w:val="20"/>
          <w:szCs w:val="20"/>
          <w:lang w:eastAsia="zh-TW"/>
        </w:rPr>
        <w:t xml:space="preserve">На </w:t>
      </w:r>
      <w:r w:rsidR="002F05CF" w:rsidRPr="00CE4F1F">
        <w:rPr>
          <w:rFonts w:ascii="Arial" w:eastAsia="SimSun" w:hAnsi="Arial" w:cs="Arial"/>
          <w:b/>
          <w:color w:val="000000"/>
          <w:sz w:val="20"/>
          <w:szCs w:val="20"/>
          <w:lang w:eastAsia="zh-TW"/>
        </w:rPr>
        <w:t>19 септември 2019</w:t>
      </w:r>
      <w:r w:rsidR="009339F7" w:rsidRPr="00CE4F1F">
        <w:rPr>
          <w:rFonts w:ascii="Arial" w:eastAsia="SimSun" w:hAnsi="Arial" w:cs="Arial"/>
          <w:b/>
          <w:color w:val="000000"/>
          <w:sz w:val="20"/>
          <w:szCs w:val="20"/>
          <w:lang w:eastAsia="zh-TW"/>
        </w:rPr>
        <w:t xml:space="preserve"> </w:t>
      </w:r>
      <w:r w:rsidR="002F05CF" w:rsidRPr="00CE4F1F">
        <w:rPr>
          <w:rFonts w:ascii="Arial" w:eastAsia="SimSun" w:hAnsi="Arial" w:cs="Arial"/>
          <w:b/>
          <w:color w:val="000000"/>
          <w:sz w:val="20"/>
          <w:szCs w:val="20"/>
          <w:lang w:eastAsia="zh-TW"/>
        </w:rPr>
        <w:t>г.</w:t>
      </w:r>
      <w:r w:rsidR="009339F7" w:rsidRPr="00CE4F1F">
        <w:rPr>
          <w:rFonts w:ascii="Arial" w:eastAsia="SimSun" w:hAnsi="Arial" w:cs="Arial"/>
          <w:b/>
          <w:color w:val="000000"/>
          <w:sz w:val="20"/>
          <w:szCs w:val="20"/>
          <w:lang w:eastAsia="zh-TW"/>
        </w:rPr>
        <w:t xml:space="preserve"> се проведе второто заседание на РГ АГРИФИН</w:t>
      </w:r>
      <w:r w:rsidR="009B7B37" w:rsidRPr="00CE4F1F">
        <w:rPr>
          <w:rFonts w:ascii="Arial" w:eastAsia="SimSun" w:hAnsi="Arial" w:cs="Arial"/>
          <w:b/>
          <w:color w:val="000000"/>
          <w:sz w:val="20"/>
          <w:szCs w:val="20"/>
          <w:lang w:eastAsia="zh-TW"/>
        </w:rPr>
        <w:t xml:space="preserve"> под финландско председателство</w:t>
      </w:r>
      <w:r w:rsidR="002F05C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. Съгласно предварително обявения дневен ред,  Европейска</w:t>
      </w:r>
      <w:r w:rsidR="00936AFB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та комисия представи информация </w:t>
      </w:r>
      <w:r w:rsidR="002F05C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за актуализацията и изпълнението на бюджета за земеделие. Финландско</w:t>
      </w:r>
      <w:r w:rsidR="00936AFB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то</w:t>
      </w:r>
      <w:r w:rsidR="002F05C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 председателство обобщи информацията за развитието на дискусията по проекта на Хоризонтален регламент до момента, като реферира към  изготвения за целта документ, в който ясно са очертани отворените въпроси, по които все още са необходими преговори, с цел постигане на общ подход на Съвета.  </w:t>
      </w:r>
      <w:r w:rsidR="00936AFB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Д</w:t>
      </w:r>
      <w:r w:rsidR="002F05C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ържавите членки </w:t>
      </w:r>
      <w:r w:rsidR="00936AFB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получиха</w:t>
      </w:r>
      <w:r w:rsidR="002F05C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 по-подробна информация за виждането на Комисията </w:t>
      </w:r>
      <w:r w:rsidR="00936AFB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относно</w:t>
      </w:r>
      <w:r w:rsidR="002F05C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 начина на прилагане на подхода за единен одит. Комисията подчерта </w:t>
      </w:r>
      <w:r w:rsidR="00283A6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своята </w:t>
      </w:r>
      <w:r w:rsidR="002F05C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отговорност за изпълнението на бюджета</w:t>
      </w:r>
      <w:r w:rsidR="00283A6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,</w:t>
      </w:r>
      <w:r w:rsidR="002F05C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 в съответствие с принцип</w:t>
      </w:r>
      <w:r w:rsidR="00283A6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а</w:t>
      </w:r>
      <w:r w:rsidR="002F05C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 на добро управление. Съгласно Предложението за Хоризонтал</w:t>
      </w:r>
      <w:r w:rsidR="00283A6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е</w:t>
      </w:r>
      <w:r w:rsidR="002F05C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н регламент</w:t>
      </w:r>
      <w:r w:rsidR="00283A6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,</w:t>
      </w:r>
      <w:r w:rsidR="002F05C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 ЕК ще извършва одити само в случаите, в които не може да получи достатъчно ниво на увереност за работата на Сертифициращия орган и когато такава необходимост е налице при оценката на риска от страна на ЕК</w:t>
      </w:r>
      <w:r w:rsidR="00283A6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.</w:t>
      </w:r>
      <w:r w:rsidR="002F05C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 </w:t>
      </w:r>
      <w:r w:rsidR="00283A6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Обсъдени бяха</w:t>
      </w:r>
      <w:r w:rsidR="002F05C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 предложението на Румънското и Австрийското председателства за опростяване на разпоредбите </w:t>
      </w:r>
      <w:r w:rsidR="00283A6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относно</w:t>
      </w:r>
      <w:r w:rsidR="002F05C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 контрол на трансакциите  и предложението на Дания за засилване на правната регулация </w:t>
      </w:r>
      <w:r w:rsidR="00BE4177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относно тези правила</w:t>
      </w:r>
      <w:r w:rsidR="002F05C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. </w:t>
      </w:r>
      <w:r w:rsidR="00BE4177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Някои делегации подк</w:t>
      </w:r>
      <w:r w:rsidR="001A4206">
        <w:rPr>
          <w:rFonts w:ascii="Arial" w:eastAsia="SimSun" w:hAnsi="Arial" w:cs="Arial"/>
          <w:color w:val="000000"/>
          <w:sz w:val="20"/>
          <w:szCs w:val="20"/>
          <w:lang w:eastAsia="zh-TW"/>
        </w:rPr>
        <w:t>р</w:t>
      </w:r>
      <w:r w:rsidR="00BE4177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епиха предложението на</w:t>
      </w:r>
      <w:r w:rsidR="008238BC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 </w:t>
      </w:r>
      <w:r w:rsidR="00BE4177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Дания, докато други </w:t>
      </w:r>
      <w:r w:rsidR="002F278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подкрепиха предложението на предход</w:t>
      </w:r>
      <w:r w:rsidR="008238BC">
        <w:rPr>
          <w:rFonts w:ascii="Arial" w:eastAsia="SimSun" w:hAnsi="Arial" w:cs="Arial"/>
          <w:color w:val="000000"/>
          <w:sz w:val="20"/>
          <w:szCs w:val="20"/>
          <w:lang w:eastAsia="zh-TW"/>
        </w:rPr>
        <w:t>ните</w:t>
      </w:r>
      <w:r w:rsidR="002F278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 председателства. Дискусията по тази тема ще продължи. </w:t>
      </w:r>
      <w:r w:rsidR="002F05C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>ЕК представи допълнителна информация, подкрепена с примери</w:t>
      </w:r>
      <w:r w:rsidR="008238BC">
        <w:rPr>
          <w:rFonts w:ascii="Arial" w:eastAsia="SimSun" w:hAnsi="Arial" w:cs="Arial"/>
          <w:color w:val="000000"/>
          <w:sz w:val="20"/>
          <w:szCs w:val="20"/>
          <w:lang w:eastAsia="zh-TW"/>
        </w:rPr>
        <w:t>,</w:t>
      </w:r>
      <w:r w:rsidR="002F05C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 за начина на определяне на единичните стойности и тяхното докладване и уравняване при инвестиционните мерки</w:t>
      </w:r>
      <w:r w:rsidR="002F278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, като в </w:t>
      </w:r>
      <w:r w:rsidR="002F05CF" w:rsidRPr="00CE4F1F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тази връзка отново подчерта значението  и ролята на информационните системи, чрез които държавите членки ще формират данните за докладване на изпълнението.  </w:t>
      </w:r>
    </w:p>
    <w:p w:rsidR="003A0785" w:rsidRPr="00CE4F1F" w:rsidRDefault="00A66620" w:rsidP="001234C4">
      <w:pPr>
        <w:pStyle w:val="HTMLPreformatted"/>
        <w:shd w:val="clear" w:color="auto" w:fill="F8F9FA"/>
        <w:jc w:val="both"/>
        <w:rPr>
          <w:rFonts w:ascii="Arial" w:hAnsi="Arial" w:cs="Arial"/>
          <w:color w:val="222222"/>
          <w:lang w:eastAsia="bg-BG"/>
        </w:rPr>
      </w:pPr>
      <w:r w:rsidRPr="00CE4F1F">
        <w:rPr>
          <w:rFonts w:ascii="Arial" w:hAnsi="Arial" w:cs="Arial"/>
          <w:b/>
          <w:color w:val="000000"/>
        </w:rPr>
        <w:t>3</w:t>
      </w:r>
      <w:r w:rsidR="004A5B45" w:rsidRPr="00CE4F1F">
        <w:rPr>
          <w:rFonts w:ascii="Arial" w:hAnsi="Arial" w:cs="Arial"/>
          <w:b/>
          <w:color w:val="000000"/>
        </w:rPr>
        <w:t>.</w:t>
      </w:r>
      <w:r w:rsidR="001234C4" w:rsidRPr="00CE4F1F">
        <w:rPr>
          <w:rFonts w:ascii="Arial" w:hAnsi="Arial" w:cs="Arial"/>
          <w:b/>
          <w:color w:val="000000"/>
        </w:rPr>
        <w:t xml:space="preserve"> На 16 септември 2019 г., </w:t>
      </w:r>
      <w:r w:rsidR="00F36687" w:rsidRPr="00CE4F1F">
        <w:rPr>
          <w:rFonts w:ascii="Arial" w:hAnsi="Arial" w:cs="Arial"/>
          <w:b/>
          <w:color w:val="000000"/>
        </w:rPr>
        <w:t>на заседание</w:t>
      </w:r>
      <w:r w:rsidR="004A5B45" w:rsidRPr="00CE4F1F">
        <w:rPr>
          <w:rFonts w:ascii="Arial" w:hAnsi="Arial" w:cs="Arial"/>
          <w:b/>
          <w:color w:val="000000"/>
        </w:rPr>
        <w:t xml:space="preserve"> на Специалния комитет по селско стопанство (С</w:t>
      </w:r>
      <w:r w:rsidR="00F36687" w:rsidRPr="00CE4F1F">
        <w:rPr>
          <w:rFonts w:ascii="Arial" w:hAnsi="Arial" w:cs="Arial"/>
          <w:b/>
          <w:color w:val="000000"/>
        </w:rPr>
        <w:t>КСС) се проведе</w:t>
      </w:r>
      <w:r w:rsidR="004A5B45" w:rsidRPr="00CE4F1F">
        <w:rPr>
          <w:rFonts w:ascii="Arial" w:hAnsi="Arial" w:cs="Arial"/>
          <w:b/>
          <w:color w:val="000000"/>
        </w:rPr>
        <w:t xml:space="preserve"> дебат по Пакета за реформата на ОСП след 2020 г</w:t>
      </w:r>
      <w:r w:rsidR="00F36687" w:rsidRPr="00CE4F1F">
        <w:rPr>
          <w:rFonts w:ascii="Arial" w:hAnsi="Arial" w:cs="Arial"/>
          <w:b/>
          <w:color w:val="000000"/>
        </w:rPr>
        <w:t>.</w:t>
      </w:r>
      <w:r w:rsidR="001234C4" w:rsidRPr="00CE4F1F">
        <w:rPr>
          <w:rFonts w:ascii="Arial" w:hAnsi="Arial" w:cs="Arial"/>
          <w:b/>
          <w:color w:val="000000"/>
        </w:rPr>
        <w:t xml:space="preserve"> </w:t>
      </w:r>
      <w:r w:rsidR="001234C4" w:rsidRPr="00CE4F1F">
        <w:rPr>
          <w:rFonts w:ascii="Arial" w:hAnsi="Arial" w:cs="Arial"/>
          <w:color w:val="000000"/>
        </w:rPr>
        <w:t>Д</w:t>
      </w:r>
      <w:r w:rsidR="00C95B33" w:rsidRPr="00CE4F1F">
        <w:rPr>
          <w:rFonts w:ascii="Arial" w:hAnsi="Arial" w:cs="Arial"/>
          <w:color w:val="222222"/>
          <w:lang w:eastAsia="bg-BG"/>
        </w:rPr>
        <w:t>ържавите членки подкрепиха предложението на финландското председателство за увеличение на финансовата гъ</w:t>
      </w:r>
      <w:r w:rsidR="00C95B33" w:rsidRPr="008238BC">
        <w:rPr>
          <w:rFonts w:ascii="Arial" w:hAnsi="Arial" w:cs="Arial"/>
          <w:color w:val="222222"/>
          <w:lang w:eastAsia="bg-BG"/>
        </w:rPr>
        <w:t>вкавост</w:t>
      </w:r>
      <w:r w:rsidR="00C95B33" w:rsidRPr="00CE4F1F">
        <w:rPr>
          <w:rFonts w:ascii="Arial" w:hAnsi="Arial" w:cs="Arial"/>
          <w:color w:val="222222"/>
          <w:lang w:eastAsia="bg-BG"/>
        </w:rPr>
        <w:t xml:space="preserve"> при разпределението на директните плащания след 2020 г.</w:t>
      </w:r>
      <w:r w:rsidR="00C95B33" w:rsidRPr="00CE4F1F">
        <w:rPr>
          <w:rFonts w:ascii="Arial" w:hAnsi="Arial" w:cs="Arial"/>
          <w:b/>
          <w:color w:val="222222"/>
          <w:lang w:eastAsia="bg-BG"/>
        </w:rPr>
        <w:t xml:space="preserve"> </w:t>
      </w:r>
      <w:r w:rsidR="00C95B33" w:rsidRPr="00CE4F1F">
        <w:rPr>
          <w:rFonts w:ascii="Arial" w:hAnsi="Arial" w:cs="Arial"/>
          <w:color w:val="222222"/>
          <w:lang w:eastAsia="bg-BG"/>
        </w:rPr>
        <w:t xml:space="preserve">Тази гъвкавост е един </w:t>
      </w:r>
      <w:r w:rsidR="00395D5E">
        <w:rPr>
          <w:rFonts w:ascii="Arial" w:hAnsi="Arial" w:cs="Arial"/>
          <w:color w:val="222222"/>
          <w:lang w:eastAsia="bg-BG"/>
        </w:rPr>
        <w:t xml:space="preserve">от </w:t>
      </w:r>
      <w:bookmarkStart w:id="0" w:name="_GoBack"/>
      <w:bookmarkEnd w:id="0"/>
      <w:r w:rsidR="00C95B33" w:rsidRPr="00CE4F1F">
        <w:rPr>
          <w:rFonts w:ascii="Arial" w:hAnsi="Arial" w:cs="Arial"/>
          <w:color w:val="222222"/>
          <w:lang w:eastAsia="bg-BG"/>
        </w:rPr>
        <w:t xml:space="preserve">дискусионните въпроси по Предложението на Европейската комисия за стратегическите планове на държавите членки по линия на Общата селскостопанска политика след 2020 г.. </w:t>
      </w:r>
      <w:r w:rsidR="00C51B22">
        <w:rPr>
          <w:rFonts w:ascii="Arial" w:hAnsi="Arial" w:cs="Arial"/>
          <w:color w:val="222222"/>
          <w:lang w:eastAsia="bg-BG"/>
        </w:rPr>
        <w:t>Ф</w:t>
      </w:r>
      <w:r w:rsidR="00C95B33" w:rsidRPr="00CE4F1F">
        <w:rPr>
          <w:rFonts w:ascii="Arial" w:hAnsi="Arial" w:cs="Arial"/>
          <w:color w:val="222222"/>
          <w:lang w:eastAsia="bg-BG"/>
        </w:rPr>
        <w:t xml:space="preserve">инландското председателство </w:t>
      </w:r>
      <w:r w:rsidR="00C51B22">
        <w:rPr>
          <w:rFonts w:ascii="Arial" w:hAnsi="Arial" w:cs="Arial"/>
          <w:color w:val="222222"/>
          <w:lang w:eastAsia="bg-BG"/>
        </w:rPr>
        <w:t xml:space="preserve">предложи </w:t>
      </w:r>
      <w:r w:rsidR="00C95B33" w:rsidRPr="00CE4F1F">
        <w:rPr>
          <w:rFonts w:ascii="Arial" w:hAnsi="Arial" w:cs="Arial"/>
          <w:color w:val="222222"/>
          <w:lang w:eastAsia="bg-BG"/>
        </w:rPr>
        <w:t xml:space="preserve">разпоредби за по-голяма гъвкавост при разпределението на средствата за директни плащания, по-специално по отношение на </w:t>
      </w:r>
      <w:proofErr w:type="spellStart"/>
      <w:r w:rsidR="00C95B33" w:rsidRPr="00CE4F1F">
        <w:rPr>
          <w:rFonts w:ascii="Arial" w:hAnsi="Arial" w:cs="Arial"/>
          <w:color w:val="222222"/>
          <w:lang w:eastAsia="bg-BG"/>
        </w:rPr>
        <w:t>еко-схемите</w:t>
      </w:r>
      <w:proofErr w:type="spellEnd"/>
      <w:r w:rsidR="00C95B33" w:rsidRPr="00CE4F1F">
        <w:rPr>
          <w:rFonts w:ascii="Arial" w:hAnsi="Arial" w:cs="Arial"/>
          <w:color w:val="222222"/>
          <w:lang w:eastAsia="bg-BG"/>
        </w:rPr>
        <w:t xml:space="preserve"> и подкрепата за млади</w:t>
      </w:r>
      <w:r w:rsidR="00C51B22">
        <w:rPr>
          <w:rFonts w:ascii="Arial" w:hAnsi="Arial" w:cs="Arial"/>
          <w:color w:val="222222"/>
          <w:lang w:eastAsia="bg-BG"/>
        </w:rPr>
        <w:t xml:space="preserve"> земеделски стопани. </w:t>
      </w:r>
      <w:r w:rsidR="00C95B33" w:rsidRPr="00CE4F1F">
        <w:rPr>
          <w:rFonts w:ascii="Arial" w:hAnsi="Arial" w:cs="Arial"/>
          <w:color w:val="222222"/>
          <w:lang w:eastAsia="bg-BG"/>
        </w:rPr>
        <w:t>Предложението, което има за цел да се избегне риска от липса на средства в случай на повече подадени искания от очакваното, беше приветствано от държавите членки.</w:t>
      </w:r>
      <w:r w:rsidR="001234C4" w:rsidRPr="00CE4F1F">
        <w:rPr>
          <w:rFonts w:ascii="Arial" w:hAnsi="Arial" w:cs="Arial"/>
          <w:color w:val="222222"/>
          <w:lang w:eastAsia="bg-BG"/>
        </w:rPr>
        <w:t xml:space="preserve"> </w:t>
      </w:r>
      <w:r w:rsidR="00E30F1C" w:rsidRPr="00CE4F1F">
        <w:rPr>
          <w:rFonts w:ascii="Arial" w:hAnsi="Arial" w:cs="Arial"/>
          <w:color w:val="000000"/>
        </w:rPr>
        <w:t xml:space="preserve">СКСС направи обмен на мнения </w:t>
      </w:r>
      <w:r w:rsidR="001234C4" w:rsidRPr="00CE4F1F">
        <w:rPr>
          <w:rFonts w:ascii="Arial" w:hAnsi="Arial" w:cs="Arial"/>
          <w:color w:val="000000"/>
        </w:rPr>
        <w:t xml:space="preserve"> и </w:t>
      </w:r>
      <w:r w:rsidR="00E30F1C" w:rsidRPr="00CE4F1F">
        <w:rPr>
          <w:rFonts w:ascii="Arial" w:hAnsi="Arial" w:cs="Arial"/>
          <w:color w:val="000000"/>
        </w:rPr>
        <w:t xml:space="preserve">относно секторните интервенции </w:t>
      </w:r>
      <w:r w:rsidR="001234C4" w:rsidRPr="00CE4F1F">
        <w:rPr>
          <w:rFonts w:ascii="Arial" w:hAnsi="Arial" w:cs="Arial"/>
          <w:color w:val="000000"/>
        </w:rPr>
        <w:t>и по-специално относно</w:t>
      </w:r>
      <w:r w:rsidR="00E30F1C" w:rsidRPr="00CE4F1F">
        <w:rPr>
          <w:rFonts w:ascii="Arial" w:hAnsi="Arial" w:cs="Arial"/>
          <w:bCs/>
          <w:iCs/>
          <w:color w:val="000000"/>
          <w:lang w:eastAsia="bg-BG"/>
        </w:rPr>
        <w:t xml:space="preserve"> обхват</w:t>
      </w:r>
      <w:r w:rsidR="001234C4" w:rsidRPr="00CE4F1F">
        <w:rPr>
          <w:rFonts w:ascii="Arial" w:hAnsi="Arial" w:cs="Arial"/>
          <w:bCs/>
          <w:iCs/>
          <w:color w:val="000000"/>
          <w:lang w:eastAsia="bg-BG"/>
        </w:rPr>
        <w:t>а на т.нар. „други сектори“,</w:t>
      </w:r>
      <w:r w:rsidR="00E30F1C" w:rsidRPr="00CE4F1F">
        <w:rPr>
          <w:rFonts w:ascii="Arial" w:hAnsi="Arial" w:cs="Arial"/>
          <w:bCs/>
          <w:iCs/>
          <w:color w:val="000000"/>
          <w:lang w:eastAsia="bg-BG"/>
        </w:rPr>
        <w:t xml:space="preserve"> възможността за промяната и въвеждане на нови </w:t>
      </w:r>
      <w:r w:rsidR="001234C4" w:rsidRPr="00CE4F1F">
        <w:rPr>
          <w:rFonts w:ascii="Arial" w:hAnsi="Arial" w:cs="Arial"/>
          <w:bCs/>
          <w:iCs/>
          <w:color w:val="000000"/>
          <w:lang w:eastAsia="bg-BG"/>
        </w:rPr>
        <w:t>продукти в списъка от продукти и ф</w:t>
      </w:r>
      <w:r w:rsidR="00E30F1C" w:rsidRPr="00CE4F1F">
        <w:rPr>
          <w:rFonts w:ascii="Arial" w:hAnsi="Arial" w:cs="Arial"/>
          <w:bCs/>
          <w:iCs/>
          <w:color w:val="000000"/>
          <w:lang w:eastAsia="bg-BG"/>
        </w:rPr>
        <w:t>орма</w:t>
      </w:r>
      <w:r w:rsidR="001234C4" w:rsidRPr="00CE4F1F">
        <w:rPr>
          <w:rFonts w:ascii="Arial" w:hAnsi="Arial" w:cs="Arial"/>
          <w:bCs/>
          <w:iCs/>
          <w:color w:val="000000"/>
          <w:lang w:eastAsia="bg-BG"/>
        </w:rPr>
        <w:t>та</w:t>
      </w:r>
      <w:r w:rsidR="00E30F1C" w:rsidRPr="00CE4F1F">
        <w:rPr>
          <w:rFonts w:ascii="Arial" w:hAnsi="Arial" w:cs="Arial"/>
          <w:bCs/>
          <w:iCs/>
          <w:color w:val="000000"/>
          <w:lang w:eastAsia="bg-BG"/>
        </w:rPr>
        <w:t xml:space="preserve"> на сътрудничество в „други сектори“ за целите на секторна подкрепа.</w:t>
      </w:r>
      <w:r w:rsidR="001234C4" w:rsidRPr="00CE4F1F">
        <w:rPr>
          <w:rFonts w:ascii="Arial" w:hAnsi="Arial" w:cs="Arial"/>
          <w:bCs/>
          <w:iCs/>
          <w:color w:val="000000"/>
          <w:lang w:eastAsia="bg-BG"/>
        </w:rPr>
        <w:t xml:space="preserve"> Делегациите бяха </w:t>
      </w:r>
      <w:r w:rsidR="003A2F9C" w:rsidRPr="00CE4F1F">
        <w:rPr>
          <w:rFonts w:ascii="Arial" w:hAnsi="Arial" w:cs="Arial"/>
          <w:bCs/>
          <w:iCs/>
          <w:color w:val="000000"/>
          <w:lang w:eastAsia="bg-BG"/>
        </w:rPr>
        <w:t>запозна</w:t>
      </w:r>
      <w:r w:rsidR="001234C4" w:rsidRPr="00CE4F1F">
        <w:rPr>
          <w:rFonts w:ascii="Arial" w:hAnsi="Arial" w:cs="Arial"/>
          <w:bCs/>
          <w:iCs/>
          <w:color w:val="000000"/>
          <w:lang w:eastAsia="bg-BG"/>
        </w:rPr>
        <w:t>ти</w:t>
      </w:r>
      <w:r w:rsidR="003A2F9C" w:rsidRPr="00CE4F1F">
        <w:rPr>
          <w:rFonts w:ascii="Arial" w:hAnsi="Arial" w:cs="Arial"/>
          <w:bCs/>
          <w:iCs/>
          <w:color w:val="000000"/>
          <w:lang w:eastAsia="bg-BG"/>
        </w:rPr>
        <w:t xml:space="preserve"> </w:t>
      </w:r>
      <w:r w:rsidR="00D71992" w:rsidRPr="00CE4F1F">
        <w:rPr>
          <w:rFonts w:ascii="Arial" w:hAnsi="Arial" w:cs="Arial"/>
          <w:bCs/>
          <w:iCs/>
          <w:color w:val="000000"/>
          <w:lang w:eastAsia="bg-BG"/>
        </w:rPr>
        <w:t xml:space="preserve">и </w:t>
      </w:r>
      <w:r w:rsidR="003A2F9C" w:rsidRPr="00CE4F1F">
        <w:rPr>
          <w:rFonts w:ascii="Arial" w:hAnsi="Arial" w:cs="Arial"/>
          <w:bCs/>
          <w:iCs/>
          <w:color w:val="000000"/>
          <w:lang w:eastAsia="bg-BG"/>
        </w:rPr>
        <w:t xml:space="preserve">със Съобщението на Комисията относно засилването на действията на ЕС за защита и възстановяване на световните гори. Финландското председателство работи по приемане заключения на Съвета по темата до края на 2019 г. По време на заседанието </w:t>
      </w:r>
      <w:r w:rsidR="00D71992" w:rsidRPr="00CE4F1F">
        <w:rPr>
          <w:rFonts w:ascii="Arial" w:hAnsi="Arial" w:cs="Arial"/>
          <w:bCs/>
          <w:iCs/>
          <w:color w:val="000000"/>
          <w:lang w:eastAsia="bg-BG"/>
        </w:rPr>
        <w:t xml:space="preserve">беше предоставена информация </w:t>
      </w:r>
      <w:r w:rsidR="003A2F9C" w:rsidRPr="00CE4F1F">
        <w:rPr>
          <w:rFonts w:ascii="Arial" w:hAnsi="Arial" w:cs="Arial"/>
          <w:bCs/>
          <w:iCs/>
          <w:color w:val="000000"/>
          <w:lang w:eastAsia="bg-BG"/>
        </w:rPr>
        <w:t xml:space="preserve"> от ЕК относно среща на министрите на земеделието на страните от Г-20 (11-12 май 2019 г.</w:t>
      </w:r>
      <w:r w:rsidR="008E593E" w:rsidRPr="00CE4F1F">
        <w:rPr>
          <w:rFonts w:ascii="Arial" w:hAnsi="Arial" w:cs="Arial"/>
          <w:bCs/>
          <w:iCs/>
          <w:color w:val="000000"/>
          <w:lang w:eastAsia="bg-BG"/>
        </w:rPr>
        <w:t xml:space="preserve"> </w:t>
      </w:r>
      <w:proofErr w:type="spellStart"/>
      <w:r w:rsidR="008E593E" w:rsidRPr="00CE4F1F">
        <w:rPr>
          <w:rFonts w:ascii="Arial" w:hAnsi="Arial" w:cs="Arial"/>
          <w:bCs/>
          <w:iCs/>
          <w:color w:val="000000"/>
          <w:lang w:eastAsia="bg-BG"/>
        </w:rPr>
        <w:t>Ниигата</w:t>
      </w:r>
      <w:proofErr w:type="spellEnd"/>
      <w:r w:rsidR="008E593E" w:rsidRPr="00CE4F1F">
        <w:rPr>
          <w:rFonts w:ascii="Arial" w:hAnsi="Arial" w:cs="Arial"/>
          <w:bCs/>
          <w:iCs/>
          <w:color w:val="000000"/>
          <w:lang w:eastAsia="bg-BG"/>
        </w:rPr>
        <w:t>,</w:t>
      </w:r>
      <w:r w:rsidR="003A2F9C" w:rsidRPr="00CE4F1F">
        <w:rPr>
          <w:rFonts w:ascii="Arial" w:hAnsi="Arial" w:cs="Arial"/>
          <w:bCs/>
          <w:iCs/>
          <w:color w:val="000000"/>
          <w:lang w:eastAsia="bg-BG"/>
        </w:rPr>
        <w:t>) и</w:t>
      </w:r>
      <w:r w:rsidR="003A2F9C" w:rsidRPr="00CE4F1F">
        <w:rPr>
          <w:rFonts w:ascii="Arial" w:hAnsi="Arial" w:cs="Arial"/>
          <w:bCs/>
          <w:iCs/>
          <w:color w:val="000000"/>
        </w:rPr>
        <w:t xml:space="preserve"> информация от председателството относно резултатите и </w:t>
      </w:r>
      <w:proofErr w:type="spellStart"/>
      <w:r w:rsidR="003A2F9C" w:rsidRPr="00CE4F1F">
        <w:rPr>
          <w:rFonts w:ascii="Arial" w:hAnsi="Arial" w:cs="Arial"/>
          <w:bCs/>
          <w:iCs/>
          <w:color w:val="000000"/>
        </w:rPr>
        <w:t>последващите</w:t>
      </w:r>
      <w:proofErr w:type="spellEnd"/>
      <w:r w:rsidR="003A2F9C" w:rsidRPr="00CE4F1F">
        <w:rPr>
          <w:rFonts w:ascii="Arial" w:hAnsi="Arial" w:cs="Arial"/>
          <w:bCs/>
          <w:iCs/>
          <w:color w:val="000000"/>
        </w:rPr>
        <w:t xml:space="preserve"> действия във връзка със 17-о общо събрание на Международна организ</w:t>
      </w:r>
      <w:r w:rsidR="008E593E" w:rsidRPr="00CE4F1F">
        <w:rPr>
          <w:rFonts w:ascii="Arial" w:hAnsi="Arial" w:cs="Arial"/>
          <w:bCs/>
          <w:iCs/>
          <w:color w:val="000000"/>
        </w:rPr>
        <w:t xml:space="preserve">ация по лозата и виното ( 19 юли 2019 г. </w:t>
      </w:r>
      <w:r w:rsidR="003A2F9C" w:rsidRPr="00CE4F1F">
        <w:rPr>
          <w:rFonts w:ascii="Arial" w:hAnsi="Arial" w:cs="Arial"/>
          <w:bCs/>
          <w:iCs/>
          <w:color w:val="000000"/>
        </w:rPr>
        <w:t xml:space="preserve">Женева). </w:t>
      </w:r>
    </w:p>
    <w:p w:rsidR="003A0785" w:rsidRPr="00CE4F1F" w:rsidRDefault="003A0785" w:rsidP="003A0785">
      <w:pPr>
        <w:jc w:val="both"/>
        <w:rPr>
          <w:rFonts w:ascii="Arial" w:eastAsia="SimSun" w:hAnsi="Arial" w:cs="Arial"/>
          <w:color w:val="000000"/>
          <w:sz w:val="20"/>
          <w:lang w:val="bg-BG" w:eastAsia="zh-TW"/>
        </w:rPr>
      </w:pPr>
    </w:p>
    <w:p w:rsidR="002953A4" w:rsidRPr="00CE4F1F" w:rsidRDefault="00A66620" w:rsidP="002953A4">
      <w:pPr>
        <w:pStyle w:val="HTMLPreformatted"/>
        <w:shd w:val="clear" w:color="auto" w:fill="F8F9FA"/>
        <w:jc w:val="both"/>
        <w:rPr>
          <w:rFonts w:ascii="Arial" w:hAnsi="Arial" w:cs="Arial"/>
          <w:color w:val="000000"/>
        </w:rPr>
      </w:pPr>
      <w:r w:rsidRPr="00CE4F1F">
        <w:rPr>
          <w:rFonts w:ascii="Arial" w:hAnsi="Arial" w:cs="Arial"/>
          <w:b/>
          <w:color w:val="000000"/>
        </w:rPr>
        <w:t>4</w:t>
      </w:r>
      <w:r w:rsidR="00FD0925" w:rsidRPr="00CE4F1F">
        <w:rPr>
          <w:rFonts w:ascii="Arial" w:hAnsi="Arial" w:cs="Arial"/>
          <w:b/>
          <w:color w:val="000000"/>
        </w:rPr>
        <w:t xml:space="preserve">. </w:t>
      </w:r>
      <w:r w:rsidR="002953A4" w:rsidRPr="00CE4F1F">
        <w:rPr>
          <w:rFonts w:ascii="Arial" w:hAnsi="Arial" w:cs="Arial"/>
          <w:b/>
          <w:color w:val="000000"/>
        </w:rPr>
        <w:t xml:space="preserve">Герман Питър </w:t>
      </w:r>
      <w:proofErr w:type="spellStart"/>
      <w:r w:rsidR="002953A4" w:rsidRPr="00CE4F1F">
        <w:rPr>
          <w:rFonts w:ascii="Arial" w:hAnsi="Arial" w:cs="Arial"/>
          <w:b/>
          <w:color w:val="000000"/>
        </w:rPr>
        <w:t>Джар</w:t>
      </w:r>
      <w:proofErr w:type="spellEnd"/>
      <w:r w:rsidR="0073142D" w:rsidRPr="00CE4F1F">
        <w:rPr>
          <w:rFonts w:ascii="Arial" w:hAnsi="Arial" w:cs="Arial"/>
          <w:b/>
          <w:color w:val="000000"/>
        </w:rPr>
        <w:t xml:space="preserve"> (ЕНП, Германия)</w:t>
      </w:r>
      <w:r w:rsidR="0073142D" w:rsidRPr="00CE4F1F">
        <w:rPr>
          <w:rFonts w:ascii="Arial" w:hAnsi="Arial" w:cs="Arial"/>
          <w:color w:val="000000"/>
        </w:rPr>
        <w:t xml:space="preserve"> </w:t>
      </w:r>
      <w:r w:rsidR="0073142D" w:rsidRPr="00CE4F1F">
        <w:rPr>
          <w:rFonts w:ascii="Arial" w:hAnsi="Arial" w:cs="Arial"/>
          <w:b/>
          <w:color w:val="000000"/>
        </w:rPr>
        <w:t>е назначен за</w:t>
      </w:r>
      <w:r w:rsidR="002953A4" w:rsidRPr="00CE4F1F">
        <w:rPr>
          <w:rFonts w:ascii="Arial" w:hAnsi="Arial" w:cs="Arial"/>
          <w:b/>
          <w:color w:val="000000"/>
        </w:rPr>
        <w:t xml:space="preserve"> докладчик на Европейския парламент </w:t>
      </w:r>
      <w:r w:rsidR="00233C49" w:rsidRPr="00CE4F1F">
        <w:rPr>
          <w:rFonts w:ascii="Arial" w:hAnsi="Arial" w:cs="Arial"/>
          <w:b/>
          <w:color w:val="000000"/>
        </w:rPr>
        <w:t xml:space="preserve">(ЕП) </w:t>
      </w:r>
      <w:r w:rsidR="002953A4" w:rsidRPr="00CE4F1F">
        <w:rPr>
          <w:rFonts w:ascii="Arial" w:hAnsi="Arial" w:cs="Arial"/>
          <w:b/>
          <w:color w:val="000000"/>
        </w:rPr>
        <w:t xml:space="preserve">относно „стратегическите планове“ за ОСП след 2020 г. </w:t>
      </w:r>
      <w:r w:rsidR="0073142D" w:rsidRPr="00CE4F1F">
        <w:rPr>
          <w:rFonts w:ascii="Arial" w:hAnsi="Arial" w:cs="Arial"/>
          <w:color w:val="000000"/>
        </w:rPr>
        <w:t xml:space="preserve"> </w:t>
      </w:r>
      <w:r w:rsidR="001234C4" w:rsidRPr="00CE4F1F">
        <w:rPr>
          <w:rFonts w:ascii="Arial" w:hAnsi="Arial" w:cs="Arial"/>
          <w:color w:val="000000"/>
        </w:rPr>
        <w:t>Д</w:t>
      </w:r>
      <w:r w:rsidR="0073142D" w:rsidRPr="00CE4F1F">
        <w:rPr>
          <w:rFonts w:ascii="Arial" w:hAnsi="Arial" w:cs="Arial"/>
          <w:color w:val="000000"/>
        </w:rPr>
        <w:t>окладчиците</w:t>
      </w:r>
      <w:r w:rsidR="002953A4" w:rsidRPr="00CE4F1F">
        <w:rPr>
          <w:rFonts w:ascii="Arial" w:hAnsi="Arial" w:cs="Arial"/>
          <w:color w:val="000000"/>
        </w:rPr>
        <w:t xml:space="preserve"> по другите две досиета остават същите</w:t>
      </w:r>
      <w:r w:rsidR="001234C4" w:rsidRPr="00CE4F1F">
        <w:rPr>
          <w:rFonts w:ascii="Arial" w:hAnsi="Arial" w:cs="Arial"/>
          <w:color w:val="000000"/>
        </w:rPr>
        <w:t xml:space="preserve"> като</w:t>
      </w:r>
      <w:r w:rsidR="002953A4" w:rsidRPr="00CE4F1F">
        <w:rPr>
          <w:rFonts w:ascii="Arial" w:hAnsi="Arial" w:cs="Arial"/>
          <w:color w:val="000000"/>
        </w:rPr>
        <w:t xml:space="preserve"> </w:t>
      </w:r>
      <w:r w:rsidR="001234C4" w:rsidRPr="00CE4F1F">
        <w:rPr>
          <w:rFonts w:ascii="Arial" w:hAnsi="Arial" w:cs="Arial"/>
          <w:color w:val="000000"/>
        </w:rPr>
        <w:t xml:space="preserve">в </w:t>
      </w:r>
      <w:r w:rsidR="002953A4" w:rsidRPr="00CE4F1F">
        <w:rPr>
          <w:rFonts w:ascii="Arial" w:hAnsi="Arial" w:cs="Arial"/>
          <w:color w:val="000000"/>
        </w:rPr>
        <w:t>пред</w:t>
      </w:r>
      <w:r w:rsidR="00A94ECD" w:rsidRPr="00CE4F1F">
        <w:rPr>
          <w:rFonts w:ascii="Arial" w:hAnsi="Arial" w:cs="Arial"/>
          <w:color w:val="000000"/>
        </w:rPr>
        <w:t>ходния</w:t>
      </w:r>
      <w:r w:rsidR="002953A4" w:rsidRPr="00CE4F1F">
        <w:rPr>
          <w:rFonts w:ascii="Arial" w:hAnsi="Arial" w:cs="Arial"/>
          <w:color w:val="000000"/>
        </w:rPr>
        <w:t xml:space="preserve"> мандат</w:t>
      </w:r>
      <w:r w:rsidR="00A94ECD" w:rsidRPr="00CE4F1F">
        <w:rPr>
          <w:rFonts w:ascii="Arial" w:hAnsi="Arial" w:cs="Arial"/>
          <w:color w:val="000000"/>
        </w:rPr>
        <w:t xml:space="preserve"> на ЕП-</w:t>
      </w:r>
      <w:r w:rsidR="002953A4" w:rsidRPr="00CE4F1F">
        <w:rPr>
          <w:rFonts w:ascii="Arial" w:hAnsi="Arial" w:cs="Arial"/>
          <w:color w:val="000000"/>
        </w:rPr>
        <w:t xml:space="preserve"> </w:t>
      </w:r>
      <w:proofErr w:type="spellStart"/>
      <w:r w:rsidR="002953A4" w:rsidRPr="00CE4F1F">
        <w:rPr>
          <w:rFonts w:ascii="Arial" w:hAnsi="Arial" w:cs="Arial"/>
          <w:color w:val="000000"/>
        </w:rPr>
        <w:t>Улрике</w:t>
      </w:r>
      <w:proofErr w:type="spellEnd"/>
      <w:r w:rsidR="002953A4" w:rsidRPr="00CE4F1F">
        <w:rPr>
          <w:rFonts w:ascii="Arial" w:hAnsi="Arial" w:cs="Arial"/>
          <w:color w:val="000000"/>
        </w:rPr>
        <w:t xml:space="preserve"> </w:t>
      </w:r>
      <w:proofErr w:type="spellStart"/>
      <w:r w:rsidR="002953A4" w:rsidRPr="00CE4F1F">
        <w:rPr>
          <w:rFonts w:ascii="Arial" w:hAnsi="Arial" w:cs="Arial"/>
          <w:color w:val="000000"/>
        </w:rPr>
        <w:t>Мюлер</w:t>
      </w:r>
      <w:proofErr w:type="spellEnd"/>
      <w:r w:rsidR="002953A4" w:rsidRPr="00CE4F1F">
        <w:rPr>
          <w:rFonts w:ascii="Arial" w:hAnsi="Arial" w:cs="Arial"/>
          <w:color w:val="000000"/>
        </w:rPr>
        <w:t xml:space="preserve"> (Обновяване</w:t>
      </w:r>
      <w:r w:rsidR="00A94ECD" w:rsidRPr="00CE4F1F">
        <w:rPr>
          <w:rFonts w:ascii="Arial" w:hAnsi="Arial" w:cs="Arial"/>
          <w:color w:val="000000"/>
        </w:rPr>
        <w:t xml:space="preserve"> на Европа, Германия) относно Хоризонталния регламент</w:t>
      </w:r>
      <w:r w:rsidR="002953A4" w:rsidRPr="00CE4F1F">
        <w:rPr>
          <w:rFonts w:ascii="Arial" w:hAnsi="Arial" w:cs="Arial"/>
          <w:color w:val="000000"/>
        </w:rPr>
        <w:t xml:space="preserve"> и </w:t>
      </w:r>
      <w:r w:rsidR="0073142D" w:rsidRPr="00CE4F1F">
        <w:rPr>
          <w:rFonts w:ascii="Arial" w:hAnsi="Arial" w:cs="Arial"/>
          <w:color w:val="000000"/>
        </w:rPr>
        <w:t xml:space="preserve">Ерик </w:t>
      </w:r>
      <w:proofErr w:type="spellStart"/>
      <w:r w:rsidR="0073142D" w:rsidRPr="00CE4F1F">
        <w:rPr>
          <w:rFonts w:ascii="Arial" w:hAnsi="Arial" w:cs="Arial"/>
          <w:color w:val="000000"/>
        </w:rPr>
        <w:t>Андрю</w:t>
      </w:r>
      <w:proofErr w:type="spellEnd"/>
      <w:r w:rsidR="0073142D" w:rsidRPr="00CE4F1F">
        <w:rPr>
          <w:rFonts w:ascii="Arial" w:hAnsi="Arial" w:cs="Arial"/>
          <w:color w:val="000000"/>
        </w:rPr>
        <w:t xml:space="preserve"> </w:t>
      </w:r>
      <w:r w:rsidR="00A94ECD" w:rsidRPr="00CE4F1F">
        <w:rPr>
          <w:rFonts w:ascii="Arial" w:hAnsi="Arial" w:cs="Arial"/>
          <w:color w:val="000000"/>
        </w:rPr>
        <w:t>(</w:t>
      </w:r>
      <w:proofErr w:type="spellStart"/>
      <w:r w:rsidR="00A94ECD" w:rsidRPr="00CE4F1F">
        <w:rPr>
          <w:rFonts w:ascii="Arial" w:hAnsi="Arial" w:cs="Arial"/>
          <w:color w:val="000000"/>
        </w:rPr>
        <w:t>Социалисти</w:t>
      </w:r>
      <w:r w:rsidR="002953A4" w:rsidRPr="00CE4F1F">
        <w:rPr>
          <w:rFonts w:ascii="Arial" w:hAnsi="Arial" w:cs="Arial"/>
          <w:color w:val="000000"/>
        </w:rPr>
        <w:t>&amp;</w:t>
      </w:r>
      <w:r w:rsidR="00A94ECD" w:rsidRPr="00CE4F1F">
        <w:rPr>
          <w:rFonts w:ascii="Arial" w:hAnsi="Arial" w:cs="Arial"/>
          <w:color w:val="000000"/>
        </w:rPr>
        <w:t>Демократи</w:t>
      </w:r>
      <w:proofErr w:type="spellEnd"/>
      <w:r w:rsidR="002953A4" w:rsidRPr="00CE4F1F">
        <w:rPr>
          <w:rFonts w:ascii="Arial" w:hAnsi="Arial" w:cs="Arial"/>
          <w:color w:val="000000"/>
        </w:rPr>
        <w:t xml:space="preserve">, Франция) относно </w:t>
      </w:r>
      <w:r w:rsidR="00A94ECD" w:rsidRPr="00CE4F1F">
        <w:rPr>
          <w:rFonts w:ascii="Arial" w:hAnsi="Arial" w:cs="Arial"/>
          <w:color w:val="000000"/>
        </w:rPr>
        <w:t xml:space="preserve">Регламента за </w:t>
      </w:r>
      <w:r w:rsidR="002953A4" w:rsidRPr="00CE4F1F">
        <w:rPr>
          <w:rFonts w:ascii="Arial" w:hAnsi="Arial" w:cs="Arial"/>
          <w:color w:val="000000"/>
        </w:rPr>
        <w:t>общата орган</w:t>
      </w:r>
      <w:r w:rsidR="0073142D" w:rsidRPr="00CE4F1F">
        <w:rPr>
          <w:rFonts w:ascii="Arial" w:hAnsi="Arial" w:cs="Arial"/>
          <w:color w:val="000000"/>
        </w:rPr>
        <w:t>изация на пазар</w:t>
      </w:r>
      <w:r w:rsidR="00A94ECD" w:rsidRPr="00CE4F1F">
        <w:rPr>
          <w:rFonts w:ascii="Arial" w:hAnsi="Arial" w:cs="Arial"/>
          <w:color w:val="000000"/>
        </w:rPr>
        <w:t>ите</w:t>
      </w:r>
      <w:r w:rsidR="0073142D" w:rsidRPr="00CE4F1F">
        <w:rPr>
          <w:rFonts w:ascii="Arial" w:hAnsi="Arial" w:cs="Arial"/>
          <w:color w:val="000000"/>
        </w:rPr>
        <w:t xml:space="preserve">. До 19 септември 2019 г. </w:t>
      </w:r>
      <w:r w:rsidR="003077F9" w:rsidRPr="00CE4F1F">
        <w:rPr>
          <w:rFonts w:ascii="Arial" w:hAnsi="Arial" w:cs="Arial"/>
          <w:color w:val="000000"/>
        </w:rPr>
        <w:t xml:space="preserve">все още не е взето решение от </w:t>
      </w:r>
      <w:proofErr w:type="spellStart"/>
      <w:r w:rsidR="002953A4" w:rsidRPr="00CE4F1F">
        <w:rPr>
          <w:rFonts w:ascii="Arial" w:hAnsi="Arial" w:cs="Arial"/>
          <w:color w:val="000000"/>
        </w:rPr>
        <w:t>Председателският</w:t>
      </w:r>
      <w:proofErr w:type="spellEnd"/>
      <w:r w:rsidR="002953A4" w:rsidRPr="00CE4F1F">
        <w:rPr>
          <w:rFonts w:ascii="Arial" w:hAnsi="Arial" w:cs="Arial"/>
          <w:color w:val="000000"/>
        </w:rPr>
        <w:t xml:space="preserve"> съвет на политическите групи на </w:t>
      </w:r>
      <w:r w:rsidR="00233C49" w:rsidRPr="00CE4F1F">
        <w:rPr>
          <w:rFonts w:ascii="Arial" w:hAnsi="Arial" w:cs="Arial"/>
          <w:color w:val="000000"/>
        </w:rPr>
        <w:t>ЕП</w:t>
      </w:r>
      <w:r w:rsidR="0073142D" w:rsidRPr="00CE4F1F">
        <w:rPr>
          <w:rFonts w:ascii="Arial" w:hAnsi="Arial" w:cs="Arial"/>
          <w:color w:val="000000"/>
        </w:rPr>
        <w:t xml:space="preserve"> кога</w:t>
      </w:r>
      <w:r w:rsidR="002953A4" w:rsidRPr="00CE4F1F">
        <w:rPr>
          <w:rFonts w:ascii="Arial" w:hAnsi="Arial" w:cs="Arial"/>
          <w:color w:val="000000"/>
        </w:rPr>
        <w:t xml:space="preserve"> трите доклада (приети от </w:t>
      </w:r>
      <w:r w:rsidR="00A94ECD" w:rsidRPr="00CE4F1F">
        <w:rPr>
          <w:rFonts w:ascii="Arial" w:hAnsi="Arial" w:cs="Arial"/>
          <w:color w:val="000000"/>
        </w:rPr>
        <w:t>Комисията</w:t>
      </w:r>
      <w:r w:rsidR="002953A4" w:rsidRPr="00CE4F1F">
        <w:rPr>
          <w:rFonts w:ascii="Arial" w:hAnsi="Arial" w:cs="Arial"/>
          <w:color w:val="000000"/>
        </w:rPr>
        <w:t xml:space="preserve"> по </w:t>
      </w:r>
      <w:r w:rsidR="002953A4" w:rsidRPr="00CE4F1F">
        <w:rPr>
          <w:rFonts w:ascii="Arial" w:hAnsi="Arial" w:cs="Arial"/>
          <w:color w:val="000000"/>
        </w:rPr>
        <w:lastRenderedPageBreak/>
        <w:t xml:space="preserve">земеделие </w:t>
      </w:r>
      <w:r w:rsidR="00A94ECD" w:rsidRPr="00CE4F1F">
        <w:rPr>
          <w:rFonts w:ascii="Arial" w:hAnsi="Arial" w:cs="Arial"/>
          <w:color w:val="000000"/>
        </w:rPr>
        <w:t xml:space="preserve">на ЕП </w:t>
      </w:r>
      <w:r w:rsidR="0073142D" w:rsidRPr="00CE4F1F">
        <w:rPr>
          <w:rFonts w:ascii="Arial" w:hAnsi="Arial" w:cs="Arial"/>
          <w:color w:val="000000"/>
        </w:rPr>
        <w:t xml:space="preserve">през </w:t>
      </w:r>
      <w:r w:rsidR="002953A4" w:rsidRPr="00CE4F1F">
        <w:rPr>
          <w:rFonts w:ascii="Arial" w:hAnsi="Arial" w:cs="Arial"/>
          <w:color w:val="000000"/>
        </w:rPr>
        <w:t>април</w:t>
      </w:r>
      <w:r w:rsidR="0073142D" w:rsidRPr="00CE4F1F">
        <w:rPr>
          <w:rFonts w:ascii="Arial" w:hAnsi="Arial" w:cs="Arial"/>
          <w:color w:val="000000"/>
        </w:rPr>
        <w:t xml:space="preserve"> 2018 г. ) за ОСП сл</w:t>
      </w:r>
      <w:r w:rsidR="00A94ECD" w:rsidRPr="00CE4F1F">
        <w:rPr>
          <w:rFonts w:ascii="Arial" w:hAnsi="Arial" w:cs="Arial"/>
          <w:color w:val="000000"/>
        </w:rPr>
        <w:t>ед 2020 г. ще вля</w:t>
      </w:r>
      <w:r w:rsidR="0073142D" w:rsidRPr="00CE4F1F">
        <w:rPr>
          <w:rFonts w:ascii="Arial" w:hAnsi="Arial" w:cs="Arial"/>
          <w:color w:val="000000"/>
        </w:rPr>
        <w:t>з</w:t>
      </w:r>
      <w:r w:rsidR="00A94ECD" w:rsidRPr="00CE4F1F">
        <w:rPr>
          <w:rFonts w:ascii="Arial" w:hAnsi="Arial" w:cs="Arial"/>
          <w:color w:val="000000"/>
        </w:rPr>
        <w:t>а</w:t>
      </w:r>
      <w:r w:rsidR="00233C49" w:rsidRPr="00CE4F1F">
        <w:rPr>
          <w:rFonts w:ascii="Arial" w:hAnsi="Arial" w:cs="Arial"/>
          <w:color w:val="000000"/>
        </w:rPr>
        <w:t>т з</w:t>
      </w:r>
      <w:r w:rsidR="0073142D" w:rsidRPr="00CE4F1F">
        <w:rPr>
          <w:rFonts w:ascii="Arial" w:hAnsi="Arial" w:cs="Arial"/>
          <w:color w:val="000000"/>
        </w:rPr>
        <w:t>а обсъждане</w:t>
      </w:r>
      <w:r w:rsidR="002953A4" w:rsidRPr="00CE4F1F">
        <w:rPr>
          <w:rFonts w:ascii="Arial" w:hAnsi="Arial" w:cs="Arial"/>
          <w:color w:val="000000"/>
        </w:rPr>
        <w:t xml:space="preserve"> </w:t>
      </w:r>
      <w:r w:rsidR="00A94ECD" w:rsidRPr="00CE4F1F">
        <w:rPr>
          <w:rFonts w:ascii="Arial" w:hAnsi="Arial" w:cs="Arial"/>
          <w:color w:val="000000"/>
        </w:rPr>
        <w:t xml:space="preserve">в </w:t>
      </w:r>
      <w:r w:rsidR="002953A4" w:rsidRPr="00CE4F1F">
        <w:rPr>
          <w:rFonts w:ascii="Arial" w:hAnsi="Arial" w:cs="Arial"/>
          <w:color w:val="000000"/>
        </w:rPr>
        <w:t>пленарно заседание</w:t>
      </w:r>
      <w:r w:rsidR="0073142D" w:rsidRPr="00CE4F1F">
        <w:rPr>
          <w:rFonts w:ascii="Arial" w:hAnsi="Arial" w:cs="Arial"/>
          <w:color w:val="000000"/>
        </w:rPr>
        <w:t>.</w:t>
      </w:r>
      <w:r w:rsidR="002953A4" w:rsidRPr="00CE4F1F">
        <w:rPr>
          <w:rFonts w:ascii="Arial" w:hAnsi="Arial" w:cs="Arial"/>
          <w:color w:val="000000"/>
        </w:rPr>
        <w:t xml:space="preserve"> </w:t>
      </w:r>
    </w:p>
    <w:p w:rsidR="004A5B45" w:rsidRPr="00CE4F1F" w:rsidRDefault="004A5B45" w:rsidP="004A5B45">
      <w:pPr>
        <w:rPr>
          <w:color w:val="1F497D"/>
          <w:lang w:val="bg-BG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403CB9" w:rsidRPr="00CE4F1F" w:rsidTr="00DF42CC">
        <w:tc>
          <w:tcPr>
            <w:tcW w:w="9923" w:type="dxa"/>
            <w:shd w:val="clear" w:color="auto" w:fill="C0C0C0"/>
            <w:hideMark/>
          </w:tcPr>
          <w:p w:rsidR="00403CB9" w:rsidRPr="00CE4F1F" w:rsidRDefault="00403CB9" w:rsidP="00DF42CC">
            <w:pPr>
              <w:jc w:val="both"/>
              <w:rPr>
                <w:rStyle w:val="longtext"/>
                <w:rFonts w:ascii="Arial" w:hAnsi="Arial" w:cs="Arial"/>
                <w:i/>
                <w:sz w:val="20"/>
                <w:lang w:val="bg-BG"/>
              </w:rPr>
            </w:pPr>
            <w:r w:rsidRPr="00CE4F1F">
              <w:rPr>
                <w:rStyle w:val="longtext"/>
                <w:rFonts w:ascii="Arial" w:hAnsi="Arial" w:cs="Arial"/>
                <w:i/>
                <w:sz w:val="20"/>
                <w:lang w:val="bg-BG"/>
              </w:rPr>
              <w:t>Още от ЕС и света</w:t>
            </w:r>
          </w:p>
        </w:tc>
        <w:tc>
          <w:tcPr>
            <w:tcW w:w="236" w:type="dxa"/>
          </w:tcPr>
          <w:p w:rsidR="00403CB9" w:rsidRPr="00CE4F1F" w:rsidRDefault="00403CB9" w:rsidP="00DF42CC">
            <w:pPr>
              <w:jc w:val="both"/>
              <w:rPr>
                <w:rStyle w:val="longtext"/>
                <w:rFonts w:ascii="Arial" w:hAnsi="Arial" w:cs="Arial"/>
                <w:sz w:val="20"/>
                <w:lang w:val="bg-BG"/>
              </w:rPr>
            </w:pPr>
          </w:p>
        </w:tc>
      </w:tr>
    </w:tbl>
    <w:p w:rsidR="00403CB9" w:rsidRPr="00CE4F1F" w:rsidRDefault="00403CB9" w:rsidP="00403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sz w:val="20"/>
          <w:lang w:val="bg-BG"/>
        </w:rPr>
      </w:pPr>
    </w:p>
    <w:p w:rsidR="00572DDB" w:rsidRPr="00CE4F1F" w:rsidRDefault="00A66620" w:rsidP="004C1BE2">
      <w:pPr>
        <w:jc w:val="both"/>
        <w:rPr>
          <w:rFonts w:ascii="Arial" w:hAnsi="Arial" w:cs="Arial"/>
          <w:sz w:val="20"/>
          <w:lang w:val="bg-BG"/>
        </w:rPr>
      </w:pPr>
      <w:r w:rsidRPr="00CE4F1F">
        <w:rPr>
          <w:rStyle w:val="longtext"/>
          <w:rFonts w:ascii="Arial" w:hAnsi="Arial" w:cs="Arial"/>
          <w:b/>
          <w:sz w:val="20"/>
          <w:lang w:val="bg-BG"/>
        </w:rPr>
        <w:t>5</w:t>
      </w:r>
      <w:r w:rsidR="00B90317" w:rsidRPr="00CE4F1F">
        <w:rPr>
          <w:rStyle w:val="longtext"/>
          <w:rFonts w:ascii="Arial" w:hAnsi="Arial" w:cs="Arial"/>
          <w:b/>
          <w:sz w:val="20"/>
          <w:lang w:val="bg-BG"/>
        </w:rPr>
        <w:t xml:space="preserve">. </w:t>
      </w:r>
      <w:r w:rsidR="00081DAE" w:rsidRPr="00CE4F1F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2F05CF" w:rsidRPr="00CE4F1F">
        <w:rPr>
          <w:rFonts w:ascii="Arial" w:hAnsi="Arial" w:cs="Arial"/>
          <w:b/>
          <w:sz w:val="20"/>
          <w:lang w:val="bg-BG"/>
        </w:rPr>
        <w:t xml:space="preserve">Надеждите за постигане на споразумение </w:t>
      </w:r>
      <w:r w:rsidR="00730172" w:rsidRPr="00CE4F1F">
        <w:rPr>
          <w:rFonts w:ascii="Arial" w:hAnsi="Arial" w:cs="Arial"/>
          <w:b/>
          <w:sz w:val="20"/>
          <w:lang w:val="bg-BG"/>
        </w:rPr>
        <w:t>до края на 2019 г. в</w:t>
      </w:r>
      <w:r w:rsidR="002F05CF" w:rsidRPr="00CE4F1F">
        <w:rPr>
          <w:rFonts w:ascii="Arial" w:hAnsi="Arial" w:cs="Arial"/>
          <w:b/>
          <w:sz w:val="20"/>
          <w:lang w:val="bg-BG"/>
        </w:rPr>
        <w:t xml:space="preserve"> Европейския съвет </w:t>
      </w:r>
      <w:r w:rsidR="00730172" w:rsidRPr="00CE4F1F">
        <w:rPr>
          <w:rFonts w:ascii="Arial" w:hAnsi="Arial" w:cs="Arial"/>
          <w:b/>
          <w:sz w:val="20"/>
          <w:lang w:val="bg-BG"/>
        </w:rPr>
        <w:t>относно</w:t>
      </w:r>
      <w:r w:rsidR="002F05CF" w:rsidRPr="00CE4F1F">
        <w:rPr>
          <w:rFonts w:ascii="Arial" w:hAnsi="Arial" w:cs="Arial"/>
          <w:b/>
          <w:sz w:val="20"/>
          <w:lang w:val="bg-BG"/>
        </w:rPr>
        <w:t xml:space="preserve"> </w:t>
      </w:r>
      <w:r w:rsidR="00730172" w:rsidRPr="00CE4F1F">
        <w:rPr>
          <w:rFonts w:ascii="Arial" w:hAnsi="Arial" w:cs="Arial"/>
          <w:b/>
          <w:sz w:val="20"/>
          <w:lang w:val="bg-BG"/>
        </w:rPr>
        <w:t xml:space="preserve">Многогодишната </w:t>
      </w:r>
      <w:r w:rsidR="002F05CF" w:rsidRPr="00CE4F1F">
        <w:rPr>
          <w:rFonts w:ascii="Arial" w:hAnsi="Arial" w:cs="Arial"/>
          <w:b/>
          <w:sz w:val="20"/>
          <w:lang w:val="bg-BG"/>
        </w:rPr>
        <w:t xml:space="preserve">финансовата рамка </w:t>
      </w:r>
      <w:r w:rsidR="00730172" w:rsidRPr="00CE4F1F">
        <w:rPr>
          <w:rFonts w:ascii="Arial" w:hAnsi="Arial" w:cs="Arial"/>
          <w:b/>
          <w:sz w:val="20"/>
          <w:lang w:val="bg-BG"/>
        </w:rPr>
        <w:t xml:space="preserve">(МФР) </w:t>
      </w:r>
      <w:r w:rsidR="002F05CF" w:rsidRPr="00CE4F1F">
        <w:rPr>
          <w:rFonts w:ascii="Arial" w:hAnsi="Arial" w:cs="Arial"/>
          <w:b/>
          <w:sz w:val="20"/>
          <w:lang w:val="bg-BG"/>
        </w:rPr>
        <w:t xml:space="preserve">за </w:t>
      </w:r>
      <w:r w:rsidR="00730172" w:rsidRPr="00CE4F1F">
        <w:rPr>
          <w:rFonts w:ascii="Arial" w:hAnsi="Arial" w:cs="Arial"/>
          <w:b/>
          <w:sz w:val="20"/>
          <w:lang w:val="bg-BG"/>
        </w:rPr>
        <w:t xml:space="preserve">периода </w:t>
      </w:r>
      <w:r w:rsidR="002F05CF" w:rsidRPr="00CE4F1F">
        <w:rPr>
          <w:rFonts w:ascii="Arial" w:hAnsi="Arial" w:cs="Arial"/>
          <w:b/>
          <w:sz w:val="20"/>
          <w:lang w:val="bg-BG"/>
        </w:rPr>
        <w:t>2021-2027 г. изглежда намаляват</w:t>
      </w:r>
      <w:r w:rsidR="002F05CF" w:rsidRPr="00CE4F1F">
        <w:rPr>
          <w:rFonts w:ascii="Arial" w:hAnsi="Arial" w:cs="Arial"/>
          <w:sz w:val="20"/>
          <w:lang w:val="bg-BG"/>
        </w:rPr>
        <w:t xml:space="preserve">, </w:t>
      </w:r>
      <w:r w:rsidR="002F05CF" w:rsidRPr="00CE4F1F">
        <w:rPr>
          <w:rFonts w:ascii="Arial" w:hAnsi="Arial" w:cs="Arial"/>
          <w:b/>
          <w:sz w:val="20"/>
          <w:lang w:val="bg-BG"/>
        </w:rPr>
        <w:t xml:space="preserve">се </w:t>
      </w:r>
      <w:r w:rsidR="00730172" w:rsidRPr="00CE4F1F">
        <w:rPr>
          <w:rFonts w:ascii="Arial" w:hAnsi="Arial" w:cs="Arial"/>
          <w:b/>
          <w:sz w:val="20"/>
          <w:lang w:val="bg-BG"/>
        </w:rPr>
        <w:t xml:space="preserve">посочва </w:t>
      </w:r>
      <w:r w:rsidR="002F05CF" w:rsidRPr="00CE4F1F">
        <w:rPr>
          <w:rFonts w:ascii="Arial" w:hAnsi="Arial" w:cs="Arial"/>
          <w:b/>
          <w:sz w:val="20"/>
          <w:lang w:val="bg-BG"/>
        </w:rPr>
        <w:t>в съобщение на агенция Европа от 16.09.2019 г.</w:t>
      </w:r>
      <w:r w:rsidR="002F05CF" w:rsidRPr="00CE4F1F">
        <w:rPr>
          <w:rFonts w:ascii="Arial" w:hAnsi="Arial" w:cs="Arial"/>
          <w:sz w:val="20"/>
          <w:lang w:val="bg-BG"/>
        </w:rPr>
        <w:t xml:space="preserve"> </w:t>
      </w:r>
      <w:r w:rsidR="00730172" w:rsidRPr="00CE4F1F">
        <w:rPr>
          <w:rFonts w:ascii="Arial" w:hAnsi="Arial" w:cs="Arial"/>
          <w:sz w:val="20"/>
          <w:lang w:val="bg-BG"/>
        </w:rPr>
        <w:t>М</w:t>
      </w:r>
      <w:r w:rsidR="002F05CF" w:rsidRPr="00CE4F1F">
        <w:rPr>
          <w:rFonts w:ascii="Arial" w:hAnsi="Arial" w:cs="Arial"/>
          <w:sz w:val="20"/>
          <w:lang w:val="bg-BG"/>
        </w:rPr>
        <w:t>инистри</w:t>
      </w:r>
      <w:r w:rsidR="00730172" w:rsidRPr="00CE4F1F">
        <w:rPr>
          <w:rFonts w:ascii="Arial" w:hAnsi="Arial" w:cs="Arial"/>
          <w:sz w:val="20"/>
          <w:lang w:val="bg-BG"/>
        </w:rPr>
        <w:t>те</w:t>
      </w:r>
      <w:r w:rsidR="002F05CF" w:rsidRPr="00CE4F1F">
        <w:rPr>
          <w:rFonts w:ascii="Arial" w:hAnsi="Arial" w:cs="Arial"/>
          <w:sz w:val="20"/>
          <w:lang w:val="bg-BG"/>
        </w:rPr>
        <w:t xml:space="preserve"> отново са отбелязали различия в техните виждания </w:t>
      </w:r>
      <w:r w:rsidR="00730172" w:rsidRPr="00CE4F1F">
        <w:rPr>
          <w:rFonts w:ascii="Arial" w:hAnsi="Arial" w:cs="Arial"/>
          <w:sz w:val="20"/>
          <w:lang w:val="bg-BG"/>
        </w:rPr>
        <w:t>по</w:t>
      </w:r>
      <w:r w:rsidR="002F05CF" w:rsidRPr="00CE4F1F">
        <w:rPr>
          <w:rFonts w:ascii="Arial" w:hAnsi="Arial" w:cs="Arial"/>
          <w:sz w:val="20"/>
          <w:lang w:val="bg-BG"/>
        </w:rPr>
        <w:t xml:space="preserve"> основните елементи на следващата </w:t>
      </w:r>
      <w:r w:rsidR="00730172" w:rsidRPr="00CE4F1F">
        <w:rPr>
          <w:rFonts w:ascii="Arial" w:hAnsi="Arial" w:cs="Arial"/>
          <w:sz w:val="20"/>
          <w:lang w:val="bg-BG"/>
        </w:rPr>
        <w:t xml:space="preserve">МФР. </w:t>
      </w:r>
      <w:r w:rsidR="002F05CF" w:rsidRPr="00CE4F1F">
        <w:rPr>
          <w:rFonts w:ascii="Arial" w:hAnsi="Arial" w:cs="Arial"/>
          <w:sz w:val="20"/>
          <w:lang w:val="bg-BG"/>
        </w:rPr>
        <w:t xml:space="preserve">Съветът по общи въпроси на ЕС проведе дебат в понеделник </w:t>
      </w:r>
      <w:r w:rsidR="00F55275" w:rsidRPr="00CE4F1F">
        <w:rPr>
          <w:rFonts w:ascii="Arial" w:hAnsi="Arial" w:cs="Arial"/>
          <w:sz w:val="20"/>
          <w:lang w:val="bg-BG"/>
        </w:rPr>
        <w:t xml:space="preserve">във връзка със </w:t>
      </w:r>
      <w:r w:rsidR="002F05CF" w:rsidRPr="00CE4F1F">
        <w:rPr>
          <w:rFonts w:ascii="Arial" w:hAnsi="Arial" w:cs="Arial"/>
          <w:sz w:val="20"/>
          <w:lang w:val="bg-BG"/>
        </w:rPr>
        <w:t xml:space="preserve">следващите крайни срокове на МФР 2021-2027. Поради различията между държавите и несигурността за това как Обединеното кралство ще се оттегли от ЕС, планираният график за постигане на споразумение до края на 2019 г. между държавните и правителствените ръководители на ЕС изглежда много трудно </w:t>
      </w:r>
      <w:r w:rsidR="00F55275" w:rsidRPr="00CE4F1F">
        <w:rPr>
          <w:rFonts w:ascii="Arial" w:hAnsi="Arial" w:cs="Arial"/>
          <w:sz w:val="20"/>
          <w:lang w:val="bg-BG"/>
        </w:rPr>
        <w:t>изпълнимо</w:t>
      </w:r>
      <w:r w:rsidR="002F05CF" w:rsidRPr="00CE4F1F">
        <w:rPr>
          <w:rFonts w:ascii="Arial" w:hAnsi="Arial" w:cs="Arial"/>
          <w:sz w:val="20"/>
          <w:lang w:val="bg-BG"/>
        </w:rPr>
        <w:t xml:space="preserve">. Европейският съвет на 17 и 18 октомври ще се </w:t>
      </w:r>
      <w:r w:rsidR="00F55275" w:rsidRPr="00CE4F1F">
        <w:rPr>
          <w:rFonts w:ascii="Arial" w:hAnsi="Arial" w:cs="Arial"/>
          <w:sz w:val="20"/>
          <w:lang w:val="bg-BG"/>
        </w:rPr>
        <w:t>фокусира</w:t>
      </w:r>
      <w:r w:rsidR="002F05CF" w:rsidRPr="00CE4F1F">
        <w:rPr>
          <w:rFonts w:ascii="Arial" w:hAnsi="Arial" w:cs="Arial"/>
          <w:sz w:val="20"/>
          <w:lang w:val="bg-BG"/>
        </w:rPr>
        <w:t xml:space="preserve"> върху МФР, но и върху </w:t>
      </w:r>
      <w:proofErr w:type="spellStart"/>
      <w:r w:rsidR="00F55275" w:rsidRPr="00CE4F1F">
        <w:rPr>
          <w:rFonts w:ascii="Arial" w:hAnsi="Arial" w:cs="Arial"/>
          <w:sz w:val="20"/>
          <w:lang w:val="bg-BG"/>
        </w:rPr>
        <w:t>Брекзит</w:t>
      </w:r>
      <w:proofErr w:type="spellEnd"/>
      <w:r w:rsidR="002F05CF" w:rsidRPr="00CE4F1F">
        <w:rPr>
          <w:rFonts w:ascii="Arial" w:hAnsi="Arial" w:cs="Arial"/>
          <w:sz w:val="20"/>
          <w:lang w:val="bg-BG"/>
        </w:rPr>
        <w:t xml:space="preserve">, което прави много трудно </w:t>
      </w:r>
      <w:r w:rsidR="00F55275" w:rsidRPr="00CE4F1F">
        <w:rPr>
          <w:rFonts w:ascii="Arial" w:hAnsi="Arial" w:cs="Arial"/>
          <w:sz w:val="20"/>
          <w:lang w:val="bg-BG"/>
        </w:rPr>
        <w:t>постигането на</w:t>
      </w:r>
      <w:r w:rsidR="002F05CF" w:rsidRPr="00CE4F1F">
        <w:rPr>
          <w:rFonts w:ascii="Arial" w:hAnsi="Arial" w:cs="Arial"/>
          <w:sz w:val="20"/>
          <w:lang w:val="bg-BG"/>
        </w:rPr>
        <w:t xml:space="preserve"> максимален напредък по МФР 2021-2027. Европейският съвет има за цел да сключи споразумение</w:t>
      </w:r>
      <w:r w:rsidR="00F55275" w:rsidRPr="00CE4F1F">
        <w:rPr>
          <w:rFonts w:ascii="Arial" w:hAnsi="Arial" w:cs="Arial"/>
          <w:sz w:val="20"/>
          <w:lang w:val="bg-BG"/>
        </w:rPr>
        <w:t xml:space="preserve"> относно МФР 2021-2027</w:t>
      </w:r>
      <w:r w:rsidR="002F05CF" w:rsidRPr="00CE4F1F">
        <w:rPr>
          <w:rFonts w:ascii="Arial" w:hAnsi="Arial" w:cs="Arial"/>
          <w:sz w:val="20"/>
          <w:lang w:val="bg-BG"/>
        </w:rPr>
        <w:t xml:space="preserve"> до края на 2019 г. Финландският министър по европейските въпроси </w:t>
      </w:r>
      <w:proofErr w:type="spellStart"/>
      <w:r w:rsidR="002F05CF" w:rsidRPr="00CE4F1F">
        <w:rPr>
          <w:rFonts w:ascii="Arial" w:hAnsi="Arial" w:cs="Arial"/>
          <w:sz w:val="20"/>
          <w:lang w:val="bg-BG"/>
        </w:rPr>
        <w:t>Тити</w:t>
      </w:r>
      <w:proofErr w:type="spellEnd"/>
      <w:r w:rsidR="002F05CF" w:rsidRPr="00CE4F1F">
        <w:rPr>
          <w:rFonts w:ascii="Arial" w:hAnsi="Arial" w:cs="Arial"/>
          <w:sz w:val="20"/>
          <w:lang w:val="bg-BG"/>
        </w:rPr>
        <w:t xml:space="preserve"> </w:t>
      </w:r>
      <w:proofErr w:type="spellStart"/>
      <w:r w:rsidR="002F05CF" w:rsidRPr="00CE4F1F">
        <w:rPr>
          <w:rFonts w:ascii="Arial" w:hAnsi="Arial" w:cs="Arial"/>
          <w:sz w:val="20"/>
          <w:lang w:val="bg-BG"/>
        </w:rPr>
        <w:t>Туппурайнен</w:t>
      </w:r>
      <w:proofErr w:type="spellEnd"/>
      <w:r w:rsidR="002F05CF" w:rsidRPr="00CE4F1F">
        <w:rPr>
          <w:rFonts w:ascii="Arial" w:hAnsi="Arial" w:cs="Arial"/>
          <w:sz w:val="20"/>
          <w:lang w:val="bg-BG"/>
        </w:rPr>
        <w:t xml:space="preserve"> припомни, че отговорът на </w:t>
      </w:r>
      <w:r w:rsidR="00F55275" w:rsidRPr="00CE4F1F">
        <w:rPr>
          <w:rFonts w:ascii="Arial" w:hAnsi="Arial" w:cs="Arial"/>
          <w:sz w:val="20"/>
          <w:lang w:val="bg-BG"/>
        </w:rPr>
        <w:t>държавите ч</w:t>
      </w:r>
      <w:r w:rsidR="00C51B22">
        <w:rPr>
          <w:rFonts w:ascii="Arial" w:hAnsi="Arial" w:cs="Arial"/>
          <w:sz w:val="20"/>
          <w:lang w:val="bg-BG"/>
        </w:rPr>
        <w:t>л</w:t>
      </w:r>
      <w:r w:rsidR="00F55275" w:rsidRPr="00CE4F1F">
        <w:rPr>
          <w:rFonts w:ascii="Arial" w:hAnsi="Arial" w:cs="Arial"/>
          <w:sz w:val="20"/>
          <w:lang w:val="bg-BG"/>
        </w:rPr>
        <w:t>енки</w:t>
      </w:r>
      <w:r w:rsidR="002F05CF" w:rsidRPr="00CE4F1F">
        <w:rPr>
          <w:rFonts w:ascii="Arial" w:hAnsi="Arial" w:cs="Arial"/>
          <w:sz w:val="20"/>
          <w:lang w:val="bg-BG"/>
        </w:rPr>
        <w:t xml:space="preserve">, както и </w:t>
      </w:r>
      <w:r w:rsidR="00F55275" w:rsidRPr="00CE4F1F">
        <w:rPr>
          <w:rFonts w:ascii="Arial" w:hAnsi="Arial" w:cs="Arial"/>
          <w:sz w:val="20"/>
          <w:lang w:val="bg-BG"/>
        </w:rPr>
        <w:t>проведените</w:t>
      </w:r>
      <w:r w:rsidR="002F05CF" w:rsidRPr="00CE4F1F">
        <w:rPr>
          <w:rFonts w:ascii="Arial" w:hAnsi="Arial" w:cs="Arial"/>
          <w:sz w:val="20"/>
          <w:lang w:val="bg-BG"/>
        </w:rPr>
        <w:t xml:space="preserve"> двустранните срещи с </w:t>
      </w:r>
      <w:r w:rsidR="00F55275" w:rsidRPr="00CE4F1F">
        <w:rPr>
          <w:rFonts w:ascii="Arial" w:hAnsi="Arial" w:cs="Arial"/>
          <w:sz w:val="20"/>
          <w:lang w:val="bg-BG"/>
        </w:rPr>
        <w:t xml:space="preserve">тях </w:t>
      </w:r>
      <w:r w:rsidR="002F05CF" w:rsidRPr="00CE4F1F">
        <w:rPr>
          <w:rFonts w:ascii="Arial" w:hAnsi="Arial" w:cs="Arial"/>
          <w:sz w:val="20"/>
          <w:lang w:val="bg-BG"/>
        </w:rPr>
        <w:t xml:space="preserve">предоставя „взаимна полезна информация за приоритетите на двете страни“. Финландското председателство ще </w:t>
      </w:r>
      <w:r w:rsidR="00F55275" w:rsidRPr="00CE4F1F">
        <w:rPr>
          <w:rFonts w:ascii="Arial" w:hAnsi="Arial" w:cs="Arial"/>
          <w:sz w:val="20"/>
          <w:lang w:val="bg-BG"/>
        </w:rPr>
        <w:t>изготви</w:t>
      </w:r>
      <w:r w:rsidR="002F05CF" w:rsidRPr="00CE4F1F">
        <w:rPr>
          <w:rFonts w:ascii="Arial" w:hAnsi="Arial" w:cs="Arial"/>
          <w:sz w:val="20"/>
          <w:lang w:val="bg-BG"/>
        </w:rPr>
        <w:t xml:space="preserve"> документ</w:t>
      </w:r>
      <w:r w:rsidR="00F55275" w:rsidRPr="00CE4F1F">
        <w:rPr>
          <w:rFonts w:ascii="Arial" w:hAnsi="Arial" w:cs="Arial"/>
          <w:sz w:val="20"/>
          <w:lang w:val="bg-BG"/>
        </w:rPr>
        <w:t>, който да подпомогне</w:t>
      </w:r>
      <w:r w:rsidR="002F05CF" w:rsidRPr="00CE4F1F">
        <w:rPr>
          <w:rFonts w:ascii="Arial" w:hAnsi="Arial" w:cs="Arial"/>
          <w:sz w:val="20"/>
          <w:lang w:val="bg-BG"/>
        </w:rPr>
        <w:t xml:space="preserve"> председателя на Европейския съвет Доналд </w:t>
      </w:r>
      <w:proofErr w:type="spellStart"/>
      <w:r w:rsidR="002F05CF" w:rsidRPr="00CE4F1F">
        <w:rPr>
          <w:rFonts w:ascii="Arial" w:hAnsi="Arial" w:cs="Arial"/>
          <w:sz w:val="20"/>
          <w:lang w:val="bg-BG"/>
        </w:rPr>
        <w:t>Туск</w:t>
      </w:r>
      <w:proofErr w:type="spellEnd"/>
      <w:r w:rsidR="002F05CF" w:rsidRPr="00CE4F1F">
        <w:rPr>
          <w:rFonts w:ascii="Arial" w:hAnsi="Arial" w:cs="Arial"/>
          <w:sz w:val="20"/>
          <w:lang w:val="bg-BG"/>
        </w:rPr>
        <w:t xml:space="preserve"> </w:t>
      </w:r>
      <w:r w:rsidR="00F55275" w:rsidRPr="00CE4F1F">
        <w:rPr>
          <w:rFonts w:ascii="Arial" w:hAnsi="Arial" w:cs="Arial"/>
          <w:sz w:val="20"/>
          <w:lang w:val="bg-BG"/>
        </w:rPr>
        <w:t>в дискусията</w:t>
      </w:r>
      <w:r w:rsidR="002F05CF" w:rsidRPr="00CE4F1F">
        <w:rPr>
          <w:rFonts w:ascii="Arial" w:hAnsi="Arial" w:cs="Arial"/>
          <w:sz w:val="20"/>
          <w:lang w:val="bg-BG"/>
        </w:rPr>
        <w:t xml:space="preserve"> между лидерите на ЕС </w:t>
      </w:r>
      <w:r w:rsidR="00F55275" w:rsidRPr="00CE4F1F">
        <w:rPr>
          <w:rFonts w:ascii="Arial" w:hAnsi="Arial" w:cs="Arial"/>
          <w:sz w:val="20"/>
          <w:lang w:val="bg-BG"/>
        </w:rPr>
        <w:t>по време на</w:t>
      </w:r>
      <w:r w:rsidR="002F05CF" w:rsidRPr="00CE4F1F">
        <w:rPr>
          <w:rFonts w:ascii="Arial" w:hAnsi="Arial" w:cs="Arial"/>
          <w:sz w:val="20"/>
          <w:lang w:val="bg-BG"/>
        </w:rPr>
        <w:t xml:space="preserve"> Европейския съвет в Брюксел на 17 и 18 октомври. След този дебат в Европейския съвет</w:t>
      </w:r>
      <w:r w:rsidR="00F55275" w:rsidRPr="00CE4F1F">
        <w:rPr>
          <w:rFonts w:ascii="Arial" w:hAnsi="Arial" w:cs="Arial"/>
          <w:sz w:val="20"/>
          <w:lang w:val="bg-BG"/>
        </w:rPr>
        <w:t>,</w:t>
      </w:r>
      <w:r w:rsidR="002F05CF" w:rsidRPr="00CE4F1F">
        <w:rPr>
          <w:rFonts w:ascii="Arial" w:hAnsi="Arial" w:cs="Arial"/>
          <w:sz w:val="20"/>
          <w:lang w:val="bg-BG"/>
        </w:rPr>
        <w:t xml:space="preserve"> </w:t>
      </w:r>
      <w:r w:rsidR="00F55275" w:rsidRPr="00CE4F1F">
        <w:rPr>
          <w:rFonts w:ascii="Arial" w:hAnsi="Arial" w:cs="Arial"/>
          <w:sz w:val="20"/>
          <w:lang w:val="bg-BG"/>
        </w:rPr>
        <w:t>ф</w:t>
      </w:r>
      <w:r w:rsidR="002F05CF" w:rsidRPr="00CE4F1F">
        <w:rPr>
          <w:rFonts w:ascii="Arial" w:hAnsi="Arial" w:cs="Arial"/>
          <w:sz w:val="20"/>
          <w:lang w:val="bg-BG"/>
        </w:rPr>
        <w:t>инландското председателство ще изготви нова версия на „</w:t>
      </w:r>
      <w:r w:rsidR="00F55275" w:rsidRPr="00CE4F1F">
        <w:rPr>
          <w:rFonts w:ascii="Arial" w:hAnsi="Arial" w:cs="Arial"/>
          <w:sz w:val="20"/>
          <w:lang w:val="bg-BG"/>
        </w:rPr>
        <w:t>преговорната кутия</w:t>
      </w:r>
      <w:r w:rsidR="002F05CF" w:rsidRPr="00CE4F1F">
        <w:rPr>
          <w:rFonts w:ascii="Arial" w:hAnsi="Arial" w:cs="Arial"/>
          <w:sz w:val="20"/>
          <w:lang w:val="bg-BG"/>
        </w:rPr>
        <w:t>“</w:t>
      </w:r>
      <w:r w:rsidR="00F55275" w:rsidRPr="00CE4F1F">
        <w:rPr>
          <w:rFonts w:ascii="Arial" w:hAnsi="Arial" w:cs="Arial"/>
          <w:sz w:val="20"/>
          <w:lang w:val="bg-BG"/>
        </w:rPr>
        <w:t xml:space="preserve"> с цел</w:t>
      </w:r>
      <w:r w:rsidR="002F05CF" w:rsidRPr="00CE4F1F">
        <w:rPr>
          <w:rFonts w:ascii="Arial" w:hAnsi="Arial" w:cs="Arial"/>
          <w:sz w:val="20"/>
          <w:lang w:val="bg-BG"/>
        </w:rPr>
        <w:t xml:space="preserve"> да се подгот</w:t>
      </w:r>
      <w:r w:rsidR="00F55275" w:rsidRPr="00CE4F1F">
        <w:rPr>
          <w:rFonts w:ascii="Arial" w:hAnsi="Arial" w:cs="Arial"/>
          <w:sz w:val="20"/>
          <w:lang w:val="bg-BG"/>
        </w:rPr>
        <w:t>вят</w:t>
      </w:r>
      <w:r w:rsidR="002F05CF" w:rsidRPr="00CE4F1F">
        <w:rPr>
          <w:rFonts w:ascii="Arial" w:hAnsi="Arial" w:cs="Arial"/>
          <w:sz w:val="20"/>
          <w:lang w:val="bg-BG"/>
        </w:rPr>
        <w:t xml:space="preserve"> следващите стъпки. Настоящата </w:t>
      </w:r>
      <w:r w:rsidR="00F55275" w:rsidRPr="00CE4F1F">
        <w:rPr>
          <w:rFonts w:ascii="Arial" w:hAnsi="Arial" w:cs="Arial"/>
          <w:sz w:val="20"/>
          <w:lang w:val="bg-BG"/>
        </w:rPr>
        <w:t>преговорна кутия</w:t>
      </w:r>
      <w:r w:rsidR="002F05CF" w:rsidRPr="00CE4F1F">
        <w:rPr>
          <w:rFonts w:ascii="Arial" w:hAnsi="Arial" w:cs="Arial"/>
          <w:sz w:val="20"/>
          <w:lang w:val="bg-BG"/>
        </w:rPr>
        <w:t xml:space="preserve"> е „</w:t>
      </w:r>
      <w:r w:rsidR="00F55275" w:rsidRPr="00CE4F1F">
        <w:rPr>
          <w:rFonts w:ascii="Arial" w:hAnsi="Arial" w:cs="Arial"/>
          <w:sz w:val="20"/>
          <w:lang w:val="bg-BG"/>
        </w:rPr>
        <w:t>актуален</w:t>
      </w:r>
      <w:r w:rsidR="002F05CF" w:rsidRPr="00CE4F1F">
        <w:rPr>
          <w:rFonts w:ascii="Arial" w:hAnsi="Arial" w:cs="Arial"/>
          <w:sz w:val="20"/>
          <w:lang w:val="bg-BG"/>
        </w:rPr>
        <w:t>“ документ, насочен към улесняване на компромис</w:t>
      </w:r>
      <w:r w:rsidR="00F55275" w:rsidRPr="00CE4F1F">
        <w:rPr>
          <w:rFonts w:ascii="Arial" w:hAnsi="Arial" w:cs="Arial"/>
          <w:sz w:val="20"/>
          <w:lang w:val="bg-BG"/>
        </w:rPr>
        <w:t>а</w:t>
      </w:r>
      <w:r w:rsidR="002F05CF" w:rsidRPr="00CE4F1F">
        <w:rPr>
          <w:rFonts w:ascii="Arial" w:hAnsi="Arial" w:cs="Arial"/>
          <w:sz w:val="20"/>
          <w:lang w:val="bg-BG"/>
        </w:rPr>
        <w:t xml:space="preserve"> </w:t>
      </w:r>
      <w:r w:rsidR="00F55275" w:rsidRPr="00CE4F1F">
        <w:rPr>
          <w:rFonts w:ascii="Arial" w:hAnsi="Arial" w:cs="Arial"/>
          <w:sz w:val="20"/>
          <w:lang w:val="bg-BG"/>
        </w:rPr>
        <w:t>по</w:t>
      </w:r>
      <w:r w:rsidR="002F05CF" w:rsidRPr="00CE4F1F">
        <w:rPr>
          <w:rFonts w:ascii="Arial" w:hAnsi="Arial" w:cs="Arial"/>
          <w:sz w:val="20"/>
          <w:lang w:val="bg-BG"/>
        </w:rPr>
        <w:t xml:space="preserve"> МФР за 2021-2027 г. В четвъртък, </w:t>
      </w:r>
      <w:r w:rsidR="00F55275" w:rsidRPr="00CE4F1F">
        <w:rPr>
          <w:rFonts w:ascii="Arial" w:hAnsi="Arial" w:cs="Arial"/>
          <w:sz w:val="20"/>
          <w:lang w:val="bg-BG"/>
        </w:rPr>
        <w:t xml:space="preserve">на </w:t>
      </w:r>
      <w:r w:rsidR="002F05CF" w:rsidRPr="00CE4F1F">
        <w:rPr>
          <w:rFonts w:ascii="Arial" w:hAnsi="Arial" w:cs="Arial"/>
          <w:sz w:val="20"/>
          <w:lang w:val="bg-BG"/>
        </w:rPr>
        <w:t xml:space="preserve">12 септември, </w:t>
      </w:r>
      <w:r w:rsidR="00F55275" w:rsidRPr="00CE4F1F">
        <w:rPr>
          <w:rFonts w:ascii="Arial" w:hAnsi="Arial" w:cs="Arial"/>
          <w:sz w:val="20"/>
          <w:lang w:val="bg-BG"/>
        </w:rPr>
        <w:t>ф</w:t>
      </w:r>
      <w:r w:rsidR="002F05CF" w:rsidRPr="00CE4F1F">
        <w:rPr>
          <w:rFonts w:ascii="Arial" w:hAnsi="Arial" w:cs="Arial"/>
          <w:sz w:val="20"/>
          <w:lang w:val="bg-BG"/>
        </w:rPr>
        <w:t xml:space="preserve">инландското председателство се срещна с новия екип от преговарящи в Европейския парламент по този въпрос. Финландският министър припомни, че Европейският парламент продължава да защитава общ размер </w:t>
      </w:r>
      <w:r w:rsidR="00C67744" w:rsidRPr="00CE4F1F">
        <w:rPr>
          <w:rFonts w:ascii="Arial" w:hAnsi="Arial" w:cs="Arial"/>
          <w:sz w:val="20"/>
          <w:lang w:val="bg-BG"/>
        </w:rPr>
        <w:t>от</w:t>
      </w:r>
      <w:r w:rsidR="002F05CF" w:rsidRPr="00CE4F1F">
        <w:rPr>
          <w:rFonts w:ascii="Arial" w:hAnsi="Arial" w:cs="Arial"/>
          <w:sz w:val="20"/>
          <w:lang w:val="bg-BG"/>
        </w:rPr>
        <w:t xml:space="preserve"> 1,3% от Брутния национален доход на двадесет и седем</w:t>
      </w:r>
      <w:r w:rsidR="00F55275" w:rsidRPr="00CE4F1F">
        <w:rPr>
          <w:rFonts w:ascii="Arial" w:hAnsi="Arial" w:cs="Arial"/>
          <w:sz w:val="20"/>
          <w:lang w:val="bg-BG"/>
        </w:rPr>
        <w:t>те държави-членки</w:t>
      </w:r>
      <w:r w:rsidR="002F05CF" w:rsidRPr="00CE4F1F">
        <w:rPr>
          <w:rFonts w:ascii="Arial" w:hAnsi="Arial" w:cs="Arial"/>
          <w:sz w:val="20"/>
          <w:lang w:val="bg-BG"/>
        </w:rPr>
        <w:t>, в сравнение с 1.114%, представен от Комисията. Няколко държави от ЕС не желаят да надвишават ограничението от 1% от БНД</w:t>
      </w:r>
      <w:r w:rsidR="004C1BE2" w:rsidRPr="00CE4F1F">
        <w:rPr>
          <w:rFonts w:ascii="Arial" w:hAnsi="Arial" w:cs="Arial"/>
          <w:sz w:val="20"/>
          <w:lang w:val="bg-BG"/>
        </w:rPr>
        <w:t xml:space="preserve"> сл</w:t>
      </w:r>
      <w:r w:rsidR="002F05CF" w:rsidRPr="00CE4F1F">
        <w:rPr>
          <w:rFonts w:ascii="Arial" w:hAnsi="Arial" w:cs="Arial"/>
          <w:sz w:val="20"/>
          <w:lang w:val="bg-BG"/>
        </w:rPr>
        <w:t xml:space="preserve">ед </w:t>
      </w:r>
      <w:proofErr w:type="spellStart"/>
      <w:r w:rsidR="002F05CF" w:rsidRPr="00CE4F1F">
        <w:rPr>
          <w:rFonts w:ascii="Arial" w:hAnsi="Arial" w:cs="Arial"/>
          <w:sz w:val="20"/>
          <w:lang w:val="bg-BG"/>
        </w:rPr>
        <w:t>Брекзит</w:t>
      </w:r>
      <w:proofErr w:type="spellEnd"/>
      <w:r w:rsidR="004C1BE2" w:rsidRPr="00CE4F1F">
        <w:rPr>
          <w:rFonts w:ascii="Arial" w:hAnsi="Arial" w:cs="Arial"/>
          <w:sz w:val="20"/>
          <w:lang w:val="bg-BG"/>
        </w:rPr>
        <w:t>.</w:t>
      </w:r>
      <w:r w:rsidR="002F05CF" w:rsidRPr="00CE4F1F">
        <w:rPr>
          <w:rFonts w:ascii="Arial" w:hAnsi="Arial" w:cs="Arial"/>
          <w:sz w:val="20"/>
          <w:lang w:val="bg-BG"/>
        </w:rPr>
        <w:t xml:space="preserve"> Според френския държавен секретар по европейските въпроси, „отправна точка“ не трябва да бъде общата сума на бюджета на ЕС или „числото след запетаята“, а по-скоро политикит</w:t>
      </w:r>
      <w:r w:rsidR="004C1BE2" w:rsidRPr="00CE4F1F">
        <w:rPr>
          <w:rFonts w:ascii="Arial" w:hAnsi="Arial" w:cs="Arial"/>
          <w:sz w:val="20"/>
          <w:lang w:val="bg-BG"/>
        </w:rPr>
        <w:t xml:space="preserve">е, които трябва да се защитават и </w:t>
      </w:r>
      <w:r w:rsidR="002F05CF" w:rsidRPr="00CE4F1F">
        <w:rPr>
          <w:rFonts w:ascii="Arial" w:hAnsi="Arial" w:cs="Arial"/>
          <w:sz w:val="20"/>
          <w:lang w:val="bg-BG"/>
        </w:rPr>
        <w:t xml:space="preserve">отново призова за запазване на текущото ниво на разходите за Обща селскостопанска политика (ОСП) и създаване на нови собствени ресурси за „осигуряване на екологичен преход“. </w:t>
      </w:r>
    </w:p>
    <w:p w:rsidR="004C1BE2" w:rsidRPr="00CE4F1F" w:rsidRDefault="004C1BE2" w:rsidP="004C1BE2">
      <w:pPr>
        <w:jc w:val="both"/>
        <w:rPr>
          <w:rFonts w:ascii="Arial" w:hAnsi="Arial" w:cs="Arial"/>
          <w:color w:val="222222"/>
          <w:lang w:val="bg-BG" w:eastAsia="bg-BG"/>
        </w:rPr>
      </w:pPr>
    </w:p>
    <w:p w:rsidR="00613B29" w:rsidRPr="00CE4F1F" w:rsidRDefault="00A66620" w:rsidP="004F4A43">
      <w:pPr>
        <w:jc w:val="both"/>
        <w:rPr>
          <w:rStyle w:val="longtext"/>
          <w:rFonts w:ascii="Arial" w:hAnsi="Arial" w:cs="Arial"/>
          <w:sz w:val="20"/>
          <w:shd w:val="clear" w:color="auto" w:fill="FFFFFF"/>
          <w:lang w:val="bg-BG"/>
        </w:rPr>
      </w:pPr>
      <w:r w:rsidRPr="00CE4F1F">
        <w:rPr>
          <w:rStyle w:val="longtext"/>
          <w:rFonts w:ascii="Arial" w:hAnsi="Arial" w:cs="Arial"/>
          <w:b/>
          <w:sz w:val="20"/>
          <w:shd w:val="clear" w:color="auto" w:fill="FFFFFF"/>
          <w:lang w:val="bg-BG"/>
        </w:rPr>
        <w:t>6</w:t>
      </w:r>
      <w:r w:rsidR="00613B29" w:rsidRPr="00CE4F1F">
        <w:rPr>
          <w:rStyle w:val="longtext"/>
          <w:rFonts w:ascii="Arial" w:hAnsi="Arial" w:cs="Arial"/>
          <w:b/>
          <w:sz w:val="20"/>
          <w:shd w:val="clear" w:color="auto" w:fill="FFFFFF"/>
          <w:lang w:val="bg-BG"/>
        </w:rPr>
        <w:t xml:space="preserve">. </w:t>
      </w:r>
      <w:r w:rsidR="002012BD" w:rsidRPr="00CE4F1F">
        <w:rPr>
          <w:rStyle w:val="longtext"/>
          <w:rFonts w:ascii="Arial" w:hAnsi="Arial" w:cs="Arial"/>
          <w:b/>
          <w:sz w:val="20"/>
          <w:shd w:val="clear" w:color="auto" w:fill="FFFFFF"/>
          <w:lang w:val="bg-BG"/>
        </w:rPr>
        <w:t xml:space="preserve">Доклад </w:t>
      </w:r>
      <w:r w:rsidR="00525C88" w:rsidRPr="00CE4F1F">
        <w:rPr>
          <w:rStyle w:val="longtext"/>
          <w:rFonts w:ascii="Arial" w:hAnsi="Arial" w:cs="Arial"/>
          <w:b/>
          <w:sz w:val="20"/>
          <w:shd w:val="clear" w:color="auto" w:fill="FFFFFF"/>
          <w:lang w:val="bg-BG"/>
        </w:rPr>
        <w:t>на</w:t>
      </w:r>
      <w:r w:rsidR="002012BD" w:rsidRPr="00CE4F1F">
        <w:rPr>
          <w:rStyle w:val="longtext"/>
          <w:rFonts w:ascii="Arial" w:hAnsi="Arial" w:cs="Arial"/>
          <w:b/>
          <w:sz w:val="20"/>
          <w:shd w:val="clear" w:color="auto" w:fill="FFFFFF"/>
          <w:lang w:val="bg-BG"/>
        </w:rPr>
        <w:t xml:space="preserve"> </w:t>
      </w:r>
      <w:r w:rsidR="00525C88" w:rsidRPr="00CE4F1F">
        <w:rPr>
          <w:rStyle w:val="longtext"/>
          <w:rFonts w:ascii="Arial" w:hAnsi="Arial" w:cs="Arial"/>
          <w:b/>
          <w:sz w:val="20"/>
          <w:shd w:val="clear" w:color="auto" w:fill="FFFFFF"/>
          <w:lang w:val="bg-BG"/>
        </w:rPr>
        <w:t>Комисията по земеделие в ЕП</w:t>
      </w:r>
      <w:r w:rsidR="00613B29" w:rsidRPr="00CE4F1F">
        <w:rPr>
          <w:rStyle w:val="longtext"/>
          <w:rFonts w:ascii="Arial" w:hAnsi="Arial" w:cs="Arial"/>
          <w:b/>
          <w:sz w:val="20"/>
          <w:shd w:val="clear" w:color="auto" w:fill="FFFFFF"/>
          <w:lang w:val="bg-BG"/>
        </w:rPr>
        <w:t xml:space="preserve"> относно предложен</w:t>
      </w:r>
      <w:r w:rsidR="008A1E30" w:rsidRPr="00CE4F1F">
        <w:rPr>
          <w:rStyle w:val="longtext"/>
          <w:rFonts w:ascii="Arial" w:hAnsi="Arial" w:cs="Arial"/>
          <w:b/>
          <w:sz w:val="20"/>
          <w:shd w:val="clear" w:color="auto" w:fill="FFFFFF"/>
          <w:lang w:val="bg-BG"/>
        </w:rPr>
        <w:t>ията за реформа на ОСП</w:t>
      </w:r>
      <w:r w:rsidR="00613B29" w:rsidRPr="00CE4F1F">
        <w:rPr>
          <w:rStyle w:val="longtext"/>
          <w:rFonts w:ascii="Arial" w:hAnsi="Arial" w:cs="Arial"/>
          <w:b/>
          <w:sz w:val="20"/>
          <w:shd w:val="clear" w:color="auto" w:fill="FFFFFF"/>
          <w:lang w:val="bg-BG"/>
        </w:rPr>
        <w:t xml:space="preserve"> рискува да върне </w:t>
      </w:r>
      <w:r w:rsidR="008A1E30" w:rsidRPr="00CE4F1F">
        <w:rPr>
          <w:rStyle w:val="longtext"/>
          <w:rFonts w:ascii="Arial" w:hAnsi="Arial" w:cs="Arial"/>
          <w:b/>
          <w:sz w:val="20"/>
          <w:shd w:val="clear" w:color="auto" w:fill="FFFFFF"/>
          <w:lang w:val="bg-BG"/>
        </w:rPr>
        <w:t xml:space="preserve">назад </w:t>
      </w:r>
      <w:r w:rsidR="00613B29" w:rsidRPr="00CE4F1F">
        <w:rPr>
          <w:rStyle w:val="longtext"/>
          <w:rFonts w:ascii="Arial" w:hAnsi="Arial" w:cs="Arial"/>
          <w:b/>
          <w:sz w:val="20"/>
          <w:shd w:val="clear" w:color="auto" w:fill="FFFFFF"/>
          <w:lang w:val="bg-BG"/>
        </w:rPr>
        <w:t>някои от постиженията на политиката в областта на околната среда и климата, според документ, публикуван от Института за европейска политика в областта на околната среда (IEEP) на 9 септември</w:t>
      </w:r>
      <w:r w:rsidR="008A1E30" w:rsidRPr="00CE4F1F">
        <w:rPr>
          <w:rStyle w:val="longtext"/>
          <w:rFonts w:ascii="Arial" w:hAnsi="Arial" w:cs="Arial"/>
          <w:b/>
          <w:sz w:val="20"/>
          <w:shd w:val="clear" w:color="auto" w:fill="FFFFFF"/>
          <w:lang w:val="bg-BG"/>
        </w:rPr>
        <w:t xml:space="preserve"> 2019 г.</w:t>
      </w:r>
      <w:r w:rsidR="008A1E30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 xml:space="preserve"> Документът от 65 страници</w:t>
      </w:r>
      <w:r w:rsidR="00613B29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 xml:space="preserve">, написан от </w:t>
      </w:r>
      <w:proofErr w:type="spellStart"/>
      <w:r w:rsidR="00613B29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>Фаустин</w:t>
      </w:r>
      <w:proofErr w:type="spellEnd"/>
      <w:r w:rsidR="00613B29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 xml:space="preserve"> </w:t>
      </w:r>
      <w:proofErr w:type="spellStart"/>
      <w:r w:rsidR="00613B29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>Бас-Дефоссес</w:t>
      </w:r>
      <w:proofErr w:type="spellEnd"/>
      <w:r w:rsidR="00613B29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 xml:space="preserve">, главен анализатор на политиката на организацията и ръководител на програмата за земеделие и управление на </w:t>
      </w:r>
      <w:r w:rsidR="00525C88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>земите</w:t>
      </w:r>
      <w:r w:rsidR="00613B29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 xml:space="preserve"> и Стивън Мередит, старши анализатор на политиката, подчертава</w:t>
      </w:r>
      <w:r w:rsidR="00525C88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>т</w:t>
      </w:r>
      <w:r w:rsidR="00613B29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 xml:space="preserve">, че „голяма част“ от доклада съгласуван </w:t>
      </w:r>
      <w:r w:rsidR="00525C88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>в Комисията по земеделие на ЕП</w:t>
      </w:r>
      <w:r w:rsidR="00613B29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>, „е направен от изменения, които имат ограничен потенциал за увеличе</w:t>
      </w:r>
      <w:r w:rsidR="00525C88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>ние</w:t>
      </w:r>
      <w:r w:rsidR="00613B29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 xml:space="preserve"> на екологичните и климатичните резултати на ОСП “, защото те са„ или твърде неясни, или недостатъчно</w:t>
      </w:r>
      <w:r w:rsidR="008A1E30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 xml:space="preserve"> амбициозни “. </w:t>
      </w:r>
      <w:r w:rsidR="009A48FA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>Н</w:t>
      </w:r>
      <w:r w:rsidR="008A1E30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>е</w:t>
      </w:r>
      <w:r w:rsidR="00613B29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 xml:space="preserve"> </w:t>
      </w:r>
      <w:r w:rsidR="009A48FA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 xml:space="preserve">се </w:t>
      </w:r>
      <w:r w:rsidR="00613B29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 xml:space="preserve">предлагат необходимите елементи, за да </w:t>
      </w:r>
      <w:r w:rsidR="009A48FA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>се превърнат</w:t>
      </w:r>
      <w:r w:rsidR="00613B29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 xml:space="preserve"> предложенията на </w:t>
      </w:r>
      <w:r w:rsidR="009A48FA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>Европейската комисия</w:t>
      </w:r>
      <w:r w:rsidR="00613B29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 xml:space="preserve"> от р</w:t>
      </w:r>
      <w:r w:rsidR="008A1E30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>еторика</w:t>
      </w:r>
      <w:r w:rsidR="009A48FA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>,</w:t>
      </w:r>
      <w:r w:rsidR="008A1E30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 xml:space="preserve"> в конкретни действия. </w:t>
      </w:r>
      <w:r w:rsidR="00613B29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>В много отношения</w:t>
      </w:r>
      <w:r w:rsidR="00F65123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 xml:space="preserve"> предложенията в доклада</w:t>
      </w:r>
      <w:r w:rsidR="008A1E30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 xml:space="preserve"> рискуват да запазят статуквото, а в някои случаи</w:t>
      </w:r>
      <w:r w:rsidR="00F65123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 xml:space="preserve">, </w:t>
      </w:r>
      <w:r w:rsidR="008A1E30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 xml:space="preserve"> дори</w:t>
      </w:r>
      <w:r w:rsidR="00613B29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 xml:space="preserve"> връщат към предишни постижения в областт</w:t>
      </w:r>
      <w:r w:rsidR="008A1E30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 xml:space="preserve">а на околната среда и климата. </w:t>
      </w:r>
      <w:proofErr w:type="spellStart"/>
      <w:r w:rsidR="008A1E30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>Бас-Дефосес</w:t>
      </w:r>
      <w:proofErr w:type="spellEnd"/>
      <w:r w:rsidR="008A1E30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 xml:space="preserve"> подчертава</w:t>
      </w:r>
      <w:r w:rsidR="00613B29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 xml:space="preserve">, че „докладът на </w:t>
      </w:r>
      <w:r w:rsidR="00F65123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>Комисията по земеделие</w:t>
      </w:r>
      <w:r w:rsidR="00613B29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 xml:space="preserve"> подкрепя цялостната насока на предложенията на </w:t>
      </w:r>
      <w:r w:rsidR="00F65123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 xml:space="preserve">ЕК, като </w:t>
      </w:r>
      <w:r w:rsidR="00613B29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 xml:space="preserve">се стреми </w:t>
      </w:r>
      <w:r w:rsidR="00F65123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>д</w:t>
      </w:r>
      <w:r w:rsidR="008A1E30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 xml:space="preserve">а </w:t>
      </w:r>
      <w:r w:rsidR="00613B29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>запаз</w:t>
      </w:r>
      <w:r w:rsidR="00F65123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>и</w:t>
      </w:r>
      <w:r w:rsidR="00613B29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 xml:space="preserve"> статуквото с някои стъпки назад, които могат сериозно да подкопаят подобряването </w:t>
      </w:r>
      <w:r w:rsidR="00F65123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>на околната среда и климата“</w:t>
      </w:r>
      <w:r w:rsidR="00613B29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 xml:space="preserve">. </w:t>
      </w:r>
      <w:proofErr w:type="spellStart"/>
      <w:r w:rsidR="008A1E30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>Бас-Дефосес</w:t>
      </w:r>
      <w:proofErr w:type="spellEnd"/>
      <w:r w:rsidR="008A1E30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 xml:space="preserve"> </w:t>
      </w:r>
      <w:r w:rsidR="00F65123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>изтъква</w:t>
      </w:r>
      <w:r w:rsidR="008A1E30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>, че докладът</w:t>
      </w:r>
      <w:r w:rsidR="005A28F9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 xml:space="preserve"> на К</w:t>
      </w:r>
      <w:r w:rsidR="008A1E30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 xml:space="preserve">омисията </w:t>
      </w:r>
      <w:r w:rsidR="00F65123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>по околна среда</w:t>
      </w:r>
      <w:r w:rsidR="008A1E30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 xml:space="preserve"> от друга страна,</w:t>
      </w:r>
      <w:r w:rsidR="00613B29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 xml:space="preserve"> се стреми да </w:t>
      </w:r>
      <w:proofErr w:type="spellStart"/>
      <w:r w:rsidR="00613B29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>надгражда</w:t>
      </w:r>
      <w:proofErr w:type="spellEnd"/>
      <w:r w:rsidR="00613B29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 xml:space="preserve"> предложенията на </w:t>
      </w:r>
      <w:r w:rsidR="005A28F9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>ЕК за да се направи</w:t>
      </w:r>
      <w:r w:rsidR="00613B29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 xml:space="preserve"> необходимата и значителна промяна в начина, по който се проектират и предост</w:t>
      </w:r>
      <w:r w:rsidR="005A28F9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 xml:space="preserve">авят субсидии на ЕС в държавите </w:t>
      </w:r>
      <w:r w:rsidR="00613B29" w:rsidRPr="00CE4F1F">
        <w:rPr>
          <w:rStyle w:val="longtext"/>
          <w:rFonts w:ascii="Arial" w:hAnsi="Arial" w:cs="Arial"/>
          <w:sz w:val="20"/>
          <w:shd w:val="clear" w:color="auto" w:fill="FFFFFF"/>
          <w:lang w:val="bg-BG"/>
        </w:rPr>
        <w:t xml:space="preserve">членки. </w:t>
      </w:r>
    </w:p>
    <w:p w:rsidR="003877CA" w:rsidRPr="00CE4F1F" w:rsidRDefault="003877CA" w:rsidP="00613B29">
      <w:pPr>
        <w:jc w:val="both"/>
        <w:rPr>
          <w:rStyle w:val="longtext"/>
          <w:shd w:val="clear" w:color="auto" w:fill="FFFFFF"/>
          <w:lang w:val="bg-BG"/>
        </w:rPr>
      </w:pPr>
    </w:p>
    <w:p w:rsidR="00C60D17" w:rsidRPr="00CE4F1F" w:rsidRDefault="00C60D17" w:rsidP="004F4A43">
      <w:pPr>
        <w:jc w:val="both"/>
        <w:rPr>
          <w:rStyle w:val="longtext"/>
          <w:b/>
          <w:sz w:val="20"/>
          <w:shd w:val="clear" w:color="auto" w:fill="FFFFFF"/>
          <w:lang w:val="bg-BG"/>
        </w:rPr>
      </w:pPr>
    </w:p>
    <w:sectPr w:rsidR="00C60D17" w:rsidRPr="00CE4F1F" w:rsidSect="00852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905" w:rsidRDefault="00813905">
      <w:r>
        <w:separator/>
      </w:r>
    </w:p>
  </w:endnote>
  <w:endnote w:type="continuationSeparator" w:id="0">
    <w:p w:rsidR="00813905" w:rsidRDefault="0081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81390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813905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4B3CB3" w:rsidRDefault="00403CB9" w:rsidP="004B3CB3">
    <w:pPr>
      <w:pStyle w:val="Footer"/>
      <w:ind w:right="-23"/>
      <w:rPr>
        <w:rFonts w:ascii="Arial" w:hAnsi="Arial"/>
        <w:i/>
        <w:iCs/>
        <w:color w:val="800080"/>
        <w:sz w:val="18"/>
        <w:szCs w:val="18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 xml:space="preserve">Дирекции „Директни плащания и идентификация на земеделски парцели”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     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separate"/>
    </w:r>
    <w:r w:rsidR="00395D5E">
      <w:rPr>
        <w:rFonts w:ascii="Arial" w:hAnsi="Arial"/>
        <w:i/>
        <w:iCs/>
        <w:noProof/>
        <w:color w:val="800080"/>
        <w:sz w:val="18"/>
        <w:szCs w:val="18"/>
        <w:lang w:val="bg-BG"/>
      </w:rPr>
      <w:t>2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end"/>
    </w:r>
  </w:p>
  <w:p w:rsidR="004B3CB3" w:rsidRPr="004B3CB3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>производители“, МЗХГ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</w:p>
  <w:p w:rsidR="005618E1" w:rsidRPr="004B3CB3" w:rsidRDefault="00813905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72" w:rsidRDefault="001348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905" w:rsidRDefault="00813905">
      <w:r>
        <w:separator/>
      </w:r>
    </w:p>
  </w:footnote>
  <w:footnote w:type="continuationSeparator" w:id="0">
    <w:p w:rsidR="00813905" w:rsidRDefault="00813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72" w:rsidRDefault="001348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pPr>
            <w:rPr>
              <w:lang w:val="bg-BG"/>
            </w:rPr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bg-BG" w:eastAsia="bg-BG"/>
            </w:rPr>
            <w:drawing>
              <wp:inline distT="0" distB="0" distL="0" distR="0" wp14:anchorId="0845882B" wp14:editId="6E857CE9">
                <wp:extent cx="233680" cy="2127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813905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>
          <w:pPr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  <w:lang w:val="bg-BG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  <w:lang w:val="bg-BG"/>
            </w:rPr>
            <w:t xml:space="preserve"> от изминалата седмица          </w:t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813905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  <w:lang w:val="bg-BG"/>
      </w:rPr>
      <w:tab/>
    </w:r>
    <w:r w:rsidR="007F4E89">
      <w:rPr>
        <w:rFonts w:ascii="Arial" w:hAnsi="Arial"/>
        <w:b/>
        <w:bCs/>
        <w:color w:val="800080"/>
        <w:sz w:val="20"/>
        <w:lang w:val="en-US"/>
      </w:rPr>
      <w:t>3</w:t>
    </w:r>
    <w:r w:rsidR="009A5D09">
      <w:rPr>
        <w:rFonts w:ascii="Arial" w:hAnsi="Arial"/>
        <w:b/>
        <w:bCs/>
        <w:color w:val="800080"/>
        <w:sz w:val="20"/>
        <w:lang w:val="en-US"/>
      </w:rPr>
      <w:t>8</w:t>
    </w:r>
    <w:r w:rsidR="00134872">
      <w:rPr>
        <w:rFonts w:ascii="Arial" w:hAnsi="Arial"/>
        <w:b/>
        <w:bCs/>
        <w:color w:val="800080"/>
        <w:sz w:val="20"/>
        <w:lang w:val="en-US"/>
      </w:rPr>
      <w:t>8</w:t>
    </w:r>
    <w:r>
      <w:rPr>
        <w:rFonts w:ascii="Arial" w:hAnsi="Arial"/>
        <w:b/>
        <w:bCs/>
        <w:color w:val="800080"/>
        <w:sz w:val="20"/>
        <w:lang w:val="bg-BG"/>
      </w:rPr>
      <w:t>/</w:t>
    </w:r>
    <w:r w:rsidR="00134872">
      <w:rPr>
        <w:rFonts w:ascii="Arial" w:hAnsi="Arial"/>
        <w:b/>
        <w:bCs/>
        <w:color w:val="800080"/>
        <w:sz w:val="20"/>
        <w:lang w:val="en-US"/>
      </w:rPr>
      <w:t>24</w:t>
    </w:r>
    <w:r w:rsidR="009F7022">
      <w:rPr>
        <w:rFonts w:ascii="Arial" w:hAnsi="Arial"/>
        <w:b/>
        <w:bCs/>
        <w:color w:val="800080"/>
        <w:sz w:val="20"/>
        <w:lang w:val="en-US"/>
      </w:rPr>
      <w:t>.0</w:t>
    </w:r>
    <w:r w:rsidR="008206C1">
      <w:rPr>
        <w:rFonts w:ascii="Arial" w:hAnsi="Arial"/>
        <w:b/>
        <w:bCs/>
        <w:color w:val="800080"/>
        <w:sz w:val="20"/>
        <w:lang w:val="en-US"/>
      </w:rPr>
      <w:t>9</w:t>
    </w:r>
    <w:r>
      <w:rPr>
        <w:rFonts w:ascii="Arial" w:hAnsi="Arial"/>
        <w:b/>
        <w:bCs/>
        <w:color w:val="800080"/>
        <w:sz w:val="20"/>
        <w:lang w:val="bg-BG"/>
      </w:rPr>
      <w:t>.201</w:t>
    </w:r>
    <w:r>
      <w:rPr>
        <w:rFonts w:ascii="Arial" w:hAnsi="Arial"/>
        <w:b/>
        <w:bCs/>
        <w:color w:val="800080"/>
        <w:sz w:val="20"/>
        <w:lang w:val="en-US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72" w:rsidRDefault="001348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2E2E"/>
    <w:multiLevelType w:val="multilevel"/>
    <w:tmpl w:val="679E73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eastAsia="SimSun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SimSun"/>
        <w:b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SimSun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SimSun"/>
        <w:b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SimSun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SimSun"/>
        <w:b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SimSun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SimSun"/>
        <w:b/>
      </w:rPr>
    </w:lvl>
  </w:abstractNum>
  <w:abstractNum w:abstractNumId="1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A5B2C"/>
    <w:multiLevelType w:val="hybridMultilevel"/>
    <w:tmpl w:val="2A208660"/>
    <w:lvl w:ilvl="0" w:tplc="860879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456CE"/>
    <w:multiLevelType w:val="hybridMultilevel"/>
    <w:tmpl w:val="A4E459C0"/>
    <w:lvl w:ilvl="0" w:tplc="860879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2497A"/>
    <w:rsid w:val="000510A7"/>
    <w:rsid w:val="00074CB6"/>
    <w:rsid w:val="00081DAE"/>
    <w:rsid w:val="000A31F0"/>
    <w:rsid w:val="000A4DD2"/>
    <w:rsid w:val="001234C4"/>
    <w:rsid w:val="00131A6D"/>
    <w:rsid w:val="00134872"/>
    <w:rsid w:val="0013606E"/>
    <w:rsid w:val="0014608C"/>
    <w:rsid w:val="001639CC"/>
    <w:rsid w:val="00173E25"/>
    <w:rsid w:val="00180441"/>
    <w:rsid w:val="00182DB6"/>
    <w:rsid w:val="001A4206"/>
    <w:rsid w:val="001D0AC9"/>
    <w:rsid w:val="001D6317"/>
    <w:rsid w:val="001E1EAA"/>
    <w:rsid w:val="001F2EC7"/>
    <w:rsid w:val="002012BD"/>
    <w:rsid w:val="00226A8C"/>
    <w:rsid w:val="00233C49"/>
    <w:rsid w:val="002610A9"/>
    <w:rsid w:val="00274F4E"/>
    <w:rsid w:val="00283A6F"/>
    <w:rsid w:val="00285183"/>
    <w:rsid w:val="002953A4"/>
    <w:rsid w:val="002A6A4C"/>
    <w:rsid w:val="002C399A"/>
    <w:rsid w:val="002D25F9"/>
    <w:rsid w:val="002E78C0"/>
    <w:rsid w:val="002F05CF"/>
    <w:rsid w:val="002F1104"/>
    <w:rsid w:val="002F278F"/>
    <w:rsid w:val="002F6211"/>
    <w:rsid w:val="00300FA3"/>
    <w:rsid w:val="003077F9"/>
    <w:rsid w:val="00313FBA"/>
    <w:rsid w:val="00353ACF"/>
    <w:rsid w:val="003877CA"/>
    <w:rsid w:val="003952CE"/>
    <w:rsid w:val="00395D5E"/>
    <w:rsid w:val="003A0785"/>
    <w:rsid w:val="003A2F9C"/>
    <w:rsid w:val="003B7AAB"/>
    <w:rsid w:val="003C1BFF"/>
    <w:rsid w:val="003E118D"/>
    <w:rsid w:val="003E5CB2"/>
    <w:rsid w:val="00403CB9"/>
    <w:rsid w:val="00422311"/>
    <w:rsid w:val="0044148C"/>
    <w:rsid w:val="00446398"/>
    <w:rsid w:val="004923C1"/>
    <w:rsid w:val="004A5B45"/>
    <w:rsid w:val="004C1BE2"/>
    <w:rsid w:val="004F4A43"/>
    <w:rsid w:val="005247A5"/>
    <w:rsid w:val="0052507C"/>
    <w:rsid w:val="00525C88"/>
    <w:rsid w:val="00537A32"/>
    <w:rsid w:val="005646D9"/>
    <w:rsid w:val="00572DDB"/>
    <w:rsid w:val="00592D2F"/>
    <w:rsid w:val="005A0184"/>
    <w:rsid w:val="005A28F9"/>
    <w:rsid w:val="005B4574"/>
    <w:rsid w:val="00613B29"/>
    <w:rsid w:val="006367A9"/>
    <w:rsid w:val="00682667"/>
    <w:rsid w:val="00692903"/>
    <w:rsid w:val="006A739D"/>
    <w:rsid w:val="00730172"/>
    <w:rsid w:val="0073142D"/>
    <w:rsid w:val="00766E0D"/>
    <w:rsid w:val="0078031B"/>
    <w:rsid w:val="007A70E6"/>
    <w:rsid w:val="007D7438"/>
    <w:rsid w:val="007F4E89"/>
    <w:rsid w:val="007F7C47"/>
    <w:rsid w:val="008030C3"/>
    <w:rsid w:val="00813905"/>
    <w:rsid w:val="0082007C"/>
    <w:rsid w:val="008206C1"/>
    <w:rsid w:val="008238BC"/>
    <w:rsid w:val="0083232B"/>
    <w:rsid w:val="00852DE4"/>
    <w:rsid w:val="00861450"/>
    <w:rsid w:val="008631F8"/>
    <w:rsid w:val="00870D52"/>
    <w:rsid w:val="0087763E"/>
    <w:rsid w:val="008836F2"/>
    <w:rsid w:val="008A1E30"/>
    <w:rsid w:val="008D10EA"/>
    <w:rsid w:val="008E0F81"/>
    <w:rsid w:val="008E593E"/>
    <w:rsid w:val="009339F7"/>
    <w:rsid w:val="00934FA6"/>
    <w:rsid w:val="009355BA"/>
    <w:rsid w:val="00936AFB"/>
    <w:rsid w:val="009704A2"/>
    <w:rsid w:val="0099695D"/>
    <w:rsid w:val="009A48FA"/>
    <w:rsid w:val="009A5D09"/>
    <w:rsid w:val="009B531E"/>
    <w:rsid w:val="009B7B37"/>
    <w:rsid w:val="009D0924"/>
    <w:rsid w:val="009F301A"/>
    <w:rsid w:val="009F4E95"/>
    <w:rsid w:val="009F7022"/>
    <w:rsid w:val="00A1170C"/>
    <w:rsid w:val="00A1258D"/>
    <w:rsid w:val="00A27C79"/>
    <w:rsid w:val="00A447C0"/>
    <w:rsid w:val="00A66620"/>
    <w:rsid w:val="00A673EB"/>
    <w:rsid w:val="00A94ECD"/>
    <w:rsid w:val="00AC73DE"/>
    <w:rsid w:val="00AD7B32"/>
    <w:rsid w:val="00AE14FF"/>
    <w:rsid w:val="00AE2FF4"/>
    <w:rsid w:val="00AF4C26"/>
    <w:rsid w:val="00B34793"/>
    <w:rsid w:val="00B64F87"/>
    <w:rsid w:val="00B653D0"/>
    <w:rsid w:val="00B73DA3"/>
    <w:rsid w:val="00B8112B"/>
    <w:rsid w:val="00B853D4"/>
    <w:rsid w:val="00B90317"/>
    <w:rsid w:val="00B93F21"/>
    <w:rsid w:val="00BC70E2"/>
    <w:rsid w:val="00BE4177"/>
    <w:rsid w:val="00BE55CA"/>
    <w:rsid w:val="00BF28EC"/>
    <w:rsid w:val="00C00F88"/>
    <w:rsid w:val="00C20809"/>
    <w:rsid w:val="00C3643A"/>
    <w:rsid w:val="00C51B22"/>
    <w:rsid w:val="00C60D17"/>
    <w:rsid w:val="00C67744"/>
    <w:rsid w:val="00C718EB"/>
    <w:rsid w:val="00C95B33"/>
    <w:rsid w:val="00CB196D"/>
    <w:rsid w:val="00CC6A9A"/>
    <w:rsid w:val="00CD4DD5"/>
    <w:rsid w:val="00CE4F1F"/>
    <w:rsid w:val="00CE5E69"/>
    <w:rsid w:val="00D1195A"/>
    <w:rsid w:val="00D167B1"/>
    <w:rsid w:val="00D3159B"/>
    <w:rsid w:val="00D32B06"/>
    <w:rsid w:val="00D43BBD"/>
    <w:rsid w:val="00D61B59"/>
    <w:rsid w:val="00D623E0"/>
    <w:rsid w:val="00D71992"/>
    <w:rsid w:val="00D80D84"/>
    <w:rsid w:val="00D8410E"/>
    <w:rsid w:val="00D8519B"/>
    <w:rsid w:val="00D90175"/>
    <w:rsid w:val="00DA4860"/>
    <w:rsid w:val="00DC5A8E"/>
    <w:rsid w:val="00DF4A0A"/>
    <w:rsid w:val="00DF7E91"/>
    <w:rsid w:val="00E02B6A"/>
    <w:rsid w:val="00E17E07"/>
    <w:rsid w:val="00E2125A"/>
    <w:rsid w:val="00E24FA2"/>
    <w:rsid w:val="00E256E7"/>
    <w:rsid w:val="00E26231"/>
    <w:rsid w:val="00E30F1C"/>
    <w:rsid w:val="00E44DF1"/>
    <w:rsid w:val="00E6099A"/>
    <w:rsid w:val="00E864D2"/>
    <w:rsid w:val="00EB0F17"/>
    <w:rsid w:val="00EB783C"/>
    <w:rsid w:val="00EE1898"/>
    <w:rsid w:val="00F042DD"/>
    <w:rsid w:val="00F10061"/>
    <w:rsid w:val="00F23EFD"/>
    <w:rsid w:val="00F36687"/>
    <w:rsid w:val="00F4416D"/>
    <w:rsid w:val="00F44848"/>
    <w:rsid w:val="00F531AD"/>
    <w:rsid w:val="00F5336B"/>
    <w:rsid w:val="00F55275"/>
    <w:rsid w:val="00F65123"/>
    <w:rsid w:val="00F674F3"/>
    <w:rsid w:val="00F919FC"/>
    <w:rsid w:val="00FD0925"/>
    <w:rsid w:val="00FD4196"/>
    <w:rsid w:val="00FE14C1"/>
    <w:rsid w:val="00FE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val="bg-BG"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A5B45"/>
    <w:pPr>
      <w:ind w:left="720"/>
    </w:pPr>
    <w:rPr>
      <w:rFonts w:ascii="Calibri" w:eastAsiaTheme="minorHAnsi" w:hAnsi="Calibri"/>
      <w:sz w:val="22"/>
      <w:szCs w:val="22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val="bg-BG"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A5B45"/>
    <w:pPr>
      <w:ind w:left="720"/>
    </w:pPr>
    <w:rPr>
      <w:rFonts w:ascii="Calibri" w:eastAsiaTheme="minorHAnsi" w:hAnsi="Calibri"/>
      <w:sz w:val="22"/>
      <w:szCs w:val="22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Mariya Stefanova</cp:lastModifiedBy>
  <cp:revision>2</cp:revision>
  <cp:lastPrinted>2019-09-24T09:14:00Z</cp:lastPrinted>
  <dcterms:created xsi:type="dcterms:W3CDTF">2019-09-24T11:39:00Z</dcterms:created>
  <dcterms:modified xsi:type="dcterms:W3CDTF">2019-09-24T11:39:00Z</dcterms:modified>
</cp:coreProperties>
</file>