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117" w:rsidRDefault="00073117" w:rsidP="00073117">
      <w:pPr>
        <w:spacing w:line="360" w:lineRule="auto"/>
        <w:ind w:firstLine="708"/>
        <w:jc w:val="center"/>
        <w:outlineLvl w:val="2"/>
        <w:rPr>
          <w:b/>
          <w:bCs/>
          <w:color w:val="000000"/>
          <w:lang w:val="en-US"/>
        </w:rPr>
      </w:pPr>
      <w:r>
        <w:rPr>
          <w:noProof/>
        </w:rPr>
        <w:drawing>
          <wp:anchor distT="0" distB="0" distL="114300" distR="114300" simplePos="0" relativeHeight="251658240" behindDoc="0" locked="0" layoutInCell="1" allowOverlap="1">
            <wp:simplePos x="0" y="0"/>
            <wp:positionH relativeFrom="column">
              <wp:posOffset>2186305</wp:posOffset>
            </wp:positionH>
            <wp:positionV relativeFrom="paragraph">
              <wp:posOffset>-456565</wp:posOffset>
            </wp:positionV>
            <wp:extent cx="1485900" cy="1143000"/>
            <wp:effectExtent l="0" t="0" r="0" b="0"/>
            <wp:wrapNone/>
            <wp:docPr id="3" name="Картина 3" descr="coa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oat"/>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143000"/>
                    </a:xfrm>
                    <a:prstGeom prst="rect">
                      <a:avLst/>
                    </a:prstGeom>
                    <a:noFill/>
                  </pic:spPr>
                </pic:pic>
              </a:graphicData>
            </a:graphic>
            <wp14:sizeRelH relativeFrom="page">
              <wp14:pctWidth>0</wp14:pctWidth>
            </wp14:sizeRelH>
            <wp14:sizeRelV relativeFrom="page">
              <wp14:pctHeight>0</wp14:pctHeight>
            </wp14:sizeRelV>
          </wp:anchor>
        </w:drawing>
      </w:r>
    </w:p>
    <w:p w:rsidR="00073117" w:rsidRDefault="00073117" w:rsidP="00073117">
      <w:pPr>
        <w:spacing w:line="360" w:lineRule="auto"/>
        <w:ind w:firstLine="708"/>
        <w:jc w:val="center"/>
        <w:outlineLvl w:val="2"/>
        <w:rPr>
          <w:b/>
          <w:bCs/>
          <w:color w:val="000000"/>
          <w:lang w:val="en-US"/>
        </w:rPr>
      </w:pPr>
    </w:p>
    <w:p w:rsidR="00073117" w:rsidRDefault="00073117" w:rsidP="00073117">
      <w:pPr>
        <w:pStyle w:val="1"/>
        <w:tabs>
          <w:tab w:val="left" w:pos="1276"/>
        </w:tabs>
        <w:jc w:val="center"/>
        <w:rPr>
          <w:rFonts w:ascii="Helen Bg Condensed" w:hAnsi="Helen Bg Condensed"/>
          <w:spacing w:val="40"/>
          <w:sz w:val="36"/>
          <w:szCs w:val="36"/>
        </w:rPr>
      </w:pPr>
    </w:p>
    <w:p w:rsidR="00073117" w:rsidRDefault="00073117" w:rsidP="00073117">
      <w:pPr>
        <w:pStyle w:val="1"/>
        <w:tabs>
          <w:tab w:val="left" w:pos="1276"/>
        </w:tabs>
        <w:jc w:val="center"/>
        <w:rPr>
          <w:rFonts w:ascii="Helen Bg Condensed" w:hAnsi="Helen Bg Condensed"/>
          <w:spacing w:val="40"/>
          <w:sz w:val="36"/>
          <w:szCs w:val="36"/>
          <w:lang w:val="ru-RU"/>
        </w:rPr>
      </w:pPr>
      <w:r>
        <w:rPr>
          <w:rFonts w:ascii="Helen Bg Condensed" w:hAnsi="Helen Bg Condensed"/>
          <w:spacing w:val="40"/>
          <w:sz w:val="36"/>
          <w:szCs w:val="36"/>
        </w:rPr>
        <w:t>РЕПУБЛИКА БЪЛГАРИЯ</w:t>
      </w:r>
    </w:p>
    <w:p w:rsidR="00073117" w:rsidRDefault="00073117" w:rsidP="00073117">
      <w:pPr>
        <w:pStyle w:val="1"/>
        <w:tabs>
          <w:tab w:val="left" w:pos="1276"/>
        </w:tabs>
        <w:jc w:val="center"/>
        <w:rPr>
          <w:rFonts w:ascii="Helen Bg Condensed" w:hAnsi="Helen Bg Condensed"/>
          <w:spacing w:val="40"/>
          <w:sz w:val="36"/>
          <w:szCs w:val="36"/>
        </w:rPr>
      </w:pPr>
      <w:r>
        <w:rPr>
          <w:rFonts w:ascii="Helen Bg Condensed" w:hAnsi="Helen Bg Condensed"/>
          <w:spacing w:val="40"/>
          <w:sz w:val="36"/>
          <w:szCs w:val="36"/>
        </w:rPr>
        <w:t>Министерство на земеделието и храните</w:t>
      </w:r>
    </w:p>
    <w:p w:rsidR="00073117" w:rsidRDefault="00073117" w:rsidP="00073117">
      <w:pPr>
        <w:jc w:val="center"/>
        <w:rPr>
          <w:rFonts w:ascii="Helen Bg Condensed" w:hAnsi="Helen Bg Condensed"/>
          <w:b/>
          <w:spacing w:val="40"/>
          <w:sz w:val="36"/>
          <w:szCs w:val="36"/>
        </w:rPr>
      </w:pPr>
      <w:r>
        <w:rPr>
          <w:noProof/>
        </w:rPr>
        <mc:AlternateContent>
          <mc:Choice Requires="wps">
            <w:drawing>
              <wp:anchor distT="0" distB="0" distL="114300" distR="114300" simplePos="0" relativeHeight="251658240" behindDoc="0" locked="0" layoutInCell="0" allowOverlap="1">
                <wp:simplePos x="0" y="0"/>
                <wp:positionH relativeFrom="column">
                  <wp:posOffset>-226695</wp:posOffset>
                </wp:positionH>
                <wp:positionV relativeFrom="paragraph">
                  <wp:posOffset>9744075</wp:posOffset>
                </wp:positionV>
                <wp:extent cx="7589520" cy="0"/>
                <wp:effectExtent l="11430" t="9525" r="9525" b="9525"/>
                <wp:wrapNone/>
                <wp:docPr id="2" name="Право съединение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" o:allowincell="f"/>
            </w:pict>
          </mc:Fallback>
        </mc:AlternateContent>
      </w:r>
      <w:r>
        <w:rPr>
          <w:rFonts w:ascii="Helen Bg Condensed" w:hAnsi="Helen Bg Condensed"/>
          <w:b/>
          <w:spacing w:val="40"/>
          <w:sz w:val="36"/>
          <w:szCs w:val="36"/>
        </w:rPr>
        <w:t xml:space="preserve">Областна дирекция “Земеделие” </w:t>
      </w:r>
      <w:r>
        <w:rPr>
          <w:rFonts w:ascii="Helen Bg Condensed" w:hAnsi="Helen Bg Condensed"/>
          <w:b/>
          <w:spacing w:val="40"/>
          <w:sz w:val="36"/>
          <w:szCs w:val="36"/>
        </w:rPr>
        <w:t>Кюстендил</w:t>
      </w:r>
    </w:p>
    <w:p w:rsidR="00073117" w:rsidRDefault="00073117" w:rsidP="00073117">
      <w:pPr>
        <w:jc w:val="center"/>
        <w:rPr>
          <w:b/>
          <w:i/>
          <w:sz w:val="72"/>
          <w:szCs w:val="72"/>
        </w:rPr>
      </w:pPr>
    </w:p>
    <w:p w:rsidR="00073117" w:rsidRDefault="00073117" w:rsidP="00073117">
      <w:pPr>
        <w:spacing w:line="360" w:lineRule="auto"/>
        <w:jc w:val="center"/>
        <w:rPr>
          <w:rFonts w:ascii="Arial Narrow" w:hAnsi="Arial Narrow"/>
          <w:b/>
          <w:i/>
          <w:sz w:val="44"/>
          <w:szCs w:val="44"/>
        </w:rPr>
      </w:pPr>
      <w:r>
        <w:rPr>
          <w:rFonts w:ascii="Arial Narrow" w:hAnsi="Arial Narrow"/>
          <w:b/>
          <w:i/>
          <w:sz w:val="44"/>
          <w:szCs w:val="44"/>
        </w:rPr>
        <w:t>ИНФОРМАЦИОНЕН БЮЛЕТИН</w:t>
      </w:r>
    </w:p>
    <w:p w:rsidR="00073117" w:rsidRDefault="00073117" w:rsidP="00073117">
      <w:pPr>
        <w:spacing w:line="360" w:lineRule="auto"/>
        <w:jc w:val="center"/>
        <w:rPr>
          <w:rFonts w:ascii="Verdana" w:hAnsi="Verdana"/>
          <w:b/>
          <w:i/>
          <w:sz w:val="44"/>
          <w:szCs w:val="44"/>
        </w:rPr>
      </w:pPr>
      <w:r>
        <w:rPr>
          <w:rFonts w:ascii="Arial Narrow" w:hAnsi="Arial Narrow"/>
          <w:b/>
          <w:i/>
          <w:sz w:val="44"/>
          <w:szCs w:val="44"/>
        </w:rPr>
        <w:t xml:space="preserve">ЗА ЗЕМЕДЕЛСКИТЕ СТОПАНИ В ОБЛАСТ </w:t>
      </w:r>
      <w:r>
        <w:rPr>
          <w:rFonts w:ascii="Arial Narrow" w:hAnsi="Arial Narrow"/>
          <w:b/>
          <w:i/>
          <w:sz w:val="44"/>
          <w:szCs w:val="44"/>
        </w:rPr>
        <w:t>КЮСТЕНДИЛ</w:t>
      </w:r>
      <w:bookmarkStart w:id="0" w:name="_GoBack"/>
      <w:bookmarkEnd w:id="0"/>
    </w:p>
    <w:p w:rsidR="00073117" w:rsidRDefault="00073117" w:rsidP="00073117">
      <w:pPr>
        <w:spacing w:line="360" w:lineRule="auto"/>
        <w:jc w:val="center"/>
        <w:rPr>
          <w:rFonts w:ascii="Arial Narrow" w:hAnsi="Arial Narrow"/>
          <w:b/>
          <w:i/>
          <w:sz w:val="48"/>
          <w:szCs w:val="48"/>
        </w:rPr>
      </w:pPr>
    </w:p>
    <w:p w:rsidR="00073117" w:rsidRDefault="00073117" w:rsidP="00073117">
      <w:pPr>
        <w:spacing w:line="360" w:lineRule="auto"/>
        <w:jc w:val="center"/>
        <w:rPr>
          <w:rFonts w:ascii="Arial Narrow" w:hAnsi="Arial Narrow"/>
          <w:b/>
          <w:i/>
          <w:sz w:val="48"/>
          <w:szCs w:val="48"/>
        </w:rPr>
      </w:pPr>
      <w:r>
        <w:rPr>
          <w:rFonts w:ascii="Arial Narrow" w:hAnsi="Arial Narrow"/>
          <w:b/>
          <w:i/>
          <w:sz w:val="48"/>
          <w:szCs w:val="48"/>
        </w:rPr>
        <w:t>АПРИЛ 2014 г.</w:t>
      </w:r>
    </w:p>
    <w:p w:rsidR="00073117" w:rsidRDefault="00073117" w:rsidP="00073117">
      <w:pPr>
        <w:spacing w:line="360" w:lineRule="auto"/>
        <w:jc w:val="center"/>
        <w:outlineLvl w:val="2"/>
      </w:pPr>
    </w:p>
    <w:p w:rsidR="00073117" w:rsidRDefault="00073117" w:rsidP="00073117">
      <w:pPr>
        <w:spacing w:line="360" w:lineRule="auto"/>
        <w:outlineLvl w:val="2"/>
      </w:pPr>
      <w:r>
        <w:rPr>
          <w:noProof/>
        </w:rPr>
        <w:drawing>
          <wp:anchor distT="0" distB="0" distL="114300" distR="114300" simplePos="0" relativeHeight="251658240" behindDoc="0" locked="0" layoutInCell="1" allowOverlap="1">
            <wp:simplePos x="0" y="0"/>
            <wp:positionH relativeFrom="column">
              <wp:posOffset>1190625</wp:posOffset>
            </wp:positionH>
            <wp:positionV relativeFrom="paragraph">
              <wp:posOffset>-3810</wp:posOffset>
            </wp:positionV>
            <wp:extent cx="3729355" cy="3014980"/>
            <wp:effectExtent l="0" t="0" r="4445" b="0"/>
            <wp:wrapSquare wrapText="right"/>
            <wp:docPr id="1" name="Картина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9355" cy="3014980"/>
                    </a:xfrm>
                    <a:prstGeom prst="rect">
                      <a:avLst/>
                    </a:prstGeom>
                    <a:noFill/>
                  </pic:spPr>
                </pic:pic>
              </a:graphicData>
            </a:graphic>
            <wp14:sizeRelH relativeFrom="page">
              <wp14:pctWidth>0</wp14:pctWidth>
            </wp14:sizeRelH>
            <wp14:sizeRelV relativeFrom="page">
              <wp14:pctHeight>0</wp14:pctHeight>
            </wp14:sizeRelV>
          </wp:anchor>
        </w:drawing>
      </w:r>
    </w:p>
    <w:p w:rsidR="00073117" w:rsidRDefault="00073117" w:rsidP="00073117">
      <w:pPr>
        <w:spacing w:line="360" w:lineRule="auto"/>
        <w:jc w:val="both"/>
        <w:outlineLvl w:val="2"/>
        <w:rPr>
          <w:rFonts w:ascii="Verdana" w:hAnsi="Verdana"/>
          <w:sz w:val="21"/>
          <w:szCs w:val="21"/>
        </w:rPr>
      </w:pPr>
    </w:p>
    <w:p w:rsidR="00073117" w:rsidRDefault="00073117" w:rsidP="00073117">
      <w:pPr>
        <w:outlineLvl w:val="2"/>
        <w:rPr>
          <w:rFonts w:ascii="Verdana" w:hAnsi="Verdana"/>
          <w:b/>
          <w:sz w:val="21"/>
          <w:szCs w:val="21"/>
        </w:rPr>
      </w:pPr>
    </w:p>
    <w:p w:rsidR="00073117" w:rsidRDefault="00073117" w:rsidP="00073117">
      <w:pPr>
        <w:outlineLvl w:val="2"/>
        <w:rPr>
          <w:rFonts w:ascii="Verdana" w:hAnsi="Verdana"/>
          <w:b/>
          <w:sz w:val="21"/>
          <w:szCs w:val="21"/>
        </w:rPr>
      </w:pPr>
    </w:p>
    <w:p w:rsidR="00073117" w:rsidRDefault="00073117" w:rsidP="00073117">
      <w:pPr>
        <w:outlineLvl w:val="2"/>
        <w:rPr>
          <w:rFonts w:ascii="Verdana" w:hAnsi="Verdana"/>
          <w:b/>
          <w:sz w:val="21"/>
          <w:szCs w:val="21"/>
        </w:rPr>
      </w:pPr>
    </w:p>
    <w:p w:rsidR="00073117" w:rsidRDefault="00073117" w:rsidP="00073117">
      <w:pPr>
        <w:outlineLvl w:val="2"/>
        <w:rPr>
          <w:rFonts w:ascii="Verdana" w:hAnsi="Verdana"/>
          <w:b/>
          <w:sz w:val="21"/>
          <w:szCs w:val="21"/>
        </w:rPr>
      </w:pPr>
    </w:p>
    <w:p w:rsidR="00073117" w:rsidRDefault="00073117" w:rsidP="00073117">
      <w:pPr>
        <w:outlineLvl w:val="2"/>
        <w:rPr>
          <w:rFonts w:ascii="Verdana" w:hAnsi="Verdana"/>
          <w:b/>
          <w:sz w:val="21"/>
          <w:szCs w:val="21"/>
        </w:rPr>
      </w:pPr>
    </w:p>
    <w:p w:rsidR="00073117" w:rsidRDefault="00073117" w:rsidP="00073117">
      <w:pPr>
        <w:outlineLvl w:val="2"/>
        <w:rPr>
          <w:rFonts w:ascii="Verdana" w:hAnsi="Verdana"/>
          <w:b/>
          <w:sz w:val="21"/>
          <w:szCs w:val="21"/>
        </w:rPr>
      </w:pPr>
    </w:p>
    <w:p w:rsidR="00073117" w:rsidRDefault="00073117" w:rsidP="00073117">
      <w:pPr>
        <w:outlineLvl w:val="2"/>
        <w:rPr>
          <w:rFonts w:ascii="Verdana" w:hAnsi="Verdana"/>
          <w:b/>
          <w:sz w:val="21"/>
          <w:szCs w:val="21"/>
        </w:rPr>
      </w:pPr>
    </w:p>
    <w:p w:rsidR="00073117" w:rsidRDefault="00073117" w:rsidP="00073117">
      <w:pPr>
        <w:outlineLvl w:val="2"/>
        <w:rPr>
          <w:rFonts w:ascii="Verdana" w:hAnsi="Verdana"/>
          <w:b/>
          <w:sz w:val="21"/>
          <w:szCs w:val="21"/>
        </w:rPr>
      </w:pPr>
    </w:p>
    <w:p w:rsidR="00073117" w:rsidRDefault="00073117" w:rsidP="00073117">
      <w:pPr>
        <w:outlineLvl w:val="2"/>
        <w:rPr>
          <w:rFonts w:ascii="Verdana" w:hAnsi="Verdana"/>
          <w:b/>
          <w:sz w:val="21"/>
          <w:szCs w:val="21"/>
        </w:rPr>
      </w:pPr>
    </w:p>
    <w:p w:rsidR="00073117" w:rsidRDefault="00073117" w:rsidP="00073117">
      <w:pPr>
        <w:outlineLvl w:val="2"/>
        <w:rPr>
          <w:rFonts w:ascii="Verdana" w:hAnsi="Verdana"/>
          <w:b/>
          <w:sz w:val="21"/>
          <w:szCs w:val="21"/>
        </w:rPr>
      </w:pPr>
    </w:p>
    <w:p w:rsidR="00073117" w:rsidRDefault="00073117" w:rsidP="00073117">
      <w:pPr>
        <w:outlineLvl w:val="2"/>
        <w:rPr>
          <w:rFonts w:ascii="Verdana" w:hAnsi="Verdana"/>
          <w:b/>
          <w:sz w:val="21"/>
          <w:szCs w:val="21"/>
        </w:rPr>
      </w:pPr>
    </w:p>
    <w:p w:rsidR="00073117" w:rsidRDefault="00073117" w:rsidP="00073117">
      <w:pPr>
        <w:outlineLvl w:val="2"/>
        <w:rPr>
          <w:rFonts w:ascii="Verdana" w:hAnsi="Verdana"/>
          <w:b/>
          <w:sz w:val="21"/>
          <w:szCs w:val="21"/>
        </w:rPr>
      </w:pPr>
    </w:p>
    <w:p w:rsidR="00073117" w:rsidRDefault="00073117" w:rsidP="00073117">
      <w:pPr>
        <w:outlineLvl w:val="2"/>
        <w:rPr>
          <w:rFonts w:ascii="Verdana" w:hAnsi="Verdana"/>
          <w:b/>
          <w:sz w:val="21"/>
          <w:szCs w:val="21"/>
        </w:rPr>
      </w:pPr>
    </w:p>
    <w:p w:rsidR="00073117" w:rsidRDefault="00073117" w:rsidP="00073117">
      <w:pPr>
        <w:outlineLvl w:val="2"/>
        <w:rPr>
          <w:rFonts w:ascii="Verdana" w:hAnsi="Verdana"/>
          <w:b/>
          <w:sz w:val="21"/>
          <w:szCs w:val="21"/>
        </w:rPr>
      </w:pPr>
    </w:p>
    <w:p w:rsidR="00073117" w:rsidRDefault="00073117" w:rsidP="00073117">
      <w:pPr>
        <w:outlineLvl w:val="2"/>
        <w:rPr>
          <w:rFonts w:ascii="Verdana" w:hAnsi="Verdana"/>
          <w:b/>
          <w:sz w:val="21"/>
          <w:szCs w:val="21"/>
        </w:rPr>
      </w:pPr>
    </w:p>
    <w:p w:rsidR="00073117" w:rsidRDefault="00073117" w:rsidP="00073117">
      <w:pPr>
        <w:outlineLvl w:val="2"/>
        <w:rPr>
          <w:rFonts w:ascii="Verdana" w:hAnsi="Verdana"/>
          <w:b/>
          <w:sz w:val="21"/>
          <w:szCs w:val="21"/>
        </w:rPr>
      </w:pPr>
    </w:p>
    <w:p w:rsidR="00073117" w:rsidRDefault="00073117" w:rsidP="00073117">
      <w:pPr>
        <w:outlineLvl w:val="2"/>
        <w:rPr>
          <w:rFonts w:ascii="Verdana" w:hAnsi="Verdana"/>
          <w:b/>
          <w:sz w:val="21"/>
          <w:szCs w:val="21"/>
        </w:rPr>
      </w:pPr>
    </w:p>
    <w:p w:rsidR="00073117" w:rsidRDefault="00073117" w:rsidP="00073117">
      <w:pPr>
        <w:outlineLvl w:val="2"/>
        <w:rPr>
          <w:rFonts w:ascii="Verdana" w:hAnsi="Verdana"/>
          <w:b/>
          <w:sz w:val="21"/>
          <w:szCs w:val="21"/>
        </w:rPr>
      </w:pPr>
    </w:p>
    <w:p w:rsidR="00073117" w:rsidRDefault="00073117" w:rsidP="00073117">
      <w:pPr>
        <w:jc w:val="center"/>
        <w:outlineLvl w:val="2"/>
        <w:rPr>
          <w:rFonts w:ascii="Verdana" w:hAnsi="Verdana"/>
          <w:b/>
          <w:sz w:val="21"/>
          <w:szCs w:val="21"/>
        </w:rPr>
      </w:pPr>
      <w:r>
        <w:rPr>
          <w:rFonts w:ascii="Verdana" w:hAnsi="Verdana"/>
          <w:b/>
          <w:sz w:val="21"/>
          <w:szCs w:val="21"/>
        </w:rPr>
        <w:t>ЗАПОЧВА ПОДАВАНЕТО НА ГОДИШНИТЕ ДЕКЛАРАЦИИ ПО СХЕМАТА „МЛЕЧНИ КВОТИ”</w:t>
      </w:r>
    </w:p>
    <w:p w:rsidR="00073117" w:rsidRDefault="00073117" w:rsidP="00073117"/>
    <w:p w:rsidR="00073117" w:rsidRDefault="00073117" w:rsidP="00073117">
      <w:pPr>
        <w:tabs>
          <w:tab w:val="left" w:pos="0"/>
        </w:tabs>
        <w:spacing w:line="360" w:lineRule="auto"/>
        <w:ind w:firstLine="709"/>
        <w:jc w:val="both"/>
        <w:outlineLvl w:val="2"/>
        <w:rPr>
          <w:rFonts w:ascii="Verdana" w:hAnsi="Verdana"/>
          <w:sz w:val="21"/>
          <w:szCs w:val="21"/>
        </w:rPr>
      </w:pPr>
      <w:r>
        <w:rPr>
          <w:rFonts w:ascii="Verdana" w:hAnsi="Verdana"/>
          <w:sz w:val="21"/>
          <w:szCs w:val="21"/>
        </w:rPr>
        <w:t xml:space="preserve">От 1 април до 15 май 2014 г. производителите и </w:t>
      </w:r>
      <w:proofErr w:type="spellStart"/>
      <w:r>
        <w:rPr>
          <w:rFonts w:ascii="Verdana" w:hAnsi="Verdana"/>
          <w:sz w:val="21"/>
          <w:szCs w:val="21"/>
        </w:rPr>
        <w:t>изкупвачите</w:t>
      </w:r>
      <w:proofErr w:type="spellEnd"/>
      <w:r>
        <w:rPr>
          <w:rFonts w:ascii="Verdana" w:hAnsi="Verdana"/>
          <w:sz w:val="21"/>
          <w:szCs w:val="21"/>
        </w:rPr>
        <w:t xml:space="preserve"> на краве мляко трябва да подадат годишни декларации за изпълнение на индивидуалните си квоти за директни продажби и за доставки. В тях те трябва да отчетат реализираните количества мляко за </w:t>
      </w:r>
      <w:proofErr w:type="spellStart"/>
      <w:r>
        <w:rPr>
          <w:rFonts w:ascii="Verdana" w:hAnsi="Verdana"/>
          <w:sz w:val="21"/>
          <w:szCs w:val="21"/>
        </w:rPr>
        <w:t>квотната</w:t>
      </w:r>
      <w:proofErr w:type="spellEnd"/>
      <w:r>
        <w:rPr>
          <w:rFonts w:ascii="Verdana" w:hAnsi="Verdana"/>
          <w:sz w:val="21"/>
          <w:szCs w:val="21"/>
        </w:rPr>
        <w:t xml:space="preserve"> 2013/2014 година. Документите се подават в областните дирекции на ДФ „Земеделие” по адресна регистрация за физически лица и по адрес на търговска регистрация за юридически лица. Декларациите се подават лично или чрез упълномощено лице, което притежава нотариално заверено пълномощно. След 15 май подаването на годишните декларации ще бъде свързано със санкции, изчислени на база броя дни закъснение.</w:t>
      </w:r>
    </w:p>
    <w:p w:rsidR="00073117" w:rsidRDefault="00073117" w:rsidP="00073117">
      <w:pPr>
        <w:tabs>
          <w:tab w:val="left" w:pos="0"/>
        </w:tabs>
        <w:spacing w:line="360" w:lineRule="auto"/>
        <w:ind w:firstLine="709"/>
        <w:jc w:val="both"/>
        <w:outlineLvl w:val="2"/>
        <w:rPr>
          <w:rFonts w:ascii="Verdana" w:hAnsi="Verdana"/>
          <w:sz w:val="21"/>
          <w:szCs w:val="21"/>
        </w:rPr>
      </w:pPr>
      <w:r>
        <w:rPr>
          <w:rFonts w:ascii="Verdana" w:hAnsi="Verdana"/>
          <w:sz w:val="21"/>
          <w:szCs w:val="21"/>
        </w:rPr>
        <w:t xml:space="preserve">На 1 април започва и приемът на заявления за трансформиране на индивидуалната квота за директни продажби и за доставки и обратно. Производителите на краве мляко ще могат да трансформират само свободната си, нереализирана квота, а новите количества ще важат за </w:t>
      </w:r>
      <w:proofErr w:type="spellStart"/>
      <w:r>
        <w:rPr>
          <w:rFonts w:ascii="Verdana" w:hAnsi="Verdana"/>
          <w:sz w:val="21"/>
          <w:szCs w:val="21"/>
        </w:rPr>
        <w:t>квотната</w:t>
      </w:r>
      <w:proofErr w:type="spellEnd"/>
      <w:r>
        <w:rPr>
          <w:rFonts w:ascii="Verdana" w:hAnsi="Verdana"/>
          <w:sz w:val="21"/>
          <w:szCs w:val="21"/>
        </w:rPr>
        <w:t xml:space="preserve"> 2014/2015г.</w:t>
      </w:r>
    </w:p>
    <w:p w:rsidR="00073117" w:rsidRDefault="00073117" w:rsidP="00073117">
      <w:pPr>
        <w:tabs>
          <w:tab w:val="left" w:pos="0"/>
        </w:tabs>
        <w:spacing w:line="360" w:lineRule="auto"/>
        <w:ind w:firstLine="709"/>
        <w:jc w:val="both"/>
        <w:outlineLvl w:val="2"/>
        <w:rPr>
          <w:rFonts w:ascii="Verdana" w:hAnsi="Verdana"/>
          <w:sz w:val="21"/>
          <w:szCs w:val="21"/>
        </w:rPr>
      </w:pPr>
      <w:r>
        <w:rPr>
          <w:rFonts w:ascii="Verdana" w:hAnsi="Verdana"/>
          <w:sz w:val="21"/>
          <w:szCs w:val="21"/>
        </w:rPr>
        <w:t>Схемата „Млечни квоти” ще продължи да се прилага в България до 1 април 2015 г. Главната й цел е да намали дисбаланса между търсенето и предлагането на мляко и млечни продукти на пазара и да ограничи свръхпроизводството.</w:t>
      </w:r>
    </w:p>
    <w:p w:rsidR="00073117" w:rsidRDefault="00073117" w:rsidP="00073117">
      <w:pPr>
        <w:jc w:val="center"/>
        <w:outlineLvl w:val="2"/>
        <w:rPr>
          <w:rFonts w:ascii="Verdana" w:hAnsi="Verdana"/>
          <w:b/>
          <w:sz w:val="21"/>
          <w:szCs w:val="21"/>
        </w:rPr>
      </w:pPr>
    </w:p>
    <w:p w:rsidR="00073117" w:rsidRDefault="00073117" w:rsidP="00073117">
      <w:pPr>
        <w:jc w:val="center"/>
        <w:outlineLvl w:val="2"/>
        <w:rPr>
          <w:rFonts w:ascii="Verdana" w:hAnsi="Verdana"/>
          <w:b/>
          <w:sz w:val="21"/>
          <w:szCs w:val="21"/>
        </w:rPr>
      </w:pPr>
    </w:p>
    <w:p w:rsidR="00073117" w:rsidRDefault="00073117" w:rsidP="00073117">
      <w:pPr>
        <w:jc w:val="center"/>
        <w:outlineLvl w:val="2"/>
        <w:rPr>
          <w:rFonts w:ascii="Verdana" w:hAnsi="Verdana"/>
          <w:b/>
          <w:sz w:val="21"/>
          <w:szCs w:val="21"/>
        </w:rPr>
      </w:pPr>
      <w:r>
        <w:rPr>
          <w:rFonts w:ascii="Verdana" w:hAnsi="Verdana"/>
          <w:b/>
          <w:sz w:val="21"/>
          <w:szCs w:val="21"/>
        </w:rPr>
        <w:t xml:space="preserve">ДФ „ЗЕМЕДЕЛИЕ” ОТПУСКА ПЪРВИЯ ТРАНШ ОТ 11 МИЛИОНА ЛЕВА ЗА ИЗХРАНВАНЕ НА ЖИВОТНИ ПРЕЗ 2014 ГОДИНА </w:t>
      </w:r>
    </w:p>
    <w:p w:rsidR="00073117" w:rsidRDefault="00073117" w:rsidP="00073117">
      <w:pPr>
        <w:tabs>
          <w:tab w:val="left" w:pos="0"/>
        </w:tabs>
        <w:spacing w:line="360" w:lineRule="auto"/>
        <w:ind w:firstLine="709"/>
        <w:jc w:val="both"/>
        <w:outlineLvl w:val="2"/>
        <w:rPr>
          <w:rFonts w:ascii="Verdana" w:hAnsi="Verdana"/>
          <w:sz w:val="21"/>
          <w:szCs w:val="21"/>
        </w:rPr>
      </w:pPr>
    </w:p>
    <w:p w:rsidR="00073117" w:rsidRDefault="00073117" w:rsidP="00073117">
      <w:pPr>
        <w:tabs>
          <w:tab w:val="left" w:pos="0"/>
        </w:tabs>
        <w:spacing w:line="360" w:lineRule="auto"/>
        <w:ind w:firstLine="709"/>
        <w:jc w:val="both"/>
        <w:outlineLvl w:val="2"/>
        <w:rPr>
          <w:rFonts w:ascii="Verdana" w:hAnsi="Verdana"/>
          <w:sz w:val="21"/>
          <w:szCs w:val="21"/>
        </w:rPr>
      </w:pPr>
      <w:r>
        <w:rPr>
          <w:rFonts w:ascii="Verdana" w:hAnsi="Verdana"/>
          <w:sz w:val="21"/>
          <w:szCs w:val="21"/>
        </w:rPr>
        <w:t xml:space="preserve">Средствата ще бъдат изплатени по схемата </w:t>
      </w:r>
      <w:proofErr w:type="spellStart"/>
      <w:r>
        <w:rPr>
          <w:rFonts w:ascii="Verdana" w:hAnsi="Verdana"/>
          <w:sz w:val="21"/>
          <w:szCs w:val="21"/>
        </w:rPr>
        <w:t>de</w:t>
      </w:r>
      <w:proofErr w:type="spellEnd"/>
      <w:r>
        <w:rPr>
          <w:rFonts w:ascii="Verdana" w:hAnsi="Verdana"/>
          <w:sz w:val="21"/>
          <w:szCs w:val="21"/>
        </w:rPr>
        <w:t xml:space="preserve"> </w:t>
      </w:r>
      <w:proofErr w:type="spellStart"/>
      <w:r>
        <w:rPr>
          <w:rFonts w:ascii="Verdana" w:hAnsi="Verdana"/>
          <w:sz w:val="21"/>
          <w:szCs w:val="21"/>
        </w:rPr>
        <w:t>minimis</w:t>
      </w:r>
      <w:proofErr w:type="spellEnd"/>
      <w:r>
        <w:rPr>
          <w:rFonts w:ascii="Verdana" w:hAnsi="Verdana"/>
          <w:sz w:val="21"/>
          <w:szCs w:val="21"/>
        </w:rPr>
        <w:t xml:space="preserve"> на земеделски производители, които отглеждат едър и дребен рогат добитък от основно стадо - крави, биволици, овце-майки и кози-майки. Условието е животновъдите да запазят 75% от броя на животните, за които е получена помощта до 31 декември 2014 г.</w:t>
      </w:r>
    </w:p>
    <w:p w:rsidR="00073117" w:rsidRDefault="00073117" w:rsidP="00073117">
      <w:pPr>
        <w:spacing w:line="360" w:lineRule="auto"/>
        <w:ind w:firstLine="709"/>
        <w:jc w:val="both"/>
        <w:outlineLvl w:val="2"/>
        <w:rPr>
          <w:rFonts w:ascii="Verdana" w:hAnsi="Verdana"/>
          <w:sz w:val="21"/>
          <w:szCs w:val="21"/>
        </w:rPr>
      </w:pPr>
      <w:r>
        <w:rPr>
          <w:rFonts w:ascii="Verdana" w:hAnsi="Verdana"/>
          <w:sz w:val="21"/>
          <w:szCs w:val="21"/>
        </w:rPr>
        <w:t xml:space="preserve">Документи ще се подават от 7 до 23 април 2014 г. в областните дирекции на ДФ „Земеделие” по постоянен адрес за физическите лица и едноличните търговци и по адрес на регистрация на юридическите лица. Срокът за сключване на договорите и изплащане на помощта е от 8 до 23 май 2014 г. </w:t>
      </w:r>
    </w:p>
    <w:p w:rsidR="00073117" w:rsidRDefault="00073117" w:rsidP="00073117">
      <w:pPr>
        <w:tabs>
          <w:tab w:val="left" w:pos="709"/>
        </w:tabs>
        <w:spacing w:line="360" w:lineRule="auto"/>
        <w:ind w:firstLine="709"/>
        <w:jc w:val="both"/>
        <w:outlineLvl w:val="2"/>
        <w:rPr>
          <w:rFonts w:ascii="Verdana" w:hAnsi="Verdana"/>
          <w:sz w:val="21"/>
          <w:szCs w:val="21"/>
        </w:rPr>
      </w:pPr>
      <w:r>
        <w:rPr>
          <w:rFonts w:ascii="Verdana" w:hAnsi="Verdana"/>
          <w:sz w:val="21"/>
          <w:szCs w:val="21"/>
        </w:rPr>
        <w:t xml:space="preserve">Общият размер на помощите </w:t>
      </w:r>
      <w:proofErr w:type="spellStart"/>
      <w:r>
        <w:rPr>
          <w:rFonts w:ascii="Verdana" w:hAnsi="Verdana"/>
          <w:sz w:val="21"/>
          <w:szCs w:val="21"/>
        </w:rPr>
        <w:t>de</w:t>
      </w:r>
      <w:proofErr w:type="spellEnd"/>
      <w:r>
        <w:rPr>
          <w:rFonts w:ascii="Verdana" w:hAnsi="Verdana"/>
          <w:sz w:val="21"/>
          <w:szCs w:val="21"/>
        </w:rPr>
        <w:t xml:space="preserve"> </w:t>
      </w:r>
      <w:proofErr w:type="spellStart"/>
      <w:r>
        <w:rPr>
          <w:rFonts w:ascii="Verdana" w:hAnsi="Verdana"/>
          <w:sz w:val="21"/>
          <w:szCs w:val="21"/>
        </w:rPr>
        <w:t>minimis</w:t>
      </w:r>
      <w:proofErr w:type="spellEnd"/>
      <w:r>
        <w:rPr>
          <w:rFonts w:ascii="Verdana" w:hAnsi="Verdana"/>
          <w:sz w:val="21"/>
          <w:szCs w:val="21"/>
        </w:rPr>
        <w:t xml:space="preserve"> за един земеделски производител, както и за едно и също предприятие, не може да надхвърля левовата </w:t>
      </w:r>
      <w:r>
        <w:rPr>
          <w:rFonts w:ascii="Verdana" w:hAnsi="Verdana"/>
          <w:sz w:val="21"/>
          <w:szCs w:val="21"/>
        </w:rPr>
        <w:lastRenderedPageBreak/>
        <w:t>равностойност на 15 000 евро (29 337.45 лв.) за период от три данъчни години (2012 – 2014). </w:t>
      </w:r>
    </w:p>
    <w:p w:rsidR="00073117" w:rsidRDefault="00073117" w:rsidP="00073117">
      <w:pPr>
        <w:spacing w:line="360" w:lineRule="auto"/>
        <w:ind w:firstLine="709"/>
        <w:jc w:val="both"/>
        <w:outlineLvl w:val="2"/>
        <w:rPr>
          <w:rFonts w:ascii="Verdana" w:hAnsi="Verdana"/>
          <w:sz w:val="21"/>
          <w:szCs w:val="21"/>
        </w:rPr>
      </w:pPr>
      <w:r>
        <w:rPr>
          <w:rFonts w:ascii="Verdana" w:hAnsi="Verdana"/>
          <w:sz w:val="21"/>
          <w:szCs w:val="21"/>
        </w:rPr>
        <w:t> </w:t>
      </w:r>
    </w:p>
    <w:p w:rsidR="00073117" w:rsidRDefault="00073117" w:rsidP="00073117">
      <w:pPr>
        <w:jc w:val="center"/>
        <w:outlineLvl w:val="2"/>
        <w:rPr>
          <w:rFonts w:ascii="Verdana" w:hAnsi="Verdana"/>
          <w:b/>
          <w:sz w:val="21"/>
          <w:szCs w:val="21"/>
        </w:rPr>
      </w:pPr>
      <w:r>
        <w:rPr>
          <w:rFonts w:ascii="Verdana" w:hAnsi="Verdana"/>
          <w:b/>
          <w:sz w:val="21"/>
          <w:szCs w:val="21"/>
        </w:rPr>
        <w:t xml:space="preserve">ОТ 16 МАЙ СТАРТИРА ПРЕДОСТАВЯНЕТО НА ВАУЧЕРИТЕ ЗА ГОРИВО НА ЗЕМЕДЕЛСКИТЕ ПРОИЗВОДИТЕЛИ ПРЕЗ 2014 Г. </w:t>
      </w:r>
    </w:p>
    <w:p w:rsidR="00073117" w:rsidRDefault="00073117" w:rsidP="00073117">
      <w:pPr>
        <w:jc w:val="center"/>
        <w:rPr>
          <w:rStyle w:val="a4"/>
          <w:color w:val="000000"/>
        </w:rPr>
      </w:pPr>
    </w:p>
    <w:p w:rsidR="00073117" w:rsidRDefault="00073117" w:rsidP="00073117">
      <w:pPr>
        <w:jc w:val="center"/>
      </w:pPr>
      <w:r>
        <w:rPr>
          <w:rStyle w:val="a4"/>
          <w:rFonts w:ascii="Verdana" w:hAnsi="Verdana"/>
          <w:color w:val="000000"/>
          <w:sz w:val="21"/>
          <w:szCs w:val="21"/>
        </w:rPr>
        <w:t>Отстъпката за литър газьол е 0,31 лв.</w:t>
      </w:r>
    </w:p>
    <w:p w:rsidR="00073117" w:rsidRDefault="00073117" w:rsidP="00073117">
      <w:pPr>
        <w:spacing w:line="360" w:lineRule="auto"/>
        <w:ind w:firstLine="709"/>
        <w:jc w:val="both"/>
        <w:outlineLvl w:val="2"/>
        <w:rPr>
          <w:rFonts w:ascii="Verdana" w:hAnsi="Verdana"/>
          <w:sz w:val="21"/>
          <w:szCs w:val="21"/>
        </w:rPr>
      </w:pPr>
    </w:p>
    <w:p w:rsidR="00073117" w:rsidRDefault="00073117" w:rsidP="00073117">
      <w:pPr>
        <w:spacing w:line="360" w:lineRule="auto"/>
        <w:ind w:firstLine="709"/>
        <w:jc w:val="both"/>
        <w:outlineLvl w:val="2"/>
        <w:rPr>
          <w:rFonts w:ascii="Verdana" w:hAnsi="Verdana"/>
          <w:sz w:val="21"/>
          <w:szCs w:val="21"/>
        </w:rPr>
      </w:pPr>
      <w:r>
        <w:rPr>
          <w:rFonts w:ascii="Verdana" w:hAnsi="Verdana"/>
          <w:sz w:val="21"/>
          <w:szCs w:val="21"/>
        </w:rPr>
        <w:t xml:space="preserve">В края на месец февруари 2014 г. приключи приема на декларации за предоставяне на държавна помощ „Намалена акцизна ставка върху газьола, използван при първично селскостопанско производство чрез предоставяне на ваучери за гориво”. 18 234 са подадените декларации за общо прогнозно количество от 270 млн. литра газьол. Помощта е в размер на 84 млн. лв., а отстъпката за литър гориво ще бъде 0,31 лв. По този начин земеделските производители ще получат 50% намален акциз от страна на държавата. </w:t>
      </w:r>
    </w:p>
    <w:p w:rsidR="00073117" w:rsidRDefault="00073117" w:rsidP="00073117">
      <w:pPr>
        <w:spacing w:line="360" w:lineRule="auto"/>
        <w:ind w:firstLine="709"/>
        <w:jc w:val="both"/>
        <w:outlineLvl w:val="2"/>
        <w:rPr>
          <w:rFonts w:ascii="Verdana" w:hAnsi="Verdana"/>
          <w:sz w:val="21"/>
          <w:szCs w:val="21"/>
        </w:rPr>
      </w:pPr>
      <w:r>
        <w:rPr>
          <w:rFonts w:ascii="Verdana" w:hAnsi="Verdana"/>
          <w:sz w:val="21"/>
          <w:szCs w:val="21"/>
        </w:rPr>
        <w:t>В момента тече процедурата по отпечатването на ваучерите. От 16 май 2014 г. стартира предоставянето им на земеделските производители в общинските служби „Земеделие” в цялата страна. Стопаните представят  документ за самоличност и талон за регистрация по Наредба № 3 за стопанската 2013/2014 г. На този етап фермерите получават 60% от заявеното прогнозно количество гориво, използвано за земеделски нужди. Остатъкът от помощта до 40% ще бъде даден в началото на 2015 г.</w:t>
      </w:r>
    </w:p>
    <w:p w:rsidR="00073117" w:rsidRDefault="00073117" w:rsidP="00073117">
      <w:pPr>
        <w:spacing w:line="360" w:lineRule="auto"/>
        <w:ind w:firstLine="709"/>
        <w:jc w:val="both"/>
        <w:outlineLvl w:val="2"/>
        <w:rPr>
          <w:rFonts w:ascii="Verdana" w:hAnsi="Verdana"/>
          <w:sz w:val="21"/>
          <w:szCs w:val="21"/>
        </w:rPr>
      </w:pPr>
      <w:r>
        <w:rPr>
          <w:rFonts w:ascii="Verdana" w:hAnsi="Verdana"/>
          <w:sz w:val="21"/>
          <w:szCs w:val="21"/>
        </w:rPr>
        <w:t>Ваучерите ще се предоставят до 20 юни т.г. Те се използват само и единствено за получаване на газьол и не се разменят срещу пари. С тях земеделските стопани могат да закупят гориво от бензиностанциите.</w:t>
      </w:r>
    </w:p>
    <w:p w:rsidR="00073117" w:rsidRDefault="00073117" w:rsidP="00073117">
      <w:pPr>
        <w:spacing w:line="360" w:lineRule="auto"/>
        <w:ind w:firstLine="709"/>
        <w:jc w:val="both"/>
        <w:outlineLvl w:val="2"/>
        <w:rPr>
          <w:rFonts w:ascii="Verdana" w:hAnsi="Verdana"/>
          <w:sz w:val="21"/>
          <w:szCs w:val="21"/>
        </w:rPr>
      </w:pPr>
      <w:r>
        <w:rPr>
          <w:rFonts w:ascii="Verdana" w:hAnsi="Verdana"/>
          <w:sz w:val="21"/>
          <w:szCs w:val="21"/>
        </w:rPr>
        <w:t>Припомняме, че от началото на 2014 г. земеделските производители трябва да водят дневник по образец за изразходваното количество гориво, в който да записват предприетите агротехнически действия по обработката на почвата и/или мероприятия, свързани с отглеждането на животните.</w:t>
      </w:r>
    </w:p>
    <w:p w:rsidR="00073117" w:rsidRDefault="00073117" w:rsidP="00073117">
      <w:pPr>
        <w:pStyle w:val="a3"/>
        <w:jc w:val="both"/>
        <w:rPr>
          <w:rFonts w:ascii="Verdana" w:hAnsi="Verdana"/>
          <w:color w:val="000000"/>
          <w:sz w:val="21"/>
          <w:szCs w:val="21"/>
        </w:rPr>
      </w:pPr>
      <w:r>
        <w:rPr>
          <w:rFonts w:ascii="Verdana" w:hAnsi="Verdana"/>
          <w:color w:val="000000"/>
          <w:sz w:val="21"/>
          <w:szCs w:val="21"/>
        </w:rPr>
        <w:t> </w:t>
      </w:r>
    </w:p>
    <w:p w:rsidR="00073117" w:rsidRDefault="00073117" w:rsidP="00073117">
      <w:pPr>
        <w:jc w:val="center"/>
        <w:outlineLvl w:val="2"/>
        <w:rPr>
          <w:rFonts w:ascii="Verdana" w:hAnsi="Verdana"/>
          <w:b/>
          <w:sz w:val="21"/>
          <w:szCs w:val="21"/>
        </w:rPr>
      </w:pPr>
      <w:r>
        <w:rPr>
          <w:rFonts w:ascii="Verdana" w:hAnsi="Verdana"/>
          <w:b/>
          <w:sz w:val="21"/>
          <w:szCs w:val="21"/>
        </w:rPr>
        <w:t>РАЗВЪДНИТЕ ОРГАНИЗАЦИИ ПОЛУЧАВАТ 3 МИЛИОНА ЛЕВА</w:t>
      </w:r>
    </w:p>
    <w:p w:rsidR="00073117" w:rsidRDefault="00073117" w:rsidP="00073117">
      <w:pPr>
        <w:jc w:val="center"/>
        <w:outlineLvl w:val="2"/>
        <w:rPr>
          <w:rFonts w:ascii="Verdana" w:hAnsi="Verdana"/>
          <w:b/>
          <w:sz w:val="21"/>
          <w:szCs w:val="21"/>
        </w:rPr>
      </w:pPr>
      <w:r>
        <w:rPr>
          <w:rFonts w:ascii="Verdana" w:hAnsi="Verdana"/>
          <w:b/>
          <w:sz w:val="21"/>
          <w:szCs w:val="21"/>
        </w:rPr>
        <w:t>ОТ ДФ „ЗЕМЕДЕЛИЕ”</w:t>
      </w:r>
    </w:p>
    <w:p w:rsidR="00073117" w:rsidRDefault="00073117" w:rsidP="00073117"/>
    <w:p w:rsidR="00073117" w:rsidRDefault="00073117" w:rsidP="00073117">
      <w:pPr>
        <w:spacing w:line="360" w:lineRule="auto"/>
        <w:ind w:firstLine="709"/>
        <w:jc w:val="both"/>
        <w:outlineLvl w:val="2"/>
        <w:rPr>
          <w:rFonts w:ascii="Verdana" w:hAnsi="Verdana"/>
          <w:sz w:val="21"/>
          <w:szCs w:val="21"/>
        </w:rPr>
      </w:pPr>
      <w:r>
        <w:rPr>
          <w:rFonts w:ascii="Verdana" w:hAnsi="Verdana"/>
          <w:sz w:val="21"/>
          <w:szCs w:val="21"/>
        </w:rPr>
        <w:t> Средствата ще бъдат отпуснати за водене на родословна книга и за определяне продуктивността и генетичните качества на животните през 2014 година.</w:t>
      </w:r>
    </w:p>
    <w:p w:rsidR="00073117" w:rsidRDefault="00073117" w:rsidP="00073117">
      <w:pPr>
        <w:spacing w:line="360" w:lineRule="auto"/>
        <w:ind w:firstLine="709"/>
        <w:jc w:val="both"/>
        <w:outlineLvl w:val="2"/>
        <w:rPr>
          <w:rFonts w:ascii="Verdana" w:hAnsi="Verdana"/>
          <w:sz w:val="21"/>
          <w:szCs w:val="21"/>
        </w:rPr>
      </w:pPr>
      <w:r>
        <w:rPr>
          <w:rFonts w:ascii="Verdana" w:hAnsi="Verdana"/>
          <w:sz w:val="21"/>
          <w:szCs w:val="21"/>
        </w:rPr>
        <w:t xml:space="preserve">Помощта се предоставя на два транша – в първия се изплаща 70% от полагаемата помощ, а във втория се доплащат останалите до 30% от средствата. </w:t>
      </w:r>
    </w:p>
    <w:p w:rsidR="00073117" w:rsidRDefault="00073117" w:rsidP="00073117">
      <w:pPr>
        <w:spacing w:line="360" w:lineRule="auto"/>
        <w:ind w:firstLine="709"/>
        <w:jc w:val="both"/>
        <w:outlineLvl w:val="2"/>
        <w:rPr>
          <w:rFonts w:ascii="Verdana" w:hAnsi="Verdana"/>
          <w:sz w:val="21"/>
          <w:szCs w:val="21"/>
          <w:lang w:val="en-US"/>
        </w:rPr>
      </w:pPr>
      <w:r>
        <w:rPr>
          <w:rFonts w:ascii="Verdana" w:hAnsi="Verdana"/>
          <w:sz w:val="21"/>
          <w:szCs w:val="21"/>
        </w:rPr>
        <w:lastRenderedPageBreak/>
        <w:t xml:space="preserve">Дейността за водене на родословна книга включва регистриране произхода на животните, поддържане на актуален опис на техния брой, вписвания на датите на </w:t>
      </w:r>
      <w:proofErr w:type="spellStart"/>
      <w:r>
        <w:rPr>
          <w:rFonts w:ascii="Verdana" w:hAnsi="Verdana"/>
          <w:sz w:val="21"/>
          <w:szCs w:val="21"/>
        </w:rPr>
        <w:t>заплождане</w:t>
      </w:r>
      <w:proofErr w:type="spellEnd"/>
      <w:r>
        <w:rPr>
          <w:rFonts w:ascii="Verdana" w:hAnsi="Verdana"/>
          <w:sz w:val="21"/>
          <w:szCs w:val="21"/>
        </w:rPr>
        <w:t xml:space="preserve"> и раждане и др. </w:t>
      </w:r>
    </w:p>
    <w:p w:rsidR="00073117" w:rsidRDefault="00073117" w:rsidP="00073117">
      <w:pPr>
        <w:spacing w:line="360" w:lineRule="auto"/>
        <w:ind w:firstLine="709"/>
        <w:jc w:val="both"/>
        <w:outlineLvl w:val="2"/>
        <w:rPr>
          <w:rFonts w:ascii="Verdana" w:hAnsi="Verdana"/>
          <w:sz w:val="21"/>
          <w:szCs w:val="21"/>
        </w:rPr>
      </w:pPr>
      <w:r>
        <w:rPr>
          <w:rFonts w:ascii="Verdana" w:hAnsi="Verdana"/>
          <w:sz w:val="21"/>
          <w:szCs w:val="21"/>
        </w:rPr>
        <w:t xml:space="preserve">По нея за говедо се дава 6.6 лв., за бивол – 7 лв., за свиня -5.4 лв., за овца и коза – по 3.3 лв., за кон – 33.3 лв., за пчелно семейство -1.8 лв., а за птица – 0.04 лв. </w:t>
      </w:r>
    </w:p>
    <w:p w:rsidR="00073117" w:rsidRDefault="00073117" w:rsidP="00073117">
      <w:pPr>
        <w:spacing w:line="360" w:lineRule="auto"/>
        <w:ind w:firstLine="709"/>
        <w:jc w:val="both"/>
        <w:outlineLvl w:val="2"/>
        <w:rPr>
          <w:rFonts w:ascii="Verdana" w:hAnsi="Verdana"/>
          <w:sz w:val="21"/>
          <w:szCs w:val="21"/>
        </w:rPr>
      </w:pPr>
      <w:r>
        <w:rPr>
          <w:rFonts w:ascii="Verdana" w:hAnsi="Verdana"/>
          <w:sz w:val="21"/>
          <w:szCs w:val="21"/>
        </w:rPr>
        <w:t>По другата дейност – за определяне продуктивността и генетичните качества на животните се контролират млечната и месодайната продуктивност, вълнодайността, работоспособността на конете и др. За нея се отпускат по 15.6 лв. за говедо, 17.7 лв. за бивол, 2.7 лв. за свиня, 3.9 лв. за овца, 3.1 лв. за коза, 14.8 лв. за кон, 4.9 лв. за пчелно семейство и 0.05 лв. за птица.</w:t>
      </w:r>
    </w:p>
    <w:p w:rsidR="00073117" w:rsidRDefault="00073117" w:rsidP="00073117">
      <w:pPr>
        <w:spacing w:line="360" w:lineRule="auto"/>
        <w:ind w:firstLine="709"/>
        <w:jc w:val="both"/>
        <w:outlineLvl w:val="2"/>
        <w:rPr>
          <w:rFonts w:ascii="Verdana" w:hAnsi="Verdana"/>
          <w:sz w:val="21"/>
          <w:szCs w:val="21"/>
        </w:rPr>
      </w:pPr>
      <w:r>
        <w:rPr>
          <w:rFonts w:ascii="Verdana" w:hAnsi="Verdana"/>
          <w:sz w:val="21"/>
          <w:szCs w:val="21"/>
        </w:rPr>
        <w:t xml:space="preserve">Срокът за кандидатстване по схемата и за сключване на договорите е до 31 май 2014 г. Документи се подават в областните дирекции на ДФ „Земеделие” по адрес на регистрация на развъдната организация. Първият транш от помощта ще бъде изплатен до 13 юни 2014 г. Срокът за кандидатстване за втори транш е от 18 до 29 август 2014 г., а средствата ще бъдат изплатени до 12 септември 2014 г. </w:t>
      </w:r>
    </w:p>
    <w:p w:rsidR="00073117" w:rsidRDefault="00073117" w:rsidP="00073117">
      <w:pPr>
        <w:jc w:val="center"/>
        <w:outlineLvl w:val="2"/>
        <w:rPr>
          <w:rFonts w:ascii="Verdana" w:hAnsi="Verdana"/>
          <w:b/>
          <w:sz w:val="21"/>
          <w:szCs w:val="21"/>
        </w:rPr>
      </w:pPr>
    </w:p>
    <w:p w:rsidR="00073117" w:rsidRDefault="00073117" w:rsidP="00073117">
      <w:pPr>
        <w:jc w:val="center"/>
        <w:outlineLvl w:val="2"/>
        <w:rPr>
          <w:rFonts w:ascii="Verdana" w:hAnsi="Verdana"/>
          <w:b/>
          <w:sz w:val="21"/>
          <w:szCs w:val="21"/>
        </w:rPr>
      </w:pPr>
    </w:p>
    <w:p w:rsidR="00073117" w:rsidRDefault="00073117" w:rsidP="00073117">
      <w:pPr>
        <w:jc w:val="center"/>
        <w:outlineLvl w:val="2"/>
        <w:rPr>
          <w:rFonts w:ascii="Verdana" w:hAnsi="Verdana"/>
          <w:b/>
          <w:sz w:val="21"/>
          <w:szCs w:val="21"/>
        </w:rPr>
      </w:pPr>
      <w:r>
        <w:rPr>
          <w:rFonts w:ascii="Verdana" w:hAnsi="Verdana"/>
          <w:b/>
          <w:sz w:val="21"/>
          <w:szCs w:val="21"/>
        </w:rPr>
        <w:t>ЗЕМЕДЕЛСКИТЕ ПРОИЗВОДИТЕЛИ ПОЛУЧАВАТ БЛИЗО 2 МИЛИОНА ЛЕВА ЗА БОРБА С ДОМАТЕНИЯ МИНИРАЩ МОЛЕЦ</w:t>
      </w:r>
    </w:p>
    <w:p w:rsidR="00073117" w:rsidRDefault="00073117" w:rsidP="00073117">
      <w:pPr>
        <w:tabs>
          <w:tab w:val="left" w:pos="709"/>
        </w:tabs>
        <w:spacing w:line="360" w:lineRule="auto"/>
        <w:jc w:val="both"/>
        <w:outlineLvl w:val="2"/>
        <w:rPr>
          <w:rFonts w:ascii="Verdana" w:hAnsi="Verdana"/>
          <w:sz w:val="21"/>
          <w:szCs w:val="21"/>
        </w:rPr>
      </w:pPr>
      <w:r>
        <w:t> </w:t>
      </w:r>
      <w:r>
        <w:rPr>
          <w:rFonts w:ascii="Verdana" w:hAnsi="Verdana"/>
          <w:sz w:val="21"/>
          <w:szCs w:val="21"/>
        </w:rPr>
        <w:tab/>
      </w:r>
    </w:p>
    <w:p w:rsidR="00073117" w:rsidRDefault="00073117" w:rsidP="00073117">
      <w:pPr>
        <w:tabs>
          <w:tab w:val="left" w:pos="709"/>
        </w:tabs>
        <w:spacing w:line="360" w:lineRule="auto"/>
        <w:jc w:val="both"/>
        <w:outlineLvl w:val="2"/>
        <w:rPr>
          <w:rFonts w:ascii="Verdana" w:hAnsi="Verdana"/>
          <w:sz w:val="21"/>
          <w:szCs w:val="21"/>
        </w:rPr>
      </w:pPr>
      <w:r>
        <w:rPr>
          <w:rFonts w:ascii="Verdana" w:hAnsi="Verdana"/>
          <w:sz w:val="21"/>
          <w:szCs w:val="21"/>
        </w:rPr>
        <w:tab/>
        <w:t xml:space="preserve">ДФ „Земеделие” отпуска средствата по схемата за контрол на Доматения миниращ молец </w:t>
      </w:r>
      <w:proofErr w:type="spellStart"/>
      <w:r>
        <w:rPr>
          <w:rFonts w:ascii="Verdana" w:hAnsi="Verdana"/>
          <w:sz w:val="21"/>
          <w:szCs w:val="21"/>
        </w:rPr>
        <w:t>Tuta</w:t>
      </w:r>
      <w:proofErr w:type="spellEnd"/>
      <w:r>
        <w:rPr>
          <w:rFonts w:ascii="Verdana" w:hAnsi="Verdana"/>
          <w:sz w:val="21"/>
          <w:szCs w:val="21"/>
        </w:rPr>
        <w:t xml:space="preserve"> </w:t>
      </w:r>
      <w:proofErr w:type="spellStart"/>
      <w:r>
        <w:rPr>
          <w:rFonts w:ascii="Verdana" w:hAnsi="Verdana"/>
          <w:sz w:val="21"/>
          <w:szCs w:val="21"/>
        </w:rPr>
        <w:t>absolutа</w:t>
      </w:r>
      <w:proofErr w:type="spellEnd"/>
      <w:r>
        <w:rPr>
          <w:rFonts w:ascii="Verdana" w:hAnsi="Verdana"/>
          <w:sz w:val="21"/>
          <w:szCs w:val="21"/>
        </w:rPr>
        <w:t xml:space="preserve">. Държавната помощ ще компенсира част от разходите за растителна защита, </w:t>
      </w:r>
      <w:proofErr w:type="spellStart"/>
      <w:r>
        <w:rPr>
          <w:rFonts w:ascii="Verdana" w:hAnsi="Verdana"/>
          <w:sz w:val="21"/>
          <w:szCs w:val="21"/>
        </w:rPr>
        <w:t>феромонови</w:t>
      </w:r>
      <w:proofErr w:type="spellEnd"/>
      <w:r>
        <w:rPr>
          <w:rFonts w:ascii="Verdana" w:hAnsi="Verdana"/>
          <w:sz w:val="21"/>
          <w:szCs w:val="21"/>
        </w:rPr>
        <w:t xml:space="preserve"> уловки за улавяне на молеца, агенти за биологичен контрол, както и инсектициди за химичен контрол. Помощта е до 250 лева на декар.</w:t>
      </w:r>
    </w:p>
    <w:p w:rsidR="00073117" w:rsidRDefault="00073117" w:rsidP="00073117">
      <w:pPr>
        <w:tabs>
          <w:tab w:val="left" w:pos="709"/>
        </w:tabs>
        <w:spacing w:line="360" w:lineRule="auto"/>
        <w:jc w:val="both"/>
        <w:outlineLvl w:val="2"/>
        <w:rPr>
          <w:rFonts w:ascii="Verdana" w:hAnsi="Verdana"/>
          <w:sz w:val="21"/>
          <w:szCs w:val="21"/>
        </w:rPr>
      </w:pPr>
      <w:r>
        <w:rPr>
          <w:rFonts w:ascii="Verdana" w:hAnsi="Verdana"/>
          <w:sz w:val="21"/>
          <w:szCs w:val="21"/>
        </w:rPr>
        <w:tab/>
        <w:t xml:space="preserve">По схемата могат да кандидатстват малки и средни предприятия - земеделски производители, отглеждащи над 10 дка зеленчукови култури (полско или оранжерийно производство). Заявленията за подпомагане се подават в областните дирекции на ДФЗ по постоянен адрес за физическите лица и по адрес на управление за юридическите лица. Документите ще се приемат от 15 април до 1 октомври 2014 г. Срокът за сключване на договорите е до 15 октомври, а за изплащане на средствата – 28 ноември 2014 </w:t>
      </w:r>
      <w:proofErr w:type="spellStart"/>
      <w:r>
        <w:rPr>
          <w:rFonts w:ascii="Verdana" w:hAnsi="Verdana"/>
          <w:sz w:val="21"/>
          <w:szCs w:val="21"/>
        </w:rPr>
        <w:t>гдина</w:t>
      </w:r>
      <w:proofErr w:type="spellEnd"/>
      <w:r>
        <w:rPr>
          <w:rFonts w:ascii="Verdana" w:hAnsi="Verdana"/>
          <w:sz w:val="21"/>
          <w:szCs w:val="21"/>
        </w:rPr>
        <w:t>.</w:t>
      </w:r>
    </w:p>
    <w:p w:rsidR="00073117" w:rsidRDefault="00073117" w:rsidP="00073117">
      <w:pPr>
        <w:tabs>
          <w:tab w:val="left" w:pos="709"/>
        </w:tabs>
        <w:spacing w:line="360" w:lineRule="auto"/>
        <w:jc w:val="both"/>
        <w:outlineLvl w:val="2"/>
        <w:rPr>
          <w:rFonts w:ascii="Verdana" w:hAnsi="Verdana"/>
          <w:sz w:val="21"/>
          <w:szCs w:val="21"/>
        </w:rPr>
      </w:pPr>
      <w:r>
        <w:rPr>
          <w:rFonts w:ascii="Verdana" w:hAnsi="Verdana"/>
          <w:sz w:val="21"/>
          <w:szCs w:val="21"/>
        </w:rPr>
        <w:tab/>
        <w:t>През 2013 г. земеделските производители са получили близо 1,8 млн. лева за борба с доматения молец, а през 2012 г. – малко над 800 хил. лв.</w:t>
      </w:r>
    </w:p>
    <w:p w:rsidR="00073117" w:rsidRDefault="00073117" w:rsidP="00073117">
      <w:pPr>
        <w:tabs>
          <w:tab w:val="left" w:pos="709"/>
        </w:tabs>
        <w:spacing w:line="360" w:lineRule="auto"/>
        <w:ind w:firstLine="1276"/>
        <w:jc w:val="both"/>
        <w:outlineLvl w:val="2"/>
        <w:rPr>
          <w:rFonts w:ascii="Verdana" w:hAnsi="Verdana"/>
          <w:sz w:val="21"/>
          <w:szCs w:val="21"/>
        </w:rPr>
      </w:pPr>
    </w:p>
    <w:p w:rsidR="00B2670E" w:rsidRDefault="00B2670E"/>
    <w:sectPr w:rsidR="00B267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Helen Bg Condensed">
    <w:altName w:val="Arial Narrow"/>
    <w:charset w:val="CC"/>
    <w:family w:val="auto"/>
    <w:pitch w:val="variable"/>
    <w:sig w:usb0="8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4B"/>
    <w:rsid w:val="00030C4B"/>
    <w:rsid w:val="00073117"/>
    <w:rsid w:val="00B267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117"/>
    <w:pPr>
      <w:spacing w:after="0" w:line="240" w:lineRule="auto"/>
    </w:pPr>
    <w:rPr>
      <w:rFonts w:ascii="Times New Roman" w:eastAsia="Times New Roman" w:hAnsi="Times New Roman" w:cs="Times New Roman"/>
      <w:sz w:val="24"/>
      <w:szCs w:val="24"/>
      <w:lang w:eastAsia="bg-BG"/>
    </w:rPr>
  </w:style>
  <w:style w:type="paragraph" w:styleId="1">
    <w:name w:val="heading 1"/>
    <w:basedOn w:val="a"/>
    <w:link w:val="10"/>
    <w:uiPriority w:val="9"/>
    <w:qFormat/>
    <w:rsid w:val="0007311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073117"/>
    <w:rPr>
      <w:rFonts w:ascii="Times New Roman" w:eastAsia="Times New Roman" w:hAnsi="Times New Roman" w:cs="Times New Roman"/>
      <w:b/>
      <w:bCs/>
      <w:kern w:val="36"/>
      <w:sz w:val="48"/>
      <w:szCs w:val="48"/>
      <w:lang w:eastAsia="bg-BG"/>
    </w:rPr>
  </w:style>
  <w:style w:type="paragraph" w:styleId="a3">
    <w:name w:val="Normal (Web)"/>
    <w:basedOn w:val="a"/>
    <w:uiPriority w:val="99"/>
    <w:semiHidden/>
    <w:unhideWhenUsed/>
    <w:rsid w:val="00073117"/>
    <w:pPr>
      <w:spacing w:before="100" w:beforeAutospacing="1" w:after="100" w:afterAutospacing="1"/>
    </w:pPr>
  </w:style>
  <w:style w:type="character" w:styleId="a4">
    <w:name w:val="Emphasis"/>
    <w:basedOn w:val="a0"/>
    <w:uiPriority w:val="20"/>
    <w:qFormat/>
    <w:rsid w:val="000731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117"/>
    <w:pPr>
      <w:spacing w:after="0" w:line="240" w:lineRule="auto"/>
    </w:pPr>
    <w:rPr>
      <w:rFonts w:ascii="Times New Roman" w:eastAsia="Times New Roman" w:hAnsi="Times New Roman" w:cs="Times New Roman"/>
      <w:sz w:val="24"/>
      <w:szCs w:val="24"/>
      <w:lang w:eastAsia="bg-BG"/>
    </w:rPr>
  </w:style>
  <w:style w:type="paragraph" w:styleId="1">
    <w:name w:val="heading 1"/>
    <w:basedOn w:val="a"/>
    <w:link w:val="10"/>
    <w:uiPriority w:val="9"/>
    <w:qFormat/>
    <w:rsid w:val="0007311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073117"/>
    <w:rPr>
      <w:rFonts w:ascii="Times New Roman" w:eastAsia="Times New Roman" w:hAnsi="Times New Roman" w:cs="Times New Roman"/>
      <w:b/>
      <w:bCs/>
      <w:kern w:val="36"/>
      <w:sz w:val="48"/>
      <w:szCs w:val="48"/>
      <w:lang w:eastAsia="bg-BG"/>
    </w:rPr>
  </w:style>
  <w:style w:type="paragraph" w:styleId="a3">
    <w:name w:val="Normal (Web)"/>
    <w:basedOn w:val="a"/>
    <w:uiPriority w:val="99"/>
    <w:semiHidden/>
    <w:unhideWhenUsed/>
    <w:rsid w:val="00073117"/>
    <w:pPr>
      <w:spacing w:before="100" w:beforeAutospacing="1" w:after="100" w:afterAutospacing="1"/>
    </w:pPr>
  </w:style>
  <w:style w:type="character" w:styleId="a4">
    <w:name w:val="Emphasis"/>
    <w:basedOn w:val="a0"/>
    <w:uiPriority w:val="20"/>
    <w:qFormat/>
    <w:rsid w:val="000731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5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960</Words>
  <Characters>5478</Characters>
  <Application>Microsoft Office Word</Application>
  <DocSecurity>0</DocSecurity>
  <Lines>45</Lines>
  <Paragraphs>12</Paragraphs>
  <ScaleCrop>false</ScaleCrop>
  <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Силвия Михайлова</dc:creator>
  <cp:keywords/>
  <dc:description/>
  <cp:lastModifiedBy>Силвия Михайлова</cp:lastModifiedBy>
  <cp:revision>2</cp:revision>
  <dcterms:created xsi:type="dcterms:W3CDTF">2014-04-11T13:27:00Z</dcterms:created>
  <dcterms:modified xsi:type="dcterms:W3CDTF">2014-04-11T13:28:00Z</dcterms:modified>
</cp:coreProperties>
</file>