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81" w:rsidRPr="00C313E0" w:rsidRDefault="00E84281" w:rsidP="00C66016">
      <w:pPr>
        <w:jc w:val="center"/>
        <w:rPr>
          <w:b/>
          <w:sz w:val="28"/>
          <w:szCs w:val="28"/>
        </w:rPr>
      </w:pPr>
    </w:p>
    <w:p w:rsidR="00C66016" w:rsidRPr="009920F9" w:rsidRDefault="00C66016" w:rsidP="00D325DB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C66016" w:rsidRPr="009920F9" w:rsidRDefault="00C66016" w:rsidP="009920F9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 И ОБРАБОТЕНИ ЗАЯВЛЕ</w:t>
      </w:r>
      <w:r w:rsidR="00A87FDE" w:rsidRPr="009920F9">
        <w:rPr>
          <w:sz w:val="26"/>
          <w:szCs w:val="26"/>
        </w:rPr>
        <w:t>НИЯ ЗА ДОСТЪП ДО ОБЩЕСТВЕНА</w:t>
      </w:r>
    </w:p>
    <w:p w:rsidR="00AD7A1F" w:rsidRDefault="00AD7A1F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(ДОИ) В ОБЛАСТНА ДИРЕКЦИЯ „ЗЕМЕДЕЛИЕ“ </w:t>
      </w:r>
      <w:r w:rsidR="00D325DB">
        <w:rPr>
          <w:sz w:val="26"/>
          <w:szCs w:val="26"/>
        </w:rPr>
        <w:t>-</w:t>
      </w:r>
      <w:r w:rsidR="00301B87">
        <w:rPr>
          <w:sz w:val="26"/>
          <w:szCs w:val="26"/>
        </w:rPr>
        <w:t xml:space="preserve"> КЪРДЖАЛИ</w:t>
      </w:r>
    </w:p>
    <w:p w:rsidR="00A87FDE" w:rsidRPr="009920F9" w:rsidRDefault="00FA1DCF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201</w:t>
      </w:r>
      <w:r w:rsidR="00F92B1D">
        <w:rPr>
          <w:sz w:val="26"/>
          <w:szCs w:val="26"/>
        </w:rPr>
        <w:t>9</w:t>
      </w:r>
      <w:r w:rsidR="00A87FDE" w:rsidRPr="009920F9">
        <w:rPr>
          <w:sz w:val="26"/>
          <w:szCs w:val="26"/>
        </w:rPr>
        <w:t xml:space="preserve"> г.</w:t>
      </w:r>
    </w:p>
    <w:p w:rsidR="00A87FDE" w:rsidRPr="00E50F98" w:rsidRDefault="00A87FDE" w:rsidP="009920F9">
      <w:pPr>
        <w:spacing w:before="480" w:after="120"/>
        <w:rPr>
          <w:b/>
        </w:rPr>
      </w:pPr>
      <w:r w:rsidRPr="00E50F98">
        <w:rPr>
          <w:b/>
        </w:rPr>
        <w:t>1. Постъпили заявления от субекти на правото на ДОИ пр</w:t>
      </w:r>
      <w:r w:rsidR="000963DF">
        <w:rPr>
          <w:b/>
        </w:rPr>
        <w:t>ез 201</w:t>
      </w:r>
      <w:r w:rsidR="00F92B1D">
        <w:rPr>
          <w:b/>
        </w:rPr>
        <w:t>9</w:t>
      </w:r>
      <w:r w:rsidR="00F3063B" w:rsidRPr="00E50F98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2700"/>
        <w:gridCol w:w="2340"/>
      </w:tblGrid>
      <w:tr w:rsidR="00F3063B" w:rsidTr="00613D25">
        <w:tc>
          <w:tcPr>
            <w:tcW w:w="2808" w:type="dxa"/>
            <w:shd w:val="clear" w:color="auto" w:fill="F3F3F3"/>
            <w:vAlign w:val="center"/>
          </w:tcPr>
          <w:p w:rsidR="00F3063B" w:rsidRDefault="00F3063B" w:rsidP="00613D25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Общ брой на заявленията за ДОИ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граждани на Република България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301B87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A61A7B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чужденци и лица без гражданство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Default="009F6B69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журналисти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AD7A1F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FA1DCF" w:rsidRDefault="00FA1DCF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фирми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301B87" w:rsidRDefault="00F92B1D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C37B68" w:rsidRDefault="00C37B68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B34C8B" w:rsidP="00A87FDE">
            <w:r>
              <w:t>От неправителствени организации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F92B1D" w:rsidP="00613D25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DD5FAF" w:rsidRDefault="00DD5FAF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F92B1D" w:rsidP="00613D25">
            <w:pPr>
              <w:jc w:val="right"/>
            </w:pPr>
            <w:r>
              <w:t>1</w:t>
            </w:r>
          </w:p>
        </w:tc>
      </w:tr>
      <w:tr w:rsidR="00F3063B" w:rsidRPr="00613D25" w:rsidTr="00613D25">
        <w:tc>
          <w:tcPr>
            <w:tcW w:w="2808" w:type="dxa"/>
            <w:shd w:val="clear" w:color="auto" w:fill="auto"/>
          </w:tcPr>
          <w:p w:rsidR="00F3063B" w:rsidRPr="00613D25" w:rsidRDefault="00B34C8B" w:rsidP="00A87FDE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301B87" w:rsidRDefault="00F92B1D" w:rsidP="0061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613D25" w:rsidRDefault="00A61A7B" w:rsidP="00613D25">
            <w:pPr>
              <w:jc w:val="center"/>
              <w:rPr>
                <w:b/>
              </w:rPr>
            </w:pPr>
            <w:r w:rsidRPr="00613D25">
              <w:rPr>
                <w:b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301B87" w:rsidRDefault="00F92B1D" w:rsidP="00613D2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B34C8B" w:rsidRPr="004E1886" w:rsidRDefault="00B34C8B" w:rsidP="009920F9">
      <w:pPr>
        <w:spacing w:before="480" w:after="120"/>
        <w:rPr>
          <w:b/>
        </w:rPr>
      </w:pPr>
      <w:r w:rsidRPr="004E1886">
        <w:rPr>
          <w:b/>
        </w:rPr>
        <w:t>2. Постъпили заяв</w:t>
      </w:r>
      <w:r w:rsidR="000963DF">
        <w:rPr>
          <w:b/>
        </w:rPr>
        <w:t>ления за ДОИ през 201</w:t>
      </w:r>
      <w:r w:rsidR="00F92B1D">
        <w:rPr>
          <w:b/>
        </w:rPr>
        <w:t>9</w:t>
      </w:r>
      <w:r w:rsidR="00D325DB">
        <w:rPr>
          <w:b/>
        </w:rPr>
        <w:t xml:space="preserve"> </w:t>
      </w:r>
      <w:r w:rsidRPr="004E1886">
        <w:rPr>
          <w:b/>
        </w:rPr>
        <w:t>г.,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B34C8B" w:rsidTr="00613D25">
        <w:tc>
          <w:tcPr>
            <w:tcW w:w="7668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Брой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B34C8B" w:rsidP="00A87FDE">
            <w:r>
              <w:t>Писмени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Pr="00DA4C93" w:rsidRDefault="004E1886" w:rsidP="00A87FDE">
            <w:r w:rsidRPr="00DA4C93">
              <w:t xml:space="preserve">Устни </w:t>
            </w:r>
            <w:r w:rsidR="00DA4C93" w:rsidRPr="00DA4C93">
              <w:t>запитвания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Default="006B5BCF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4E1886" w:rsidP="00A87FDE">
            <w:r>
              <w:t>Електронни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F92B1D" w:rsidP="00613D25">
            <w:pPr>
              <w:jc w:val="right"/>
            </w:pPr>
            <w:r>
              <w:t>1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Pr="00613D25" w:rsidRDefault="004E1886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301B87" w:rsidRDefault="00F92B1D" w:rsidP="00613D2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3063B" w:rsidRPr="00C54F12" w:rsidRDefault="004E1886" w:rsidP="009920F9">
      <w:pPr>
        <w:spacing w:before="480" w:after="120"/>
        <w:rPr>
          <w:b/>
        </w:rPr>
      </w:pPr>
      <w:r w:rsidRPr="00C54F12">
        <w:rPr>
          <w:b/>
        </w:rPr>
        <w:t>3. Пост</w:t>
      </w:r>
      <w:r w:rsidR="000963DF">
        <w:rPr>
          <w:b/>
        </w:rPr>
        <w:t>ъпили заявления за ДОИ през 201</w:t>
      </w:r>
      <w:r w:rsidR="009B126C">
        <w:rPr>
          <w:b/>
        </w:rPr>
        <w:t>9</w:t>
      </w:r>
      <w:r w:rsidRPr="00C54F12">
        <w:rPr>
          <w:b/>
        </w:rPr>
        <w:t xml:space="preserve"> г.,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4E1886" w:rsidTr="00613D25">
        <w:tc>
          <w:tcPr>
            <w:tcW w:w="7668" w:type="dxa"/>
            <w:shd w:val="clear" w:color="auto" w:fill="F3F3F3"/>
            <w:vAlign w:val="center"/>
          </w:tcPr>
          <w:p w:rsidR="004E1886" w:rsidRPr="004E1886" w:rsidRDefault="004E1886" w:rsidP="00613D25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E1886" w:rsidRDefault="004E1886" w:rsidP="00613D25">
            <w:pPr>
              <w:jc w:val="center"/>
            </w:pPr>
            <w:r>
              <w:t>Брой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Официална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Служебна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Default="00F92B1D" w:rsidP="00613D25">
            <w:pPr>
              <w:jc w:val="right"/>
            </w:pPr>
            <w:r>
              <w:t>1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Pr="00613D25" w:rsidRDefault="00C54F12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301B87" w:rsidRDefault="00F92B1D" w:rsidP="00613D2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54F12" w:rsidRPr="00C54F12" w:rsidRDefault="00C54F12" w:rsidP="009920F9">
      <w:pPr>
        <w:spacing w:before="480" w:after="120"/>
        <w:rPr>
          <w:b/>
        </w:rPr>
      </w:pPr>
      <w:r w:rsidRPr="00C54F12">
        <w:rPr>
          <w:b/>
        </w:rPr>
        <w:t>4. Пост</w:t>
      </w:r>
      <w:r w:rsidR="000963DF">
        <w:rPr>
          <w:b/>
        </w:rPr>
        <w:t>ъпили заявления за ДОИ през 201</w:t>
      </w:r>
      <w:r w:rsidR="009B126C">
        <w:rPr>
          <w:b/>
        </w:rPr>
        <w:t>9</w:t>
      </w:r>
      <w:r w:rsidRPr="00C54F12">
        <w:rPr>
          <w:b/>
        </w:rPr>
        <w:t xml:space="preserve"> г., по </w:t>
      </w:r>
      <w:r>
        <w:rPr>
          <w:b/>
        </w:rPr>
        <w:t>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D758E3" w:rsidTr="00613D25">
        <w:tc>
          <w:tcPr>
            <w:tcW w:w="7668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Брой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Упражняване на права или законни интереси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FA1DCF" w:rsidRDefault="0017416E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Отчетност на институцията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9A2E89" w:rsidP="00613D25">
            <w:pPr>
              <w:jc w:val="right"/>
            </w:pPr>
            <w:r>
              <w:t>1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Процес на вземане на решения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Изразходване на публични средства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FA1DCF" w:rsidRDefault="0017416E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Контролна дейност на</w:t>
            </w:r>
            <w:r w:rsidR="00515937">
              <w:t xml:space="preserve"> администрацията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515937" w:rsidP="004E1886">
            <w:r>
              <w:t xml:space="preserve">Предотвратяване </w:t>
            </w:r>
            <w:r w:rsidR="00B75924">
              <w:t>или разкриване на корупция или нередности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Проекти на нормативни актове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Други теми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F92B1D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 w:rsidRPr="00613D25">
              <w:rPr>
                <w:b/>
              </w:rPr>
              <w:lastRenderedPageBreak/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301B87" w:rsidRDefault="00F92B1D" w:rsidP="00613D2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B75924" w:rsidRPr="00C54F12" w:rsidRDefault="00B75924" w:rsidP="009920F9">
      <w:pPr>
        <w:spacing w:before="360" w:after="120"/>
        <w:rPr>
          <w:b/>
        </w:rPr>
      </w:pPr>
      <w:r>
        <w:rPr>
          <w:b/>
        </w:rPr>
        <w:t>5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9B126C">
        <w:rPr>
          <w:b/>
        </w:rPr>
        <w:t>9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B75924" w:rsidTr="00613D25">
        <w:tc>
          <w:tcPr>
            <w:tcW w:w="7848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Брой</w:t>
            </w:r>
          </w:p>
        </w:tc>
      </w:tr>
      <w:tr w:rsidR="00B75924" w:rsidTr="00613D25">
        <w:tc>
          <w:tcPr>
            <w:tcW w:w="7848" w:type="dxa"/>
            <w:shd w:val="clear" w:color="auto" w:fill="auto"/>
          </w:tcPr>
          <w:p w:rsidR="00B75924" w:rsidRDefault="00B75924" w:rsidP="004E1886">
            <w:r>
              <w:t>Предоставяне на свободен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5924" w:rsidRPr="00AD7A1F" w:rsidRDefault="00F92B1D" w:rsidP="00613D25">
            <w:pPr>
              <w:jc w:val="right"/>
            </w:pPr>
            <w:r>
              <w:t>1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FF0F23">
            <w:r>
              <w:t>Предоставяне на частичен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F92B1D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Pr="006B5BCF" w:rsidRDefault="006B5BCF" w:rsidP="004E1886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Отказ за предоставяне на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301B87" w:rsidRDefault="00F92B1D" w:rsidP="00613D2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53A6B" w:rsidRPr="00C54F12" w:rsidRDefault="00F53A6B" w:rsidP="00F53A6B">
      <w:pPr>
        <w:spacing w:before="24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9B126C">
        <w:rPr>
          <w:b/>
        </w:rPr>
        <w:t>9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89613E" w:rsidRPr="0089613E" w:rsidTr="00613D25">
        <w:tc>
          <w:tcPr>
            <w:tcW w:w="7848" w:type="dxa"/>
            <w:shd w:val="clear" w:color="auto" w:fill="F3F3F3"/>
          </w:tcPr>
          <w:p w:rsidR="0089613E" w:rsidRPr="0089613E" w:rsidRDefault="0089613E" w:rsidP="00613D25">
            <w:pPr>
              <w:jc w:val="center"/>
            </w:pPr>
            <w:r w:rsidRPr="0089613E">
              <w:t>Удължаване на срока за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89613E" w:rsidRDefault="0089613E" w:rsidP="00613D25">
            <w:pPr>
              <w:jc w:val="center"/>
            </w:pPr>
            <w:r>
              <w:t>Брой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Уточняване на предмета на исканата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Други причини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Default="006B5BCF" w:rsidP="00613D25">
            <w:pPr>
              <w:jc w:val="right"/>
            </w:pPr>
            <w:r>
              <w:t>0</w:t>
            </w:r>
          </w:p>
        </w:tc>
      </w:tr>
    </w:tbl>
    <w:p w:rsidR="0089613E" w:rsidRPr="00C54F12" w:rsidRDefault="0089613E" w:rsidP="0089613E">
      <w:pPr>
        <w:spacing w:before="240" w:after="120"/>
        <w:rPr>
          <w:b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 w:rsidR="009920F9">
        <w:rPr>
          <w:b/>
        </w:rPr>
        <w:t xml:space="preserve"> отказ от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9B126C">
        <w:rPr>
          <w:b/>
        </w:rPr>
        <w:t>9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9920F9" w:rsidTr="00613D25">
        <w:tc>
          <w:tcPr>
            <w:tcW w:w="7848" w:type="dxa"/>
            <w:shd w:val="clear" w:color="auto" w:fill="F3F3F3"/>
          </w:tcPr>
          <w:p w:rsidR="009920F9" w:rsidRPr="009920F9" w:rsidRDefault="009920F9" w:rsidP="00613D25">
            <w:pPr>
              <w:jc w:val="center"/>
            </w:pPr>
            <w:r w:rsidRPr="009920F9">
              <w:t>Основания за отказ от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9920F9" w:rsidRDefault="009920F9" w:rsidP="00613D25">
            <w:pPr>
              <w:jc w:val="center"/>
            </w:pPr>
            <w:r>
              <w:t>Брой</w:t>
            </w:r>
          </w:p>
        </w:tc>
      </w:tr>
      <w:tr w:rsidR="009920F9" w:rsidTr="00613D25">
        <w:tc>
          <w:tcPr>
            <w:tcW w:w="7848" w:type="dxa"/>
            <w:shd w:val="clear" w:color="auto" w:fill="auto"/>
          </w:tcPr>
          <w:p w:rsidR="009920F9" w:rsidRDefault="002A13FC" w:rsidP="004E1886">
            <w: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20F9" w:rsidRDefault="00301B87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търговска тайна и нейното предоставяне или разпро</w:t>
            </w:r>
            <w:r w:rsidR="002777EF">
              <w:t>странение би довело до нелоална конкуренция между търговци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777EF" w:rsidP="004E1886">
            <w:r>
              <w:t xml:space="preserve">Достъпът засяга интересите </w:t>
            </w:r>
            <w:r w:rsidR="006F15F9">
              <w:t>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F15F9" w:rsidP="004E1886">
            <w: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438A9" w:rsidP="004E1886">
            <w:r>
              <w:t>Исканата ОИ е предоставена на заявителя през пред</w:t>
            </w:r>
            <w:r w:rsidR="00E66E85">
              <w:t>ходните 6 месеца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66E85" w:rsidP="004E1886">
            <w:r>
              <w:t>С</w:t>
            </w:r>
            <w:r w:rsidR="00E07572">
              <w:t>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07572" w:rsidP="004E1886">
            <w:r>
              <w:t>Служебната ОИ съдържа мнени</w:t>
            </w:r>
            <w:r w:rsidR="00131886">
              <w:t>я</w:t>
            </w:r>
            <w:r>
              <w:t>, и позиции във връзка с настоящи или предстоящи преговори, водени от орган</w:t>
            </w:r>
            <w:r w:rsidR="00DA4C93">
              <w:t>а</w:t>
            </w:r>
            <w:r>
              <w:t xml:space="preserve"> </w:t>
            </w:r>
            <w:r w:rsidR="00B801D5">
              <w:t>или от негово име, както и сведения, свързани</w:t>
            </w:r>
            <w:r w:rsidR="00DA4C93">
              <w:t xml:space="preserve"> </w:t>
            </w:r>
            <w:r w:rsidR="00B801D5">
              <w:t>с тях и  е подготвена от администрациите на съответните органи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B801D5" w:rsidP="004E1886">
            <w:r>
              <w:t>Други основания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RPr="00613D25" w:rsidTr="00613D25">
        <w:tc>
          <w:tcPr>
            <w:tcW w:w="7848" w:type="dxa"/>
            <w:shd w:val="clear" w:color="auto" w:fill="auto"/>
          </w:tcPr>
          <w:p w:rsidR="002A13FC" w:rsidRPr="00613D25" w:rsidRDefault="00B801D5" w:rsidP="004E1886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D7A1F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801D5" w:rsidRPr="00C54F12" w:rsidRDefault="00B801D5" w:rsidP="00B801D5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</w:t>
      </w:r>
      <w:r w:rsidR="00AD7A1F">
        <w:rPr>
          <w:b/>
          <w:lang w:val="en-US"/>
        </w:rPr>
        <w:t>201</w:t>
      </w:r>
      <w:r w:rsidR="009B126C">
        <w:rPr>
          <w:b/>
        </w:rPr>
        <w:t>9</w:t>
      </w:r>
      <w:r w:rsidRPr="00C54F12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B801D5" w:rsidTr="00613D25">
        <w:tc>
          <w:tcPr>
            <w:tcW w:w="7848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Брой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 xml:space="preserve">Веднага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93A77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>В 14 дневен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F92B1D" w:rsidP="00613D25">
            <w:pPr>
              <w:jc w:val="right"/>
            </w:pPr>
            <w:r>
              <w:t>1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lastRenderedPageBreak/>
              <w:t xml:space="preserve">В законоустановения срок след удължаването </w:t>
            </w:r>
            <w:r w:rsidR="005F5776">
              <w:t>му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5F5776" w:rsidP="004E1886">
            <w:r>
              <w:t>След срока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93A77" w:rsidP="00613D25">
            <w:pPr>
              <w:jc w:val="right"/>
            </w:pPr>
            <w:r>
              <w:t>0</w:t>
            </w:r>
          </w:p>
        </w:tc>
      </w:tr>
      <w:tr w:rsidR="00B801D5" w:rsidTr="00613D25">
        <w:trPr>
          <w:trHeight w:val="80"/>
        </w:trPr>
        <w:tc>
          <w:tcPr>
            <w:tcW w:w="7848" w:type="dxa"/>
            <w:shd w:val="clear" w:color="auto" w:fill="auto"/>
          </w:tcPr>
          <w:p w:rsidR="00B801D5" w:rsidRDefault="005F5776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301B87" w:rsidRDefault="00F92B1D" w:rsidP="00613D2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F5776" w:rsidRPr="00C54F12" w:rsidRDefault="00232AB1" w:rsidP="005F5776">
      <w:pPr>
        <w:spacing w:before="240" w:after="120"/>
        <w:rPr>
          <w:b/>
        </w:rPr>
      </w:pPr>
      <w:r>
        <w:rPr>
          <w:b/>
        </w:rPr>
        <w:t>9</w:t>
      </w:r>
      <w:r w:rsidR="005F5776" w:rsidRPr="00C54F12">
        <w:rPr>
          <w:b/>
        </w:rPr>
        <w:t xml:space="preserve">. </w:t>
      </w:r>
      <w:r w:rsidR="005F5776">
        <w:rPr>
          <w:b/>
        </w:rPr>
        <w:t>Отказ на</w:t>
      </w:r>
      <w:r w:rsidR="005F5776" w:rsidRPr="00C54F12">
        <w:rPr>
          <w:b/>
        </w:rPr>
        <w:t xml:space="preserve"> </w:t>
      </w:r>
      <w:r w:rsidR="005F5776">
        <w:rPr>
          <w:b/>
        </w:rPr>
        <w:t>заявителя от предоставения му достъп</w:t>
      </w:r>
      <w:r w:rsidR="005F5776"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5F5776" w:rsidTr="00613D25">
        <w:tc>
          <w:tcPr>
            <w:tcW w:w="7848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Отказ на заявителя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Брой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4E1886">
            <w:r>
              <w:t>Заявителят  не се е явил в определения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D1666A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FF0F23">
            <w:r>
              <w:t>Заявителят  не е платил в определените разходи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893A77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232AB1" w:rsidP="004E1886">
            <w:r>
              <w:t>Отказ на заявителя от предоставения му достъп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A37B14" w:rsidP="00613D2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 w:rsidR="00375D24">
        <w:rPr>
          <w:b/>
        </w:rPr>
        <w:t>Жалби през 201</w:t>
      </w:r>
      <w:r w:rsidR="009B126C">
        <w:rPr>
          <w:b/>
        </w:rPr>
        <w:t>9</w:t>
      </w:r>
      <w:r w:rsidR="000963DF">
        <w:rPr>
          <w:b/>
        </w:rPr>
        <w:t xml:space="preserve"> </w:t>
      </w:r>
      <w:r>
        <w:rPr>
          <w:b/>
        </w:rPr>
        <w:t>г. срещу решения и откази за предоставяне на ДОИ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232AB1" w:rsidTr="00613D25">
        <w:tc>
          <w:tcPr>
            <w:tcW w:w="7848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Жалби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Брой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4E1886">
            <w:r>
              <w:t>Срещу решения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>
              <w:t>Срещу откази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32AB1" w:rsidRPr="00C37B68" w:rsidRDefault="00232AB1" w:rsidP="00232AB1">
      <w:pPr>
        <w:spacing w:before="240" w:after="120"/>
        <w:rPr>
          <w:b/>
          <w:lang w:val="en-US"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 w:rsidR="000963DF">
        <w:rPr>
          <w:b/>
        </w:rPr>
        <w:t>Случаи през 201</w:t>
      </w:r>
      <w:r w:rsidR="009B126C">
        <w:rPr>
          <w:b/>
        </w:rPr>
        <w:t>9</w:t>
      </w:r>
      <w:r>
        <w:rPr>
          <w:b/>
        </w:rPr>
        <w:t xml:space="preserve"> г. при които</w:t>
      </w:r>
      <w:r w:rsidR="007A4A32">
        <w:rPr>
          <w:b/>
        </w:rPr>
        <w:t xml:space="preserve"> при установена незаконосъобразност съдът взема</w:t>
      </w:r>
      <w:r>
        <w:rPr>
          <w:b/>
        </w:rPr>
        <w:t xml:space="preserve"> </w:t>
      </w:r>
      <w:r w:rsidR="007A4A32">
        <w:rPr>
          <w:b/>
        </w:rPr>
        <w:t>решение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7A4A32" w:rsidTr="00613D25">
        <w:tc>
          <w:tcPr>
            <w:tcW w:w="7848" w:type="dxa"/>
            <w:shd w:val="clear" w:color="auto" w:fill="F3F3F3"/>
          </w:tcPr>
          <w:p w:rsidR="007A4A32" w:rsidRDefault="007A4A32" w:rsidP="00613D25">
            <w:pPr>
              <w:jc w:val="center"/>
            </w:pPr>
            <w:r>
              <w:t>Съдът: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7A4A32" w:rsidRDefault="007A4A32" w:rsidP="00613D25">
            <w:pPr>
              <w:jc w:val="center"/>
            </w:pPr>
            <w:r>
              <w:t>Брой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Изцяло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FF0F23">
            <w:r>
              <w:t>Частично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A61A7B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Изменя обжалваното решение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376120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При обжалване на отказ-иска необходимите доказателства за това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D1666A" w:rsidP="00613D25">
            <w:pPr>
              <w:jc w:val="right"/>
            </w:pPr>
            <w:r>
              <w:t>0</w:t>
            </w:r>
          </w:p>
        </w:tc>
      </w:tr>
    </w:tbl>
    <w:p w:rsidR="004E1886" w:rsidRPr="00B131EC" w:rsidRDefault="009F6B69" w:rsidP="004E1886">
      <w:pPr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erence w:id="1"/>
      </w:r>
    </w:p>
    <w:sectPr w:rsidR="004E1886" w:rsidRPr="00B131EC" w:rsidSect="009920F9">
      <w:footerReference w:type="default" r:id="rId6"/>
      <w:footnotePr>
        <w:numFmt w:val="chicago"/>
      </w:footnotePr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AC" w:rsidRDefault="00C109AC">
      <w:r>
        <w:separator/>
      </w:r>
    </w:p>
  </w:endnote>
  <w:endnote w:type="continuationSeparator" w:id="0">
    <w:p w:rsidR="00C109AC" w:rsidRDefault="00C1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EC" w:rsidRDefault="00C72F5B" w:rsidP="009F6B69">
    <w:pPr>
      <w:pStyle w:val="a5"/>
      <w:jc w:val="right"/>
    </w:pPr>
    <w:r>
      <w:rPr>
        <w:rStyle w:val="a6"/>
      </w:rPr>
      <w:fldChar w:fldCharType="begin"/>
    </w:r>
    <w:r w:rsidR="00B131E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5283E">
      <w:rPr>
        <w:rStyle w:val="a6"/>
        <w:noProof/>
      </w:rPr>
      <w:t>1</w:t>
    </w:r>
    <w:r>
      <w:rPr>
        <w:rStyle w:val="a6"/>
      </w:rPr>
      <w:fldChar w:fldCharType="end"/>
    </w:r>
    <w:r w:rsidR="00B131EC">
      <w:rPr>
        <w:rStyle w:val="a6"/>
      </w:rPr>
      <w:t>/</w:t>
    </w:r>
    <w:r>
      <w:rPr>
        <w:rStyle w:val="a6"/>
      </w:rPr>
      <w:fldChar w:fldCharType="begin"/>
    </w:r>
    <w:r w:rsidR="00B131EC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15283E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AC" w:rsidRDefault="00C109AC">
      <w:r>
        <w:separator/>
      </w:r>
    </w:p>
  </w:footnote>
  <w:footnote w:type="continuationSeparator" w:id="0">
    <w:p w:rsidR="00C109AC" w:rsidRDefault="00C109AC">
      <w:r>
        <w:continuationSeparator/>
      </w:r>
    </w:p>
  </w:footnote>
  <w:footnote w:id="1">
    <w:p w:rsidR="00B131EC" w:rsidRPr="00B131EC" w:rsidRDefault="00B131EC" w:rsidP="00B131EC">
      <w:pPr>
        <w:pStyle w:val="a7"/>
        <w:ind w:firstLine="540"/>
        <w:jc w:val="both"/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/>
      </w:r>
      <w:r w:rsidRPr="00B131EC">
        <w:rPr>
          <w:sz w:val="16"/>
          <w:szCs w:val="16"/>
        </w:rPr>
        <w:t xml:space="preserve"> Отчетът е структуриран по изискванията на Информационната система за попълване на отчетните доклади за състоянието на администрацията.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66016"/>
    <w:rsid w:val="000963DF"/>
    <w:rsid w:val="000F2BDC"/>
    <w:rsid w:val="000F7D85"/>
    <w:rsid w:val="00131886"/>
    <w:rsid w:val="00133213"/>
    <w:rsid w:val="0015283E"/>
    <w:rsid w:val="0017416E"/>
    <w:rsid w:val="001D32A3"/>
    <w:rsid w:val="00230D95"/>
    <w:rsid w:val="00232707"/>
    <w:rsid w:val="00232AB1"/>
    <w:rsid w:val="002777EF"/>
    <w:rsid w:val="002A13FC"/>
    <w:rsid w:val="002B5E37"/>
    <w:rsid w:val="00301B87"/>
    <w:rsid w:val="00307B79"/>
    <w:rsid w:val="00375D24"/>
    <w:rsid w:val="00376120"/>
    <w:rsid w:val="003B5E3A"/>
    <w:rsid w:val="003E4EF9"/>
    <w:rsid w:val="00400805"/>
    <w:rsid w:val="00465922"/>
    <w:rsid w:val="00483B48"/>
    <w:rsid w:val="00490B26"/>
    <w:rsid w:val="004B7D1D"/>
    <w:rsid w:val="004E1886"/>
    <w:rsid w:val="00515937"/>
    <w:rsid w:val="005614AF"/>
    <w:rsid w:val="005D79AB"/>
    <w:rsid w:val="005F5776"/>
    <w:rsid w:val="00613D25"/>
    <w:rsid w:val="006438A9"/>
    <w:rsid w:val="006B5BCF"/>
    <w:rsid w:val="006F15F9"/>
    <w:rsid w:val="00704BCF"/>
    <w:rsid w:val="0074520C"/>
    <w:rsid w:val="00756FD4"/>
    <w:rsid w:val="007A4A32"/>
    <w:rsid w:val="00884F1C"/>
    <w:rsid w:val="00886195"/>
    <w:rsid w:val="00893A77"/>
    <w:rsid w:val="0089613E"/>
    <w:rsid w:val="00897EAF"/>
    <w:rsid w:val="008A7247"/>
    <w:rsid w:val="00955365"/>
    <w:rsid w:val="009920F9"/>
    <w:rsid w:val="00996370"/>
    <w:rsid w:val="009A2E89"/>
    <w:rsid w:val="009B126C"/>
    <w:rsid w:val="009C4C66"/>
    <w:rsid w:val="009F6B69"/>
    <w:rsid w:val="00A14C8D"/>
    <w:rsid w:val="00A37B14"/>
    <w:rsid w:val="00A47938"/>
    <w:rsid w:val="00A55990"/>
    <w:rsid w:val="00A61A7B"/>
    <w:rsid w:val="00A87FDE"/>
    <w:rsid w:val="00AD7A1F"/>
    <w:rsid w:val="00B131EC"/>
    <w:rsid w:val="00B34C8B"/>
    <w:rsid w:val="00B57B74"/>
    <w:rsid w:val="00B67C7F"/>
    <w:rsid w:val="00B75924"/>
    <w:rsid w:val="00B801D5"/>
    <w:rsid w:val="00BB3FB0"/>
    <w:rsid w:val="00C109AC"/>
    <w:rsid w:val="00C313E0"/>
    <w:rsid w:val="00C37B68"/>
    <w:rsid w:val="00C44F97"/>
    <w:rsid w:val="00C54816"/>
    <w:rsid w:val="00C54F12"/>
    <w:rsid w:val="00C66016"/>
    <w:rsid w:val="00C72F5B"/>
    <w:rsid w:val="00C83ACE"/>
    <w:rsid w:val="00CB6269"/>
    <w:rsid w:val="00D1666A"/>
    <w:rsid w:val="00D325DB"/>
    <w:rsid w:val="00D758E3"/>
    <w:rsid w:val="00DA4C93"/>
    <w:rsid w:val="00DB1F56"/>
    <w:rsid w:val="00DB6A04"/>
    <w:rsid w:val="00DD5FAF"/>
    <w:rsid w:val="00DF78FB"/>
    <w:rsid w:val="00E07572"/>
    <w:rsid w:val="00E50F98"/>
    <w:rsid w:val="00E66E85"/>
    <w:rsid w:val="00E71931"/>
    <w:rsid w:val="00E84281"/>
    <w:rsid w:val="00F3063B"/>
    <w:rsid w:val="00F53A6B"/>
    <w:rsid w:val="00F92B1D"/>
    <w:rsid w:val="00FA1DCF"/>
    <w:rsid w:val="00FD0667"/>
    <w:rsid w:val="00FF0F23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2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A4A3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4A3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7A4A32"/>
  </w:style>
  <w:style w:type="paragraph" w:styleId="a7">
    <w:name w:val="footnote text"/>
    <w:basedOn w:val="a"/>
    <w:semiHidden/>
    <w:rsid w:val="009F6B69"/>
    <w:rPr>
      <w:sz w:val="20"/>
      <w:szCs w:val="20"/>
    </w:rPr>
  </w:style>
  <w:style w:type="character" w:styleId="a8">
    <w:name w:val="footnote reference"/>
    <w:semiHidden/>
    <w:rsid w:val="009F6B69"/>
    <w:rPr>
      <w:vertAlign w:val="superscript"/>
    </w:rPr>
  </w:style>
  <w:style w:type="paragraph" w:styleId="a9">
    <w:name w:val="Balloon Text"/>
    <w:basedOn w:val="a"/>
    <w:link w:val="aa"/>
    <w:rsid w:val="00B67C7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67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ГОДИШЕН ОТЧЕТ</vt:lpstr>
      <vt:lpstr>ГОДИШЕН ОТЧЕТ</vt:lpstr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ОТЧЕТ</dc:title>
  <dc:subject/>
  <dc:creator>user sofia</dc:creator>
  <cp:keywords/>
  <dc:description/>
  <cp:lastModifiedBy>kj</cp:lastModifiedBy>
  <cp:revision>18</cp:revision>
  <cp:lastPrinted>2020-01-24T12:44:00Z</cp:lastPrinted>
  <dcterms:created xsi:type="dcterms:W3CDTF">2019-01-21T08:16:00Z</dcterms:created>
  <dcterms:modified xsi:type="dcterms:W3CDTF">2020-01-24T12:44:00Z</dcterms:modified>
</cp:coreProperties>
</file>