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80" w:rsidRPr="0042153A" w:rsidRDefault="00255280" w:rsidP="00B1070E">
      <w:pPr>
        <w:ind w:left="-540" w:hanging="540"/>
        <w:jc w:val="both"/>
      </w:pPr>
      <w:bookmarkStart w:id="0" w:name="_GoBack"/>
      <w:bookmarkEnd w:id="0"/>
    </w:p>
    <w:p w:rsidR="00255280" w:rsidRPr="009F6B91" w:rsidRDefault="00255280" w:rsidP="00741BCB">
      <w:pPr>
        <w:rPr>
          <w:lang w:val="bg-BG"/>
        </w:rPr>
      </w:pPr>
    </w:p>
    <w:p w:rsidR="00255280" w:rsidRPr="00F203FE" w:rsidRDefault="00255280" w:rsidP="002E25BD">
      <w:pPr>
        <w:pStyle w:val="2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F203FE">
        <w:rPr>
          <w:rFonts w:ascii="Times New Roman" w:hAnsi="Times New Roman" w:cs="Times New Roman"/>
        </w:rPr>
        <w:t>Д О К Л А Д</w:t>
      </w:r>
    </w:p>
    <w:p w:rsidR="00255280" w:rsidRPr="00FB60C7" w:rsidRDefault="00255280" w:rsidP="002E25BD">
      <w:pPr>
        <w:rPr>
          <w:lang w:val="ru-RU"/>
        </w:rPr>
      </w:pPr>
    </w:p>
    <w:p w:rsidR="00255280" w:rsidRPr="00FB60C7" w:rsidRDefault="00255280" w:rsidP="002F46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СЪСТОЯНИЕТО НА ЗЕМЕДЕЛИЕТО И</w:t>
      </w:r>
    </w:p>
    <w:p w:rsidR="00255280" w:rsidRPr="00FB60C7" w:rsidRDefault="00255280" w:rsidP="002E25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ДЕЙНОСТТА НА ОД “ЗЕМЕДЕЛИЕ”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ГРАД КЪРДЖАЛИ </w:t>
      </w:r>
    </w:p>
    <w:p w:rsidR="00255280" w:rsidRPr="00FB60C7" w:rsidRDefault="00255280" w:rsidP="002E25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ПЕРИОДА 01.01.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год.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B60C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>. 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B60C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год.</w:t>
      </w:r>
    </w:p>
    <w:p w:rsidR="00255280" w:rsidRPr="00FB60C7" w:rsidRDefault="00255280" w:rsidP="002F46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2F463D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ОБЩА АГРОХАРАКТЕРИСТИКА НА ОБЛАСТ КЪРДЖАЛИ ЗА ПЕРИОДА </w:t>
      </w:r>
    </w:p>
    <w:p w:rsidR="00255280" w:rsidRPr="00FB60C7" w:rsidRDefault="00255280" w:rsidP="002F463D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01.01.20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г. – 3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.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12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.20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FB60C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г.</w:t>
      </w:r>
    </w:p>
    <w:p w:rsidR="00255280" w:rsidRDefault="00255280" w:rsidP="002F463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9F6B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430C">
        <w:rPr>
          <w:rFonts w:ascii="Times New Roman" w:hAnsi="Times New Roman" w:cs="Times New Roman"/>
          <w:b/>
          <w:bCs/>
          <w:sz w:val="24"/>
          <w:szCs w:val="24"/>
        </w:rPr>
        <w:t>Област Кърджали</w:t>
      </w:r>
      <w:r w:rsidRPr="0013430C">
        <w:rPr>
          <w:rFonts w:ascii="Times New Roman" w:hAnsi="Times New Roman" w:cs="Times New Roman"/>
          <w:sz w:val="24"/>
          <w:szCs w:val="24"/>
        </w:rPr>
        <w:t xml:space="preserve"> е една от 28-те </w:t>
      </w:r>
      <w:hyperlink r:id="rId8" w:tooltip="Области на България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области на България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. </w:t>
      </w:r>
      <w:r w:rsidRPr="0013430C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13430C">
        <w:rPr>
          <w:rFonts w:ascii="Times New Roman" w:hAnsi="Times New Roman" w:cs="Times New Roman"/>
          <w:sz w:val="24"/>
          <w:szCs w:val="24"/>
        </w:rPr>
        <w:t>аема площ 3 209,1 km</w:t>
      </w:r>
      <w:r w:rsidRPr="00134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430C">
        <w:rPr>
          <w:rFonts w:ascii="Times New Roman" w:hAnsi="Times New Roman" w:cs="Times New Roman"/>
          <w:sz w:val="24"/>
          <w:szCs w:val="24"/>
        </w:rPr>
        <w:t xml:space="preserve"> и има население 149 661 души (по експресни данни от преброяване 2011).</w:t>
      </w:r>
      <w:r>
        <w:rPr>
          <w:rFonts w:ascii="Times New Roman" w:hAnsi="Times New Roman" w:cs="Times New Roman"/>
          <w:sz w:val="24"/>
          <w:szCs w:val="24"/>
        </w:rPr>
        <w:t xml:space="preserve"> Тя </w:t>
      </w:r>
      <w:r>
        <w:rPr>
          <w:rFonts w:ascii="Times New Roman" w:hAnsi="Times New Roman" w:cs="Times New Roman"/>
          <w:sz w:val="24"/>
          <w:szCs w:val="24"/>
          <w:lang w:val="bg-BG"/>
        </w:rPr>
        <w:t>граничи на запад със Смолянска област, на север с Хасковска и пловдивска област, на юг и югоизток с държавната граница на страната с Република Гърция.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административно-териториалните граници на Област Кърджали са включени </w:t>
      </w:r>
      <w:r w:rsidRPr="0013430C">
        <w:rPr>
          <w:rFonts w:ascii="Times New Roman" w:hAnsi="Times New Roman" w:cs="Times New Roman"/>
          <w:sz w:val="24"/>
          <w:szCs w:val="24"/>
        </w:rPr>
        <w:t>7 общини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Ардино, Джебел, Кирково, Крумовград, Кърджали Момчилград и Черноочене, като </w:t>
      </w:r>
      <w:r w:rsidRPr="0013430C">
        <w:rPr>
          <w:rFonts w:ascii="Times New Roman" w:hAnsi="Times New Roman" w:cs="Times New Roman"/>
          <w:sz w:val="24"/>
          <w:szCs w:val="24"/>
        </w:rPr>
        <w:t xml:space="preserve">общият брой на населените места е 470, от които градовете са едва 5 – </w:t>
      </w:r>
      <w:hyperlink r:id="rId9" w:tooltip="Кърджали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Кърджали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Момчилград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Момчилград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Крумовград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Крумовград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Ардино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Ардино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Джебел" w:history="1">
        <w:r w:rsidRPr="0013430C">
          <w:rPr>
            <w:rStyle w:val="a9"/>
            <w:rFonts w:ascii="Times New Roman" w:hAnsi="Times New Roman"/>
            <w:sz w:val="24"/>
            <w:szCs w:val="24"/>
          </w:rPr>
          <w:t>Джебел</w:t>
        </w:r>
      </w:hyperlink>
      <w:r w:rsidRPr="0013430C">
        <w:rPr>
          <w:rFonts w:ascii="Times New Roman" w:hAnsi="Times New Roman" w:cs="Times New Roman"/>
          <w:sz w:val="24"/>
          <w:szCs w:val="24"/>
        </w:rPr>
        <w:t xml:space="preserve">. Черноочене и Кирково са двете общини в областта, съставени изцяло от </w:t>
      </w:r>
      <w:r>
        <w:rPr>
          <w:rFonts w:ascii="Times New Roman" w:hAnsi="Times New Roman" w:cs="Times New Roman"/>
          <w:sz w:val="24"/>
          <w:szCs w:val="24"/>
          <w:lang w:val="bg-BG"/>
        </w:rPr>
        <w:t>села.</w:t>
      </w:r>
    </w:p>
    <w:p w:rsidR="00255280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6C1A91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6C1A91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І. РАСТЕНИЕВЪДСТВО</w:t>
      </w:r>
    </w:p>
    <w:p w:rsidR="00255280" w:rsidRPr="006C1A91" w:rsidRDefault="00255280" w:rsidP="002F463D">
      <w:pPr>
        <w:ind w:firstLine="7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</w:p>
    <w:p w:rsidR="00255280" w:rsidRPr="00FB60C7" w:rsidRDefault="00255280" w:rsidP="002E25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60C7">
        <w:rPr>
          <w:rFonts w:ascii="Times New Roman" w:hAnsi="Times New Roman" w:cs="Times New Roman"/>
          <w:sz w:val="24"/>
          <w:szCs w:val="24"/>
          <w:lang w:val="bg-BG"/>
        </w:rPr>
        <w:t>Преобладаващият почвен тип в област Кърджали са канелените горски почви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B60C7">
        <w:rPr>
          <w:rFonts w:ascii="Times New Roman" w:hAnsi="Times New Roman" w:cs="Times New Roman"/>
          <w:sz w:val="24"/>
          <w:szCs w:val="24"/>
          <w:lang w:val="bg-BG"/>
        </w:rPr>
        <w:t xml:space="preserve"> Срещат се също в по-ма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лък размер кафяви горски почви, </w:t>
      </w:r>
      <w:r w:rsidRPr="00FB60C7">
        <w:rPr>
          <w:rFonts w:ascii="Times New Roman" w:hAnsi="Times New Roman" w:cs="Times New Roman"/>
          <w:sz w:val="24"/>
          <w:szCs w:val="24"/>
          <w:lang w:val="bg-BG"/>
        </w:rPr>
        <w:t>алувиални, канелено-подзолисти, делувиални и в незначителен размер други почвени типове. Най-плодоро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дните почви са по долините на река </w:t>
      </w:r>
      <w:r w:rsidRPr="00FB60C7">
        <w:rPr>
          <w:rFonts w:ascii="Times New Roman" w:hAnsi="Times New Roman" w:cs="Times New Roman"/>
          <w:sz w:val="24"/>
          <w:szCs w:val="24"/>
          <w:lang w:val="bg-BG"/>
        </w:rPr>
        <w:t xml:space="preserve">Арда и нейните притоци и в северните части на областта на границата с Хасковска област. </w:t>
      </w:r>
    </w:p>
    <w:p w:rsidR="00255280" w:rsidRPr="00227BEE" w:rsidRDefault="00255280" w:rsidP="002E25BD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  <w:r w:rsidRPr="00227BEE">
        <w:rPr>
          <w:rFonts w:ascii="Times New Roman" w:hAnsi="Times New Roman" w:cs="Times New Roman"/>
          <w:sz w:val="24"/>
          <w:szCs w:val="24"/>
        </w:rPr>
        <w:t>На база данни от общинските служби по земеделие в област Кърджали, селскостопанския фонд</w:t>
      </w:r>
      <w:r w:rsidRPr="00227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7BEE">
        <w:rPr>
          <w:rFonts w:ascii="Times New Roman" w:hAnsi="Times New Roman" w:cs="Times New Roman"/>
          <w:sz w:val="24"/>
          <w:szCs w:val="24"/>
        </w:rPr>
        <w:t>на територията на областта е в размер на 1</w:t>
      </w:r>
      <w:r w:rsidRPr="00227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BEE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246</w:t>
      </w:r>
      <w:r w:rsidRPr="00227BEE">
        <w:rPr>
          <w:rFonts w:ascii="Times New Roman" w:hAnsi="Times New Roman" w:cs="Times New Roman"/>
          <w:sz w:val="24"/>
          <w:szCs w:val="24"/>
        </w:rPr>
        <w:t xml:space="preserve"> дка, в това число по общини както следва: Ардино – 131</w:t>
      </w:r>
      <w:r w:rsidRPr="00227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765</w:t>
      </w:r>
      <w:r w:rsidRPr="00227BEE">
        <w:rPr>
          <w:rFonts w:ascii="Times New Roman" w:hAnsi="Times New Roman" w:cs="Times New Roman"/>
          <w:sz w:val="24"/>
          <w:szCs w:val="24"/>
        </w:rPr>
        <w:t xml:space="preserve"> дка, Джебел – 76</w:t>
      </w:r>
      <w:r w:rsidRPr="00227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326 дка, Кирково </w:t>
      </w:r>
      <w:r w:rsidRPr="00227BEE">
        <w:rPr>
          <w:rFonts w:ascii="Times New Roman" w:hAnsi="Times New Roman" w:cs="Times New Roman"/>
          <w:sz w:val="24"/>
          <w:szCs w:val="24"/>
        </w:rPr>
        <w:t>– 200</w:t>
      </w:r>
      <w:r w:rsidRPr="00227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335 </w:t>
      </w:r>
      <w:r w:rsidRPr="00227BEE">
        <w:rPr>
          <w:rFonts w:ascii="Times New Roman" w:hAnsi="Times New Roman" w:cs="Times New Roman"/>
          <w:sz w:val="24"/>
          <w:szCs w:val="24"/>
        </w:rPr>
        <w:t>дка, Крумовград – 383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655</w:t>
      </w:r>
      <w:r w:rsidRPr="00227BEE">
        <w:rPr>
          <w:rFonts w:ascii="Times New Roman" w:hAnsi="Times New Roman" w:cs="Times New Roman"/>
          <w:sz w:val="24"/>
          <w:szCs w:val="24"/>
        </w:rPr>
        <w:t xml:space="preserve"> дка</w:t>
      </w:r>
      <w:r w:rsidRPr="00B73EAA">
        <w:rPr>
          <w:rFonts w:ascii="Times New Roman" w:hAnsi="Times New Roman" w:cs="Times New Roman"/>
          <w:sz w:val="24"/>
          <w:szCs w:val="24"/>
        </w:rPr>
        <w:t>, Кърджали – 227</w:t>
      </w:r>
      <w:r w:rsidRPr="00B7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EAA">
        <w:rPr>
          <w:rFonts w:ascii="Times New Roman" w:hAnsi="Times New Roman" w:cs="Times New Roman"/>
          <w:sz w:val="24"/>
          <w:szCs w:val="24"/>
        </w:rPr>
        <w:t>305 дка, Момчилград – 159</w:t>
      </w:r>
      <w:r w:rsidRPr="00B7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EAA">
        <w:rPr>
          <w:rFonts w:ascii="Times New Roman" w:hAnsi="Times New Roman" w:cs="Times New Roman"/>
          <w:sz w:val="24"/>
          <w:szCs w:val="24"/>
        </w:rPr>
        <w:t>269 дка и Черноочене – 120</w:t>
      </w:r>
      <w:r w:rsidRPr="00B73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EAA">
        <w:rPr>
          <w:rFonts w:ascii="Times New Roman" w:hAnsi="Times New Roman" w:cs="Times New Roman"/>
          <w:sz w:val="24"/>
          <w:szCs w:val="24"/>
        </w:rPr>
        <w:t>59</w:t>
      </w:r>
      <w:r w:rsidRPr="00B73EA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73EAA">
        <w:rPr>
          <w:rFonts w:ascii="Times New Roman" w:hAnsi="Times New Roman" w:cs="Times New Roman"/>
          <w:sz w:val="24"/>
          <w:szCs w:val="24"/>
        </w:rPr>
        <w:t xml:space="preserve"> дка.</w:t>
      </w:r>
      <w:r w:rsidRPr="00227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80" w:rsidRDefault="00255280" w:rsidP="00521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</w:t>
      </w:r>
    </w:p>
    <w:p w:rsidR="00255280" w:rsidRPr="00227BEE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За стопанската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–201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година в област Кърджали с есенници с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а засети 4</w:t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0 дка, от които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00 дка пшеница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85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0</w:t>
      </w:r>
      <w:r w:rsidRPr="00227B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>дка ечемик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В таблици 1 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>е видно изменението на заетите площи с есенници за последните години:</w:t>
      </w:r>
    </w:p>
    <w:p w:rsidR="00255280" w:rsidRDefault="00255280" w:rsidP="009F6B9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</w:p>
    <w:p w:rsidR="00255280" w:rsidRPr="00227BEE" w:rsidRDefault="00255280" w:rsidP="009F6B9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 w:rsidRPr="00227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Таблица 1</w:t>
      </w: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935"/>
        <w:gridCol w:w="934"/>
        <w:gridCol w:w="859"/>
        <w:gridCol w:w="744"/>
        <w:gridCol w:w="750"/>
        <w:gridCol w:w="747"/>
        <w:gridCol w:w="747"/>
        <w:gridCol w:w="747"/>
        <w:gridCol w:w="744"/>
        <w:gridCol w:w="750"/>
      </w:tblGrid>
      <w:tr w:rsidR="00255280" w:rsidRPr="00227BEE">
        <w:tc>
          <w:tcPr>
            <w:tcW w:w="1682" w:type="dxa"/>
            <w:vMerge w:val="restart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4222" w:type="dxa"/>
            <w:gridSpan w:val="5"/>
            <w:vAlign w:val="center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Засети площи пшеница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3735" w:type="dxa"/>
            <w:gridSpan w:val="5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Засети площи ечемик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</w:tr>
      <w:tr w:rsidR="00255280" w:rsidRPr="00227BEE">
        <w:trPr>
          <w:trHeight w:val="284"/>
        </w:trPr>
        <w:tc>
          <w:tcPr>
            <w:tcW w:w="1682" w:type="dxa"/>
            <w:vMerge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85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2016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2018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2016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2018</w:t>
            </w:r>
          </w:p>
        </w:tc>
      </w:tr>
      <w:tr w:rsidR="00255280" w:rsidRPr="00227BEE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Ардино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Джебел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</w:t>
            </w:r>
          </w:p>
        </w:tc>
        <w:tc>
          <w:tcPr>
            <w:tcW w:w="85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Кирково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1A6663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Крумовград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2270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1850</w:t>
            </w:r>
          </w:p>
        </w:tc>
        <w:tc>
          <w:tcPr>
            <w:tcW w:w="85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1580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480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480</w:t>
            </w:r>
          </w:p>
        </w:tc>
        <w:tc>
          <w:tcPr>
            <w:tcW w:w="747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350</w:t>
            </w:r>
          </w:p>
        </w:tc>
      </w:tr>
      <w:tr w:rsidR="00255280" w:rsidRPr="001A6663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2900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1555</w:t>
            </w:r>
          </w:p>
        </w:tc>
        <w:tc>
          <w:tcPr>
            <w:tcW w:w="859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800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210</w:t>
            </w:r>
          </w:p>
        </w:tc>
        <w:tc>
          <w:tcPr>
            <w:tcW w:w="747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255280" w:rsidRPr="00227BEE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Момчилград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9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4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1A6663">
        <w:trPr>
          <w:trHeight w:hRule="exact" w:val="284"/>
        </w:trPr>
        <w:tc>
          <w:tcPr>
            <w:tcW w:w="1682" w:type="dxa"/>
          </w:tcPr>
          <w:p w:rsidR="00255280" w:rsidRPr="00227BEE" w:rsidRDefault="00255280" w:rsidP="00626E13">
            <w:pPr>
              <w:ind w:right="-291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Черноочене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1900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859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1150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DC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  <w:tc>
          <w:tcPr>
            <w:tcW w:w="747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210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</w:tr>
      <w:tr w:rsidR="00255280" w:rsidRPr="001A6663">
        <w:trPr>
          <w:trHeight w:val="397"/>
        </w:trPr>
        <w:tc>
          <w:tcPr>
            <w:tcW w:w="1682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935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7265</w:t>
            </w:r>
          </w:p>
        </w:tc>
        <w:tc>
          <w:tcPr>
            <w:tcW w:w="9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4975</w:t>
            </w:r>
          </w:p>
        </w:tc>
        <w:tc>
          <w:tcPr>
            <w:tcW w:w="859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5077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3600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1430</w:t>
            </w:r>
          </w:p>
        </w:tc>
        <w:tc>
          <w:tcPr>
            <w:tcW w:w="74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1020</w:t>
            </w:r>
          </w:p>
        </w:tc>
        <w:tc>
          <w:tcPr>
            <w:tcW w:w="747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744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720</w:t>
            </w:r>
          </w:p>
        </w:tc>
        <w:tc>
          <w:tcPr>
            <w:tcW w:w="7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850</w:t>
            </w:r>
          </w:p>
        </w:tc>
      </w:tr>
    </w:tbl>
    <w:p w:rsidR="00255280" w:rsidRPr="009F6B91" w:rsidRDefault="00255280" w:rsidP="009F6B9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От изнесените данн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и в таблицата е видно слабо увеличение на заетите площи с есенници 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през стопанската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2017-2018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>година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55280" w:rsidRPr="003553FB" w:rsidRDefault="00255280" w:rsidP="009F6B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280" w:rsidRPr="00227BEE" w:rsidRDefault="00255280" w:rsidP="009F6B9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 xml:space="preserve">Таблица 2- </w:t>
      </w:r>
      <w:r w:rsidRPr="00227BE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пшеница</w:t>
      </w: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083"/>
        <w:gridCol w:w="1134"/>
        <w:gridCol w:w="992"/>
        <w:gridCol w:w="993"/>
        <w:gridCol w:w="850"/>
        <w:gridCol w:w="709"/>
        <w:gridCol w:w="709"/>
        <w:gridCol w:w="850"/>
        <w:gridCol w:w="709"/>
        <w:gridCol w:w="709"/>
      </w:tblGrid>
      <w:tr w:rsidR="00255280" w:rsidRPr="00227BEE">
        <w:tc>
          <w:tcPr>
            <w:tcW w:w="1435" w:type="dxa"/>
            <w:vMerge w:val="restart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5052" w:type="dxa"/>
            <w:gridSpan w:val="5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Производство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686" w:type="dxa"/>
            <w:gridSpan w:val="5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Среден добив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кг/дка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  <w:vMerge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2016</w:t>
            </w:r>
          </w:p>
        </w:tc>
        <w:tc>
          <w:tcPr>
            <w:tcW w:w="99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2018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2016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2018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Ардино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Джебел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32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52,5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26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153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Кирково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Крумовград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544.8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370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570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474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240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877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450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280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255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289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204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Момчилград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4.2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435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Черноочене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437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350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368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233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320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190</w:t>
            </w:r>
          </w:p>
        </w:tc>
      </w:tr>
      <w:tr w:rsidR="00255280" w:rsidRPr="00227BEE">
        <w:trPr>
          <w:trHeight w:val="397"/>
        </w:trPr>
        <w:tc>
          <w:tcPr>
            <w:tcW w:w="1435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083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1895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1184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993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1270,5</w:t>
            </w:r>
          </w:p>
        </w:tc>
        <w:tc>
          <w:tcPr>
            <w:tcW w:w="850" w:type="dxa"/>
            <w:vAlign w:val="center"/>
          </w:tcPr>
          <w:p w:rsidR="00255280" w:rsidRPr="002121D5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263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238</w:t>
            </w:r>
          </w:p>
        </w:tc>
        <w:tc>
          <w:tcPr>
            <w:tcW w:w="850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353</w:t>
            </w:r>
          </w:p>
        </w:tc>
        <w:tc>
          <w:tcPr>
            <w:tcW w:w="709" w:type="dxa"/>
            <w:vAlign w:val="center"/>
          </w:tcPr>
          <w:p w:rsidR="00255280" w:rsidRPr="002121D5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255280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27BEE" w:rsidRDefault="00255280" w:rsidP="009F6B9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Таблица 3</w:t>
      </w:r>
      <w:r w:rsidRPr="00227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 xml:space="preserve"> - Ечемик</w:t>
      </w: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134"/>
        <w:gridCol w:w="992"/>
        <w:gridCol w:w="851"/>
        <w:gridCol w:w="850"/>
        <w:gridCol w:w="851"/>
        <w:gridCol w:w="709"/>
        <w:gridCol w:w="850"/>
        <w:gridCol w:w="709"/>
        <w:gridCol w:w="709"/>
      </w:tblGrid>
      <w:tr w:rsidR="00255280" w:rsidRPr="00227BEE">
        <w:tc>
          <w:tcPr>
            <w:tcW w:w="1668" w:type="dxa"/>
            <w:vMerge w:val="restart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4677" w:type="dxa"/>
            <w:gridSpan w:val="5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Производство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тона</w:t>
            </w:r>
          </w:p>
        </w:tc>
        <w:tc>
          <w:tcPr>
            <w:tcW w:w="3828" w:type="dxa"/>
            <w:gridSpan w:val="5"/>
          </w:tcPr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Среден добив</w:t>
            </w:r>
          </w:p>
          <w:p w:rsidR="00255280" w:rsidRPr="00227BEE" w:rsidRDefault="00255280" w:rsidP="00626E13">
            <w:pPr>
              <w:ind w:right="-2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кг/дка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  <w:vMerge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2016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2018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2014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2015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2017</w:t>
            </w:r>
          </w:p>
        </w:tc>
        <w:tc>
          <w:tcPr>
            <w:tcW w:w="709" w:type="dxa"/>
            <w:vAlign w:val="center"/>
          </w:tcPr>
          <w:p w:rsidR="00255280" w:rsidRPr="002D4F3A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2018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Ардино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Джебел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8.5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DC3B4C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Кирково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Крумовград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106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86,8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221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203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56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58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75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267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Момчилград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</w:tr>
      <w:tr w:rsidR="00255280" w:rsidRPr="00227BEE">
        <w:trPr>
          <w:trHeight w:val="284"/>
        </w:trPr>
        <w:tc>
          <w:tcPr>
            <w:tcW w:w="1668" w:type="dxa"/>
          </w:tcPr>
          <w:p w:rsidR="00255280" w:rsidRPr="00227BEE" w:rsidRDefault="00255280" w:rsidP="00626E13">
            <w:pPr>
              <w:ind w:right="-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Черноочене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37,5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52,5</w:t>
            </w:r>
          </w:p>
        </w:tc>
        <w:tc>
          <w:tcPr>
            <w:tcW w:w="850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36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62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180</w:t>
            </w:r>
          </w:p>
        </w:tc>
      </w:tr>
      <w:tr w:rsidR="00255280" w:rsidRPr="00227BEE">
        <w:trPr>
          <w:trHeight w:val="397"/>
        </w:trPr>
        <w:tc>
          <w:tcPr>
            <w:tcW w:w="1668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850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371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.5</w:t>
            </w:r>
          </w:p>
        </w:tc>
        <w:tc>
          <w:tcPr>
            <w:tcW w:w="1134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215.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992" w:type="dxa"/>
            <w:vAlign w:val="center"/>
          </w:tcPr>
          <w:p w:rsidR="00255280" w:rsidRPr="003553FB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1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197,3</w:t>
            </w:r>
          </w:p>
        </w:tc>
        <w:tc>
          <w:tcPr>
            <w:tcW w:w="850" w:type="dxa"/>
            <w:vAlign w:val="center"/>
          </w:tcPr>
          <w:p w:rsidR="00255280" w:rsidRPr="002121D5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851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260</w:t>
            </w:r>
          </w:p>
        </w:tc>
        <w:tc>
          <w:tcPr>
            <w:tcW w:w="709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221</w:t>
            </w:r>
          </w:p>
        </w:tc>
        <w:tc>
          <w:tcPr>
            <w:tcW w:w="850" w:type="dxa"/>
            <w:vAlign w:val="center"/>
          </w:tcPr>
          <w:p w:rsidR="00255280" w:rsidRPr="00626A3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09" w:type="dxa"/>
            <w:vAlign w:val="center"/>
          </w:tcPr>
          <w:p w:rsidR="00255280" w:rsidRPr="001A6663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274</w:t>
            </w:r>
          </w:p>
        </w:tc>
        <w:tc>
          <w:tcPr>
            <w:tcW w:w="709" w:type="dxa"/>
            <w:vAlign w:val="center"/>
          </w:tcPr>
          <w:p w:rsidR="00255280" w:rsidRPr="002121D5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55280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област Кърджали посевната площ с осно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вните пролетни култури през 2018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г. е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>26562</w:t>
      </w:r>
      <w:r w:rsidRPr="00227BEE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дка. В таблица 4</w:t>
      </w:r>
      <w:r w:rsidRPr="00227BE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са изнесени данни за последните пет години:</w:t>
      </w:r>
    </w:p>
    <w:p w:rsidR="00255280" w:rsidRDefault="00255280" w:rsidP="009F6B91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27BEE" w:rsidRDefault="00255280" w:rsidP="009F6B9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Таблица 4</w:t>
      </w:r>
    </w:p>
    <w:p w:rsidR="00255280" w:rsidRPr="00227BEE" w:rsidRDefault="00255280" w:rsidP="009F6B9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95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7"/>
        <w:gridCol w:w="1417"/>
        <w:gridCol w:w="1417"/>
        <w:gridCol w:w="1417"/>
        <w:gridCol w:w="1417"/>
        <w:gridCol w:w="1417"/>
      </w:tblGrid>
      <w:tr w:rsidR="00255280" w:rsidRPr="00227BEE">
        <w:tc>
          <w:tcPr>
            <w:tcW w:w="2477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Култура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Посевна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площ в дка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2014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Посевна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площ в дка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2015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Посевна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площ в дка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2016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Посевна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площ в дка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Посевна</w:t>
            </w:r>
          </w:p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площ в дка</w:t>
            </w:r>
          </w:p>
          <w:p w:rsidR="00255280" w:rsidRPr="00227BEE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2018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Картофи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9470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8980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8520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8105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Царевица за зърно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1160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930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830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Фасул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1190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1070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1150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1050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Масл. слънчоглед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1020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1600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1590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2550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5. Домати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2390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2640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1780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1670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6. Пипер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5420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6250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5310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3600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7. Дини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448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385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593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227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8. Пъпеши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253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303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1D3B22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312</w:t>
            </w:r>
          </w:p>
        </w:tc>
        <w:tc>
          <w:tcPr>
            <w:tcW w:w="1417" w:type="dxa"/>
            <w:vAlign w:val="center"/>
          </w:tcPr>
          <w:p w:rsidR="00255280" w:rsidRPr="00227BEE" w:rsidRDefault="00255280" w:rsidP="00626E13">
            <w:pPr>
              <w:ind w:left="7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165</w:t>
            </w:r>
          </w:p>
        </w:tc>
      </w:tr>
      <w:tr w:rsidR="00255280" w:rsidRPr="00227BEE">
        <w:trPr>
          <w:trHeight w:val="284"/>
        </w:trPr>
        <w:tc>
          <w:tcPr>
            <w:tcW w:w="2477" w:type="dxa"/>
            <w:vAlign w:val="center"/>
          </w:tcPr>
          <w:p w:rsidR="00255280" w:rsidRPr="006260A5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9. Ориенталски тютюн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23534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15780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6700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6035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626E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8365</w:t>
            </w:r>
          </w:p>
        </w:tc>
      </w:tr>
      <w:tr w:rsidR="00255280" w:rsidRPr="00227BEE">
        <w:trPr>
          <w:trHeight w:val="397"/>
        </w:trPr>
        <w:tc>
          <w:tcPr>
            <w:tcW w:w="2477" w:type="dxa"/>
            <w:vAlign w:val="center"/>
          </w:tcPr>
          <w:p w:rsidR="00255280" w:rsidRPr="006260A5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45465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fldChar w:fldCharType="begin"/>
            </w: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instrText xml:space="preserve"> =SUM(ABOVE) </w:instrText>
            </w: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6260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bg-BG"/>
              </w:rPr>
              <w:t>38778</w:t>
            </w:r>
            <w:r w:rsidRPr="0062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28983</w:t>
            </w:r>
          </w:p>
        </w:tc>
        <w:tc>
          <w:tcPr>
            <w:tcW w:w="1417" w:type="dxa"/>
            <w:vAlign w:val="center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26220</w:t>
            </w:r>
          </w:p>
        </w:tc>
        <w:tc>
          <w:tcPr>
            <w:tcW w:w="1417" w:type="dxa"/>
            <w:vAlign w:val="center"/>
          </w:tcPr>
          <w:p w:rsidR="00255280" w:rsidRPr="002121D5" w:rsidRDefault="00255280" w:rsidP="00626E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26562</w:t>
            </w:r>
          </w:p>
        </w:tc>
      </w:tr>
    </w:tbl>
    <w:p w:rsidR="00255280" w:rsidRPr="00B155B8" w:rsidRDefault="00255280" w:rsidP="00E641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 xml:space="preserve">      </w:t>
      </w:r>
      <w:r w:rsidRPr="00984C08">
        <w:rPr>
          <w:rFonts w:ascii="Times New Roman" w:hAnsi="Times New Roman" w:cs="Times New Roman"/>
          <w:color w:val="000000"/>
          <w:sz w:val="24"/>
          <w:szCs w:val="24"/>
          <w:lang w:val="bg-BG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дно от таблицата е, че през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4C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год. в област Кърджали площите засети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пролетни култури са увеличени с 342</w:t>
      </w:r>
      <w:r w:rsidRPr="00984C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дка.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Увеличението е основно при ориенталския тютюн - 2330 дка. Като основна причина са очакванията на хората за продължаване на прилагане на преходна национална помощ за тютюн, както също и възможна промяна в референтния период. Отчитаме 1710 дка намаление на засетите площи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 пипер, както също и при картофите с 415 дка. </w:t>
      </w:r>
      <w:r w:rsidRPr="00984C08">
        <w:rPr>
          <w:rFonts w:ascii="Times New Roman" w:hAnsi="Times New Roman" w:cs="Times New Roman"/>
          <w:color w:val="000000"/>
          <w:sz w:val="24"/>
          <w:szCs w:val="24"/>
          <w:lang w:val="bg-BG"/>
        </w:rPr>
        <w:t>Като основни причини за намаляването на засетите площи са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  <w:r w:rsidRPr="00984C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демографски/ намаляване на жителите по селата, младите хора търсят по-добри алтернативни източници на доходи/, икономически /високи разходи и ниска изкупна цена на произведената продукция/. Възможността на земеделските стопани за участие в схемите по директни плащания, както и по схемите и мерките по ПРСР доведе до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промени в отглежданите култури, както също и преориентиране на стопанствата от </w:t>
      </w:r>
      <w:r w:rsidRPr="00B155B8">
        <w:rPr>
          <w:rFonts w:ascii="Times New Roman" w:hAnsi="Times New Roman" w:cs="Times New Roman"/>
          <w:color w:val="000000"/>
          <w:sz w:val="24"/>
          <w:szCs w:val="24"/>
          <w:lang w:val="bg-BG"/>
        </w:rPr>
        <w:t>растениевъдни към животновъдни дейности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255280" w:rsidRDefault="00255280" w:rsidP="00F203F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55280" w:rsidRPr="00227BEE" w:rsidRDefault="00255280" w:rsidP="00521B7D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таблица 5</w:t>
      </w:r>
      <w:r w:rsidRPr="00227BEE">
        <w:rPr>
          <w:rFonts w:ascii="Times New Roman" w:hAnsi="Times New Roman" w:cs="Times New Roman"/>
          <w:color w:val="000000"/>
          <w:sz w:val="24"/>
          <w:szCs w:val="24"/>
        </w:rPr>
        <w:t xml:space="preserve"> са изнесени данните за получената продукция от пролетни култури през отчетния период:</w:t>
      </w:r>
    </w:p>
    <w:p w:rsidR="00255280" w:rsidRPr="00227BEE" w:rsidRDefault="00255280" w:rsidP="00EF4D8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55280" w:rsidRDefault="00255280" w:rsidP="00521B7D">
      <w:pPr>
        <w:pStyle w:val="a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Таблица 5</w:t>
      </w:r>
    </w:p>
    <w:p w:rsidR="00255280" w:rsidRDefault="00255280" w:rsidP="002426F7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2426F7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FE403C" w:rsidRDefault="00255280" w:rsidP="002426F7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19"/>
        <w:gridCol w:w="2319"/>
        <w:gridCol w:w="2319"/>
      </w:tblGrid>
      <w:tr w:rsidR="00255280" w:rsidRPr="00227BEE">
        <w:tc>
          <w:tcPr>
            <w:tcW w:w="2336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Култура</w:t>
            </w:r>
          </w:p>
        </w:tc>
        <w:tc>
          <w:tcPr>
            <w:tcW w:w="231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Засадени площи</w:t>
            </w:r>
          </w:p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231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Получена продукция</w:t>
            </w:r>
          </w:p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тона</w:t>
            </w:r>
          </w:p>
        </w:tc>
        <w:tc>
          <w:tcPr>
            <w:tcW w:w="2319" w:type="dxa"/>
            <w:vAlign w:val="center"/>
          </w:tcPr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Среден добив</w:t>
            </w:r>
          </w:p>
          <w:p w:rsidR="00255280" w:rsidRPr="00227BEE" w:rsidRDefault="00255280" w:rsidP="0062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кг/дка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1. Пипер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5420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8921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1646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6250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9575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1532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</w:t>
            </w:r>
          </w:p>
        </w:tc>
        <w:tc>
          <w:tcPr>
            <w:tcW w:w="2319" w:type="dxa"/>
          </w:tcPr>
          <w:p w:rsidR="00255280" w:rsidRPr="008B3E0F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5310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9924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1869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3600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5544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1540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2. Домати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2390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1689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2640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2212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838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1780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2236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01.12.2018 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1670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1562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935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3. Картофи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9470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10190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1076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8980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8684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967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</w:t>
            </w:r>
          </w:p>
        </w:tc>
        <w:tc>
          <w:tcPr>
            <w:tcW w:w="2319" w:type="dxa"/>
          </w:tcPr>
          <w:p w:rsidR="00255280" w:rsidRPr="00FE403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8520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10471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1229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8105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8356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1031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4. Дини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448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391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873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385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147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382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593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448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755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227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45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198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5. Пъпеши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253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101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399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303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88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290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19" w:type="dxa"/>
          </w:tcPr>
          <w:p w:rsidR="00255280" w:rsidRPr="00FE403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312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99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165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63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380</w:t>
            </w:r>
          </w:p>
        </w:tc>
      </w:tr>
      <w:tr w:rsidR="00255280" w:rsidRPr="00227BEE">
        <w:trPr>
          <w:trHeight w:val="208"/>
        </w:trPr>
        <w:tc>
          <w:tcPr>
            <w:tcW w:w="2336" w:type="dxa"/>
          </w:tcPr>
          <w:p w:rsidR="00255280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6. Тютюн ориент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23534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2895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123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15780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1767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112</w:t>
            </w:r>
          </w:p>
        </w:tc>
      </w:tr>
      <w:tr w:rsidR="00255280" w:rsidRPr="00227BEE">
        <w:tc>
          <w:tcPr>
            <w:tcW w:w="2336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6700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771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115</w:t>
            </w:r>
          </w:p>
        </w:tc>
      </w:tr>
      <w:tr w:rsidR="00255280" w:rsidRPr="00227BEE">
        <w:tc>
          <w:tcPr>
            <w:tcW w:w="2336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6035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760</w:t>
            </w:r>
          </w:p>
        </w:tc>
        <w:tc>
          <w:tcPr>
            <w:tcW w:w="2319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126</w:t>
            </w:r>
          </w:p>
        </w:tc>
      </w:tr>
      <w:tr w:rsidR="00255280" w:rsidRPr="00227BEE">
        <w:tc>
          <w:tcPr>
            <w:tcW w:w="2336" w:type="dxa"/>
          </w:tcPr>
          <w:p w:rsidR="00255280" w:rsidRPr="006260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  <w:r w:rsidRPr="006260A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0A5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8365</w:t>
            </w:r>
          </w:p>
        </w:tc>
        <w:tc>
          <w:tcPr>
            <w:tcW w:w="2319" w:type="dxa"/>
          </w:tcPr>
          <w:p w:rsidR="00255280" w:rsidRPr="006260A5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1196</w:t>
            </w:r>
          </w:p>
        </w:tc>
        <w:tc>
          <w:tcPr>
            <w:tcW w:w="2319" w:type="dxa"/>
          </w:tcPr>
          <w:p w:rsidR="00255280" w:rsidRPr="006260A5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143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7. Фасул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1190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1070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72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319" w:type="dxa"/>
          </w:tcPr>
          <w:p w:rsidR="00255280" w:rsidRPr="009B0B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930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134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1050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129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123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8. Слънчоглед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1020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255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1600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186</w:t>
            </w:r>
          </w:p>
        </w:tc>
        <w:tc>
          <w:tcPr>
            <w:tcW w:w="2319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116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319" w:type="dxa"/>
          </w:tcPr>
          <w:p w:rsidR="00255280" w:rsidRPr="009B0BA5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2319" w:type="dxa"/>
          </w:tcPr>
          <w:p w:rsidR="00255280" w:rsidRPr="00626A33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1590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293</w:t>
            </w:r>
          </w:p>
        </w:tc>
        <w:tc>
          <w:tcPr>
            <w:tcW w:w="2319" w:type="dxa"/>
          </w:tcPr>
          <w:p w:rsidR="00255280" w:rsidRPr="0003326C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184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2550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395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155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9.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7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01.12.2014 год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1116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314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281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01.12.2015 год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1250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340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272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1805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542</w:t>
            </w:r>
          </w:p>
        </w:tc>
        <w:tc>
          <w:tcPr>
            <w:tcW w:w="2319" w:type="dxa"/>
          </w:tcPr>
          <w:p w:rsidR="00255280" w:rsidRPr="00227BEE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01.12.2017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1F7AA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1150</w:t>
            </w:r>
          </w:p>
        </w:tc>
        <w:tc>
          <w:tcPr>
            <w:tcW w:w="2319" w:type="dxa"/>
          </w:tcPr>
          <w:p w:rsidR="00255280" w:rsidRPr="001F7AA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429</w:t>
            </w:r>
          </w:p>
        </w:tc>
        <w:tc>
          <w:tcPr>
            <w:tcW w:w="2319" w:type="dxa"/>
          </w:tcPr>
          <w:p w:rsidR="00255280" w:rsidRPr="001F7AA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373</w:t>
            </w:r>
          </w:p>
        </w:tc>
      </w:tr>
      <w:tr w:rsidR="00255280" w:rsidRPr="00227BEE">
        <w:tc>
          <w:tcPr>
            <w:tcW w:w="2336" w:type="dxa"/>
          </w:tcPr>
          <w:p w:rsidR="00255280" w:rsidRPr="00227BEE" w:rsidRDefault="00255280" w:rsidP="001D3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01.12.2018</w:t>
            </w:r>
            <w:r w:rsidRPr="00227BE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830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293</w:t>
            </w:r>
          </w:p>
        </w:tc>
        <w:tc>
          <w:tcPr>
            <w:tcW w:w="2319" w:type="dxa"/>
          </w:tcPr>
          <w:p w:rsidR="00255280" w:rsidRPr="0003326C" w:rsidRDefault="00255280" w:rsidP="0062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353</w:t>
            </w:r>
          </w:p>
        </w:tc>
      </w:tr>
    </w:tbl>
    <w:p w:rsidR="00255280" w:rsidRDefault="00255280" w:rsidP="0009777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09777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27BEE" w:rsidRDefault="00255280" w:rsidP="00521B7D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521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5280" w:rsidRPr="003A209A" w:rsidRDefault="00255280" w:rsidP="00521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 на получените средни добиви могат да се разграничат два фактора, които оказват влияние върху тях:</w:t>
      </w:r>
    </w:p>
    <w:p w:rsidR="00255280" w:rsidRPr="003A209A" w:rsidRDefault="00255280" w:rsidP="00521B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 климатичен – изминалата стопанска година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 сравнително благоприятна по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тношение на агроекологичния фон;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255280" w:rsidRPr="003A209A" w:rsidRDefault="00255280" w:rsidP="00521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 култура на земеделие – производителите от областта по финансови причини или от липса на професионализъм, пренебрегват някои от основните моменти – прилагане на правилен сеитбооборот, избор на подходящ сортов състав, система на почвообработка, балансирано торене и т.н., което естествено се отразява на крайния резултат.</w:t>
      </w:r>
    </w:p>
    <w:p w:rsidR="00255280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област 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>Кърджали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развива екстензивно земеделие - многобройни дребни частни стопанства, които обработват малки по размер площи и произвеждат продукция с висока себестойност. Характерно за производителите от областта е, че работят със собствени средства. 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>Липсата на з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емеделски кооперации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>, групи производители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арендатори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>, както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наличие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>то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голям брой наследници на имоти и липса на делби между тях</w:t>
      </w:r>
      <w:r w:rsidRPr="003A209A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правят невъзможен процеса по комасация на земеделските земи в регион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255280" w:rsidRPr="001E2C6E" w:rsidRDefault="00255280" w:rsidP="00DB199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През 2018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г. в жътвата са участвали </w:t>
      </w: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Pr="001E2C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бр. зърнокомбайни от наличните 30бр. От наличните общо 59 6р сламопреси в областта в кампанията участваха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30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броя, което прави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51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%. </w:t>
      </w:r>
    </w:p>
    <w:p w:rsidR="00255280" w:rsidRPr="00227BEE" w:rsidRDefault="00255280" w:rsidP="00DB199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пролетната  кампания са участвали </w:t>
      </w:r>
      <w:r w:rsidRPr="001E2C6E">
        <w:rPr>
          <w:rFonts w:ascii="Times New Roman" w:hAnsi="Times New Roman" w:cs="Times New Roman"/>
          <w:sz w:val="24"/>
          <w:szCs w:val="24"/>
          <w:lang w:val="bg-BG"/>
        </w:rPr>
        <w:t>940</w:t>
      </w:r>
      <w:r w:rsidRPr="001E2C6E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>броя колесни трактори (76% от наличните), тракторни плугове –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526 броя (84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% 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т наличните), дискови брани – 64 броя (95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наличните), култиватори – 96</w:t>
      </w:r>
      <w:r w:rsidRPr="001E2C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броя, (97% от наличните).</w:t>
      </w:r>
    </w:p>
    <w:p w:rsidR="00255280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DB1995" w:rsidRDefault="00255280" w:rsidP="00294F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Default="00255280" w:rsidP="005B1EB7">
      <w:pPr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През стопанската 2018/2019</w:t>
      </w:r>
      <w:r w:rsidRPr="004D0C76">
        <w:rPr>
          <w:rFonts w:ascii="Times New Roman" w:hAnsi="Times New Roman" w:cs="Times New Roman"/>
          <w:sz w:val="24"/>
          <w:szCs w:val="24"/>
          <w:lang w:val="bg-BG"/>
        </w:rPr>
        <w:t xml:space="preserve"> г. , процедура по създаване на масиви за ползване на земеделски земи и изготвяне на споразумения между собственици и/или ползватели е проведена на територията на </w:t>
      </w:r>
      <w:r w:rsidRPr="004D0C76">
        <w:rPr>
          <w:rFonts w:ascii="Times New Roman" w:hAnsi="Times New Roman" w:cs="Times New Roman"/>
          <w:b/>
          <w:bCs/>
          <w:sz w:val="24"/>
          <w:szCs w:val="24"/>
          <w:lang w:val="bg-BG"/>
        </w:rPr>
        <w:t>3 общин</w:t>
      </w:r>
      <w:r w:rsidRPr="003C475C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община Крумовград, община Кърджали и община Черноочене.</w:t>
      </w:r>
    </w:p>
    <w:p w:rsidR="00255280" w:rsidRPr="00140CBC" w:rsidRDefault="00255280" w:rsidP="005B1E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0CBC">
        <w:rPr>
          <w:rFonts w:ascii="Times New Roman" w:hAnsi="Times New Roman" w:cs="Times New Roman"/>
          <w:sz w:val="24"/>
          <w:szCs w:val="24"/>
          <w:lang w:val="bg-BG"/>
        </w:rPr>
        <w:t xml:space="preserve">Проведени са </w:t>
      </w:r>
      <w:r>
        <w:rPr>
          <w:rFonts w:ascii="Times New Roman" w:hAnsi="Times New Roman" w:cs="Times New Roman"/>
          <w:sz w:val="24"/>
          <w:szCs w:val="24"/>
          <w:lang w:val="bg-BG"/>
        </w:rPr>
        <w:t>общо 40</w:t>
      </w:r>
      <w:r w:rsidRPr="00140CBC">
        <w:rPr>
          <w:rFonts w:ascii="Times New Roman" w:hAnsi="Times New Roman" w:cs="Times New Roman"/>
          <w:sz w:val="24"/>
          <w:szCs w:val="24"/>
          <w:lang w:val="bg-BG"/>
        </w:rPr>
        <w:t xml:space="preserve"> бр. заседания на комисиите по чл. 37в, ал. 1 на които са присъствали со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140CBC">
        <w:rPr>
          <w:rFonts w:ascii="Times New Roman" w:hAnsi="Times New Roman" w:cs="Times New Roman"/>
          <w:sz w:val="24"/>
          <w:szCs w:val="24"/>
          <w:lang w:val="bg-BG"/>
        </w:rPr>
        <w:t>ственици, ползватели и други заинтересовани лица. За всяко заседание на комисиите по чл. 37, ал. е със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140CBC">
        <w:rPr>
          <w:rFonts w:ascii="Times New Roman" w:hAnsi="Times New Roman" w:cs="Times New Roman"/>
          <w:sz w:val="24"/>
          <w:szCs w:val="24"/>
          <w:lang w:val="bg-BG"/>
        </w:rPr>
        <w:t xml:space="preserve">авен протокол. </w:t>
      </w:r>
    </w:p>
    <w:p w:rsidR="00255280" w:rsidRDefault="00255280" w:rsidP="005B1E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7C54">
        <w:rPr>
          <w:rFonts w:ascii="Times New Roman" w:hAnsi="Times New Roman" w:cs="Times New Roman"/>
          <w:sz w:val="24"/>
          <w:szCs w:val="24"/>
          <w:lang w:val="bg-BG"/>
        </w:rPr>
        <w:t xml:space="preserve">Желание  за участие в споразумение за заявили </w:t>
      </w:r>
      <w:r w:rsidRPr="00F345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общо 66</w:t>
      </w:r>
      <w:r w:rsidRPr="00F345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34524">
        <w:rPr>
          <w:rFonts w:ascii="Times New Roman" w:hAnsi="Times New Roman" w:cs="Times New Roman"/>
          <w:b/>
          <w:bCs/>
          <w:sz w:val="24"/>
          <w:szCs w:val="24"/>
          <w:lang w:val="bg-BG"/>
        </w:rPr>
        <w:t>бр.</w:t>
      </w:r>
      <w:r w:rsidRPr="00787C5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собственици и/или ползватели</w:t>
      </w:r>
      <w:r w:rsidRPr="00787C5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Сключените доброволни споразумения за ползване са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33</w:t>
      </w:r>
      <w:r w:rsidRPr="0021389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 </w:t>
      </w:r>
      <w:r w:rsidRPr="00B62B13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обща площ 26027.673 </w:t>
      </w:r>
      <w:r w:rsidRPr="0021389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дка.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50AA0">
        <w:rPr>
          <w:rFonts w:ascii="Times New Roman" w:hAnsi="Times New Roman" w:cs="Times New Roman"/>
          <w:sz w:val="24"/>
          <w:szCs w:val="24"/>
          <w:lang w:val="bg-BG"/>
        </w:rPr>
        <w:t>Изготвен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50A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687D7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687D7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на  </w:t>
      </w:r>
      <w:r w:rsidRPr="000D6523">
        <w:rPr>
          <w:rFonts w:ascii="Times New Roman" w:hAnsi="Times New Roman" w:cs="Times New Roman"/>
          <w:sz w:val="24"/>
          <w:szCs w:val="24"/>
          <w:lang w:val="ru-RU"/>
        </w:rPr>
        <w:t>разпределение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523">
        <w:rPr>
          <w:rFonts w:ascii="Times New Roman" w:hAnsi="Times New Roman" w:cs="Times New Roman"/>
          <w:sz w:val="24"/>
          <w:szCs w:val="24"/>
          <w:lang w:val="ru-RU"/>
        </w:rPr>
        <w:t>масивите за ползване</w:t>
      </w:r>
      <w:r w:rsidRPr="00150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87D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обща площ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469.033</w:t>
      </w:r>
      <w:r w:rsidRPr="00687D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255280" w:rsidRDefault="00255280" w:rsidP="005B1EB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територията на област Кърджали</w:t>
      </w:r>
      <w:r w:rsidRPr="006747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издадени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общо 40</w:t>
      </w:r>
      <w:r w:rsidRPr="0053520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 заповеди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реда на чл. 37в, ал. 4 от ЗСПЗЗ. </w:t>
      </w:r>
      <w:r w:rsidRPr="0003452F">
        <w:rPr>
          <w:rFonts w:ascii="Times New Roman" w:hAnsi="Times New Roman" w:cs="Times New Roman"/>
          <w:sz w:val="24"/>
          <w:szCs w:val="24"/>
          <w:lang w:val="bg-BG"/>
        </w:rPr>
        <w:t xml:space="preserve">Площ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включените </w:t>
      </w:r>
      <w:r w:rsidRPr="0003452F">
        <w:rPr>
          <w:rFonts w:ascii="Times New Roman" w:hAnsi="Times New Roman" w:cs="Times New Roman"/>
          <w:sz w:val="24"/>
          <w:szCs w:val="24"/>
          <w:lang w:val="bg-BG"/>
        </w:rPr>
        <w:t>имоти по чл. 37в, ал.3, т.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45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общо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26496.706</w:t>
      </w:r>
      <w:r w:rsidRPr="000345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дка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255280" w:rsidRPr="00A43CE0" w:rsidRDefault="00255280" w:rsidP="005B1E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3CE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чл.3, ал. 4 от Устройствения правилник на областните дирекции „Земеделие“, чл. 37в, ал. 4 от ЗСПЗЗ, във връзка с чл. 37в, ал. 16 от ЗСПЗЗ и изтекъл едномесечен срок за приемане на решение от Общински съвет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A43CE0">
        <w:rPr>
          <w:rFonts w:ascii="Times New Roman" w:hAnsi="Times New Roman" w:cs="Times New Roman"/>
          <w:sz w:val="24"/>
          <w:szCs w:val="24"/>
          <w:lang w:val="bg-BG"/>
        </w:rPr>
        <w:t xml:space="preserve"> Черноочене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искане на директора на ОД „Земеделие“ за предоставяне за ползване на имотите – полски пътища, включени в заповедта са издадени заповеди за 12 землища на територията на община Черноочене.</w:t>
      </w:r>
    </w:p>
    <w:p w:rsidR="00255280" w:rsidRDefault="00255280" w:rsidP="005B1E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Издадени са 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0345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 заповеди </w:t>
      </w:r>
      <w:r>
        <w:rPr>
          <w:rFonts w:ascii="Times New Roman" w:hAnsi="Times New Roman" w:cs="Times New Roman"/>
          <w:sz w:val="24"/>
          <w:szCs w:val="24"/>
          <w:lang w:val="bg-BG"/>
        </w:rPr>
        <w:t>за прекратяване процедурата изготвяне на споразумения между собственици и/или ползватели за създаване на масиви за ползване на земеделски земи.</w:t>
      </w:r>
    </w:p>
    <w:p w:rsidR="00255280" w:rsidRDefault="00255280" w:rsidP="005B1E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Изготвени са искания до кметовете на съответните общини за п</w:t>
      </w:r>
      <w:r w:rsidRPr="00896CF7">
        <w:rPr>
          <w:rFonts w:ascii="Times New Roman" w:hAnsi="Times New Roman" w:cs="Times New Roman"/>
          <w:sz w:val="24"/>
          <w:szCs w:val="24"/>
          <w:lang w:val="bg-BG"/>
        </w:rPr>
        <w:t>редоставяне на имотите – полски пътища, включени в масивите за ползване по чл.37в, ал.4 от 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5280" w:rsidRDefault="00255280" w:rsidP="00013B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Pr="00097770" w:rsidRDefault="00255280" w:rsidP="00521B7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6C1A91" w:rsidRDefault="00255280" w:rsidP="00521B7D">
      <w:pPr>
        <w:tabs>
          <w:tab w:val="left" w:pos="11070"/>
        </w:tabs>
        <w:ind w:firstLine="7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6C1A91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ІІ. ЖИВОТНОВЪДСТВО</w:t>
      </w:r>
    </w:p>
    <w:p w:rsidR="00255280" w:rsidRPr="006C1A91" w:rsidRDefault="00255280" w:rsidP="00521B7D">
      <w:pPr>
        <w:ind w:firstLine="720"/>
        <w:jc w:val="both"/>
        <w:rPr>
          <w:rFonts w:ascii="Times New Roman" w:hAnsi="Times New Roman" w:cs="Times New Roman"/>
          <w:color w:val="00B050"/>
          <w:sz w:val="24"/>
          <w:szCs w:val="24"/>
          <w:lang w:val="bg-BG"/>
        </w:rPr>
      </w:pPr>
    </w:p>
    <w:p w:rsidR="00255280" w:rsidRPr="005B3E96" w:rsidRDefault="00255280" w:rsidP="00521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 xml:space="preserve">Животновъдството е основен поминък на 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земеделските стопани</w:t>
      </w:r>
      <w:r w:rsidRPr="005B3E96">
        <w:rPr>
          <w:rFonts w:ascii="Times New Roman" w:hAnsi="Times New Roman" w:cs="Times New Roman"/>
          <w:sz w:val="24"/>
          <w:szCs w:val="24"/>
          <w:lang w:val="ru-RU"/>
        </w:rPr>
        <w:t xml:space="preserve"> от Кърджалийска област. Отглеждат се предимно крави за мляко и месо, добре развито е и овцевъдството. По брой говеда областта се нарежда на второ място в страната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5280" w:rsidRPr="005B3E96" w:rsidRDefault="00255280" w:rsidP="00521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На територията на област Кърджали към 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г. се отглеждат следните видове и брой животни, както и птици по данни, предоставени от общинските служби по земеделие.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Pr="006260A5" w:rsidRDefault="00255280" w:rsidP="00521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6260A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6</w:t>
      </w:r>
    </w:p>
    <w:p w:rsidR="00255280" w:rsidRPr="006260A5" w:rsidRDefault="00255280" w:rsidP="00521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W w:w="9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1010"/>
        <w:gridCol w:w="1255"/>
        <w:gridCol w:w="1276"/>
        <w:gridCol w:w="1134"/>
        <w:gridCol w:w="1276"/>
        <w:gridCol w:w="1197"/>
      </w:tblGrid>
      <w:tr w:rsidR="00255280" w:rsidRPr="006260A5" w:rsidTr="00C8736B">
        <w:tc>
          <w:tcPr>
            <w:tcW w:w="2379" w:type="dxa"/>
          </w:tcPr>
          <w:p w:rsidR="00255280" w:rsidRPr="006260A5" w:rsidRDefault="00255280" w:rsidP="00292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Видове животни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2014г.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2015г.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2016г.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</w:t>
            </w: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197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2018</w:t>
            </w: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Говеда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51805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51343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69651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71884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68994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т. ч. крави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38224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38210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55720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57500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55195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Овце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94520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80887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96570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90543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87162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т. ч. овце–майки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72028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72032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93000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82 000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78445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Кози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6466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5554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7458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7250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7188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т. ч. кози–майки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4611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4594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6800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6500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6550</w:t>
            </w: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Свине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т. ч. свине–майки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5280" w:rsidRPr="006260A5" w:rsidTr="00C8736B">
        <w:trPr>
          <w:trHeight w:hRule="exact"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Птици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хил. 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260.5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260,8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286,00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177, 000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285.00</w:t>
            </w:r>
          </w:p>
        </w:tc>
      </w:tr>
      <w:tr w:rsidR="00255280" w:rsidRPr="006260A5" w:rsidTr="00C8736B">
        <w:tc>
          <w:tcPr>
            <w:tcW w:w="2379" w:type="dxa"/>
          </w:tcPr>
          <w:p w:rsidR="00255280" w:rsidRPr="006260A5" w:rsidRDefault="00255280" w:rsidP="002929D0">
            <w:pPr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т. ч. кокошки–носачки</w:t>
            </w:r>
          </w:p>
        </w:tc>
        <w:tc>
          <w:tcPr>
            <w:tcW w:w="1010" w:type="dxa"/>
            <w:vAlign w:val="bottom"/>
          </w:tcPr>
          <w:p w:rsidR="00255280" w:rsidRPr="006260A5" w:rsidRDefault="00255280" w:rsidP="002929D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хил. бр</w:t>
            </w:r>
          </w:p>
        </w:tc>
        <w:tc>
          <w:tcPr>
            <w:tcW w:w="1255" w:type="dxa"/>
          </w:tcPr>
          <w:p w:rsidR="00255280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245.1</w:t>
            </w:r>
          </w:p>
        </w:tc>
        <w:tc>
          <w:tcPr>
            <w:tcW w:w="1276" w:type="dxa"/>
          </w:tcPr>
          <w:p w:rsidR="00255280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245,3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255280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160,0</w:t>
            </w:r>
          </w:p>
        </w:tc>
        <w:tc>
          <w:tcPr>
            <w:tcW w:w="1197" w:type="dxa"/>
          </w:tcPr>
          <w:p w:rsidR="00255280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280.00</w:t>
            </w:r>
          </w:p>
        </w:tc>
      </w:tr>
      <w:tr w:rsidR="00255280" w:rsidRPr="006260A5" w:rsidTr="00C8736B">
        <w:trPr>
          <w:trHeight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бройлери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хил. 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3.8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5280" w:rsidRPr="006260A5" w:rsidTr="00C8736B">
        <w:trPr>
          <w:trHeight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Зайци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1009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212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1524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2626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2551</w:t>
            </w:r>
          </w:p>
        </w:tc>
      </w:tr>
      <w:tr w:rsidR="00255280" w:rsidRPr="006260A5" w:rsidTr="00C8736B">
        <w:trPr>
          <w:trHeight w:val="550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т. ч. зайкини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1009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212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1524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2626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2551</w:t>
            </w:r>
          </w:p>
        </w:tc>
      </w:tr>
      <w:tr w:rsidR="00255280" w:rsidRPr="006260A5" w:rsidTr="00C8736B">
        <w:trPr>
          <w:trHeight w:val="288"/>
        </w:trPr>
        <w:tc>
          <w:tcPr>
            <w:tcW w:w="2379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Пчелни семейства</w:t>
            </w:r>
          </w:p>
        </w:tc>
        <w:tc>
          <w:tcPr>
            <w:tcW w:w="1010" w:type="dxa"/>
          </w:tcPr>
          <w:p w:rsidR="00255280" w:rsidRPr="006260A5" w:rsidRDefault="00255280" w:rsidP="00292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55" w:type="dxa"/>
          </w:tcPr>
          <w:p w:rsidR="00255280" w:rsidRPr="006260A5" w:rsidRDefault="00255280" w:rsidP="001D3B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15644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15603</w:t>
            </w:r>
          </w:p>
        </w:tc>
        <w:tc>
          <w:tcPr>
            <w:tcW w:w="1134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60A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16677</w:t>
            </w:r>
          </w:p>
        </w:tc>
        <w:tc>
          <w:tcPr>
            <w:tcW w:w="1276" w:type="dxa"/>
          </w:tcPr>
          <w:p w:rsidR="00255280" w:rsidRPr="006260A5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16000</w:t>
            </w:r>
          </w:p>
        </w:tc>
        <w:tc>
          <w:tcPr>
            <w:tcW w:w="1197" w:type="dxa"/>
          </w:tcPr>
          <w:p w:rsidR="00255280" w:rsidRPr="006260A5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15421</w:t>
            </w:r>
          </w:p>
        </w:tc>
      </w:tr>
    </w:tbl>
    <w:p w:rsidR="00255280" w:rsidRPr="005B3E96" w:rsidRDefault="00255280" w:rsidP="00521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Pr="005B3E96" w:rsidRDefault="00255280" w:rsidP="005F4DA3">
      <w:pPr>
        <w:ind w:left="-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712A54" w:rsidP="00E358F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178435</wp:posOffset>
            </wp:positionV>
            <wp:extent cx="5701030" cy="3303905"/>
            <wp:effectExtent l="0" t="0" r="4445" b="3810"/>
            <wp:wrapSquare wrapText="right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Pr="005B3E96" w:rsidRDefault="00255280" w:rsidP="008F24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От изнесените данни </w:t>
      </w:r>
      <w:r>
        <w:rPr>
          <w:rFonts w:ascii="Times New Roman" w:hAnsi="Times New Roman" w:cs="Times New Roman"/>
          <w:sz w:val="24"/>
          <w:szCs w:val="24"/>
          <w:lang w:val="bg-BG"/>
        </w:rPr>
        <w:t>през 2018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год.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видно намаление при броя на говедата, в т.ч. крави, при овцете и козите. Схемите и мерките по директни плащания, както също и ПРСР, оказват влияние на броя на  животните.  </w:t>
      </w:r>
    </w:p>
    <w:p w:rsidR="00255280" w:rsidRPr="005B3E96" w:rsidRDefault="00255280" w:rsidP="00521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>Говедовъдст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вото в областта е 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раздробено. Преобладават стопанствата, в които се отглеждат 1 – 2 кра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 от смесена порода. Като основна причина за намаляване на броя на говедата 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са ниските изкупни цени на млякото.</w:t>
      </w:r>
    </w:p>
    <w:p w:rsidR="00255280" w:rsidRPr="0050406C" w:rsidRDefault="00255280" w:rsidP="005040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>Овцевъдството в нашия регион е традиционен отрасъл. Има създадени две сдружения на овцевъдите. Проблемите пред отрасъла са високите цени на фуражите и ниските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изкупни цени на живите агнета.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ab/>
        <w:t>Многобройните дребни фермери работят изолирано един от друг</w:t>
      </w:r>
      <w:r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5B3E96">
        <w:rPr>
          <w:rFonts w:ascii="Times New Roman" w:hAnsi="Times New Roman" w:cs="Times New Roman"/>
          <w:sz w:val="24"/>
          <w:szCs w:val="24"/>
          <w:lang w:val="ru-RU"/>
        </w:rPr>
        <w:t>а този етап не е осъзната необходимостта от обединение на усилията им във фермерски общности за съвместно отстояване на интересите им.</w:t>
      </w:r>
    </w:p>
    <w:p w:rsidR="00255280" w:rsidRPr="0050406C" w:rsidRDefault="00255280" w:rsidP="005040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На територията на областта има създаден областен консултативен съвет по животновъдство. Целите на областния консултативен съвет са:</w:t>
      </w:r>
    </w:p>
    <w:p w:rsidR="00255280" w:rsidRPr="0050406C" w:rsidRDefault="00255280" w:rsidP="0050406C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</w:rPr>
      </w:pPr>
      <w:r w:rsidRPr="0050406C">
        <w:rPr>
          <w:rFonts w:ascii="Times New Roman" w:hAnsi="Times New Roman" w:cs="Times New Roman"/>
          <w:sz w:val="24"/>
          <w:szCs w:val="24"/>
        </w:rPr>
        <w:t>Проблемите в сектор животновъдство да се решават на областно ниво.</w:t>
      </w:r>
    </w:p>
    <w:p w:rsidR="00255280" w:rsidRPr="0050406C" w:rsidRDefault="00255280" w:rsidP="0050406C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</w:rPr>
      </w:pPr>
      <w:r w:rsidRPr="0050406C">
        <w:rPr>
          <w:rFonts w:ascii="Times New Roman" w:hAnsi="Times New Roman" w:cs="Times New Roman"/>
          <w:sz w:val="24"/>
          <w:szCs w:val="24"/>
        </w:rPr>
        <w:t>Да се информират животновъдите за новостите в сектора. /отдаването на пасища и мери от ОПФ и ДПФ, схеми и мерки за подпомагане.</w:t>
      </w:r>
    </w:p>
    <w:p w:rsidR="00255280" w:rsidRPr="0050406C" w:rsidRDefault="00255280" w:rsidP="0050406C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4"/>
          <w:szCs w:val="24"/>
        </w:rPr>
      </w:pPr>
      <w:r w:rsidRPr="0050406C">
        <w:rPr>
          <w:rFonts w:ascii="Times New Roman" w:hAnsi="Times New Roman" w:cs="Times New Roman"/>
          <w:sz w:val="24"/>
          <w:szCs w:val="24"/>
        </w:rPr>
        <w:t>Законодателни инициативи предложения.</w:t>
      </w:r>
    </w:p>
    <w:p w:rsidR="00255280" w:rsidRPr="0050406C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4. </w:t>
      </w:r>
      <w:r w:rsidRPr="0050406C">
        <w:rPr>
          <w:rFonts w:ascii="Times New Roman" w:hAnsi="Times New Roman" w:cs="Times New Roman"/>
          <w:sz w:val="24"/>
          <w:szCs w:val="24"/>
        </w:rPr>
        <w:t>Допълнителни срещи с друг институции / Развъдни организации, изп. Агенция по селекция и репродукция в животновъдството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5B3E96">
        <w:rPr>
          <w:rFonts w:ascii="Times New Roman" w:hAnsi="Times New Roman" w:cs="Times New Roman"/>
          <w:sz w:val="24"/>
          <w:szCs w:val="24"/>
          <w:lang w:val="ru-RU"/>
        </w:rPr>
        <w:t>Перспективи за развитие на животновъдството: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>- осъвременяване на генетичния потенциал в областта с елитни и висококачествени животни;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>- уедряване на дребните животновъдни ферми и създаване на пазарно-ориентирани животновъдни стопанства – механизирани, с автоматизирано производство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3E9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което води до минимални разходи и високо качество на произвежданата продукция;</w:t>
      </w:r>
    </w:p>
    <w:p w:rsidR="00255280" w:rsidRPr="005B3E96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>- обособяване на говедовъдството в оптимални по размер стокови стада, с цел задоволяване със собствени суровини на по-голяма част от преработвателните предприятия в областта и поевтиняване на предлаганата продукция, както и повишаване надеждността на ветеринарно-санитарния контрол и запазване здравето на потребителя;</w:t>
      </w:r>
    </w:p>
    <w:p w:rsidR="00255280" w:rsidRDefault="00255280" w:rsidP="00521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ru-RU"/>
        </w:rPr>
        <w:t>- приоритетно развитие на овцевъдството, козевъдството и пчеларството, поради наличие на подходящи условия в планинските райони на областта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280" w:rsidRDefault="00255280" w:rsidP="002F463D">
      <w:pPr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5280" w:rsidRDefault="00255280" w:rsidP="007C5214">
      <w:pPr>
        <w:ind w:left="71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</w:p>
    <w:p w:rsidR="00255280" w:rsidRPr="006C1A91" w:rsidRDefault="00255280" w:rsidP="007C5214">
      <w:pPr>
        <w:ind w:left="71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6C1A91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ІІІ. РЕГИСТРАЦИЯ НА ЗЕМЕДЕЛСКИ СТОПАНИ</w:t>
      </w:r>
    </w:p>
    <w:p w:rsidR="00255280" w:rsidRPr="006C1A91" w:rsidRDefault="00255280" w:rsidP="007C5214">
      <w:pPr>
        <w:ind w:left="1080"/>
        <w:jc w:val="both"/>
        <w:rPr>
          <w:rFonts w:ascii="Times New Roman" w:hAnsi="Times New Roman" w:cs="Times New Roman"/>
          <w:color w:val="00B050"/>
          <w:sz w:val="24"/>
          <w:szCs w:val="24"/>
          <w:highlight w:val="yellow"/>
          <w:lang w:val="bg-BG"/>
        </w:rPr>
      </w:pPr>
    </w:p>
    <w:p w:rsidR="00255280" w:rsidRPr="005B3E96" w:rsidRDefault="00255280" w:rsidP="007C52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2018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г. поддържането на Регистъра на земеделските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обхвана следните дейности:</w:t>
      </w:r>
    </w:p>
    <w:p w:rsidR="00255280" w:rsidRPr="005B3E96" w:rsidRDefault="00255280" w:rsidP="007C521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Набиране и актуализиране на информация за земеделските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и за дейността им с цел подпомагане на земеделието;</w:t>
      </w:r>
    </w:p>
    <w:p w:rsidR="00255280" w:rsidRPr="005B3E96" w:rsidRDefault="00255280" w:rsidP="007C521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>Поддържане на информационна система за регистъра на областно и централно ниво;</w:t>
      </w:r>
    </w:p>
    <w:p w:rsidR="00255280" w:rsidRPr="005B3E96" w:rsidRDefault="00255280" w:rsidP="007C521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списък с регистрираните земеделски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на Агенцията по заетостта;</w:t>
      </w:r>
    </w:p>
    <w:p w:rsidR="00255280" w:rsidRPr="005B3E96" w:rsidRDefault="00255280" w:rsidP="007C521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предоставяне на кредити и субсидии от ДФ „Земеделие”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стопаните 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>акту</w:t>
      </w:r>
      <w:r>
        <w:rPr>
          <w:rFonts w:ascii="Times New Roman" w:hAnsi="Times New Roman" w:cs="Times New Roman"/>
          <w:sz w:val="24"/>
          <w:szCs w:val="24"/>
          <w:lang w:val="bg-BG"/>
        </w:rPr>
        <w:t>ализират данните си в Регистъра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, като отразяват всяка промяна, попълвайки анкетни формуляри. </w:t>
      </w:r>
    </w:p>
    <w:p w:rsidR="00255280" w:rsidRPr="005B3E96" w:rsidRDefault="00255280" w:rsidP="007C521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           През отчетният период бе създадена добра организация от ОДЗ Кърджа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ли и общинските служби, относно 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уведомяване на всички регистрирани земеделски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и в областта за предстоящата кампания по пререгистрация. </w:t>
      </w:r>
    </w:p>
    <w:p w:rsidR="00255280" w:rsidRPr="005B3E96" w:rsidRDefault="00255280" w:rsidP="007C52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073C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Регистрираните земеделски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стопани</w:t>
      </w:r>
      <w:r w:rsidRPr="008A073C">
        <w:rPr>
          <w:rFonts w:ascii="Times New Roman" w:hAnsi="Times New Roman" w:cs="Times New Roman"/>
          <w:sz w:val="24"/>
          <w:szCs w:val="24"/>
          <w:lang w:val="bg-BG"/>
        </w:rPr>
        <w:t xml:space="preserve"> в обл</w:t>
      </w:r>
      <w:r>
        <w:rPr>
          <w:rFonts w:ascii="Times New Roman" w:hAnsi="Times New Roman" w:cs="Times New Roman"/>
          <w:sz w:val="24"/>
          <w:szCs w:val="24"/>
          <w:lang w:val="bg-BG"/>
        </w:rPr>
        <w:t>аст Кърджали през 2018</w:t>
      </w:r>
      <w:r w:rsidRPr="008A073C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са </w:t>
      </w:r>
      <w:r w:rsidRPr="005F4DA3">
        <w:rPr>
          <w:rFonts w:ascii="Times New Roman" w:hAnsi="Times New Roman" w:cs="Times New Roman"/>
          <w:b/>
          <w:bCs/>
          <w:sz w:val="24"/>
          <w:szCs w:val="24"/>
          <w:lang w:val="bg-BG"/>
        </w:rPr>
        <w:t>8527 бр</w:t>
      </w:r>
      <w:r w:rsidRPr="008A073C">
        <w:rPr>
          <w:rFonts w:ascii="Times New Roman" w:hAnsi="Times New Roman" w:cs="Times New Roman"/>
          <w:sz w:val="24"/>
          <w:szCs w:val="24"/>
          <w:lang w:val="bg-BG"/>
        </w:rPr>
        <w:t>., като се наблюдава увеличение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спрямо предходната година с </w:t>
      </w:r>
      <w:r w:rsidRPr="005F4DA3">
        <w:rPr>
          <w:rFonts w:ascii="Times New Roman" w:hAnsi="Times New Roman" w:cs="Times New Roman"/>
          <w:b/>
          <w:bCs/>
          <w:sz w:val="24"/>
          <w:szCs w:val="24"/>
          <w:lang w:val="bg-BG"/>
        </w:rPr>
        <w:t>441 бр.</w:t>
      </w:r>
      <w:r w:rsidRPr="005B3E96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255280" w:rsidRDefault="00255280" w:rsidP="00CB30C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Default="00255280" w:rsidP="00CB30C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Pr="006260A5" w:rsidRDefault="00255280" w:rsidP="00CB30C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6260A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7</w:t>
      </w:r>
    </w:p>
    <w:p w:rsidR="00255280" w:rsidRPr="005B3E96" w:rsidRDefault="00255280" w:rsidP="007C52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24"/>
        <w:gridCol w:w="1624"/>
        <w:gridCol w:w="1624"/>
        <w:gridCol w:w="1624"/>
        <w:gridCol w:w="1624"/>
      </w:tblGrid>
      <w:tr w:rsidR="00255280" w:rsidRPr="005B3E96">
        <w:tc>
          <w:tcPr>
            <w:tcW w:w="9743" w:type="dxa"/>
            <w:gridSpan w:val="6"/>
          </w:tcPr>
          <w:p w:rsidR="00255280" w:rsidRPr="00CE48A9" w:rsidRDefault="00255280" w:rsidP="00BE6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Регистрирани  земеделски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стопани</w:t>
            </w:r>
            <w:r w:rsidRPr="00CE4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в област Кърджали</w:t>
            </w:r>
          </w:p>
          <w:p w:rsidR="00255280" w:rsidRPr="00CE48A9" w:rsidRDefault="00255280" w:rsidP="00BE6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5280" w:rsidRPr="005B3E96">
        <w:tc>
          <w:tcPr>
            <w:tcW w:w="1623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2013г.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2014г.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2015г.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2016</w:t>
            </w: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</w:t>
            </w: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2018</w:t>
            </w:r>
            <w:r w:rsidRPr="00CE48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</w:tr>
      <w:tr w:rsidR="00255280" w:rsidRPr="005B3E96">
        <w:tc>
          <w:tcPr>
            <w:tcW w:w="1623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5024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5153</w:t>
            </w:r>
          </w:p>
        </w:tc>
        <w:tc>
          <w:tcPr>
            <w:tcW w:w="1624" w:type="dxa"/>
          </w:tcPr>
          <w:p w:rsidR="00255280" w:rsidRPr="00CE48A9" w:rsidRDefault="00255280" w:rsidP="001D3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E4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7085</w:t>
            </w:r>
          </w:p>
        </w:tc>
        <w:tc>
          <w:tcPr>
            <w:tcW w:w="1624" w:type="dxa"/>
          </w:tcPr>
          <w:p w:rsidR="00255280" w:rsidRPr="004B3F7F" w:rsidRDefault="00255280" w:rsidP="001D3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7497</w:t>
            </w:r>
          </w:p>
        </w:tc>
        <w:tc>
          <w:tcPr>
            <w:tcW w:w="1624" w:type="dxa"/>
          </w:tcPr>
          <w:p w:rsidR="00255280" w:rsidRPr="00A94414" w:rsidRDefault="00255280" w:rsidP="001D3B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8086</w:t>
            </w:r>
          </w:p>
        </w:tc>
        <w:tc>
          <w:tcPr>
            <w:tcW w:w="1624" w:type="dxa"/>
          </w:tcPr>
          <w:p w:rsidR="00255280" w:rsidRPr="00A94414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8527</w:t>
            </w:r>
          </w:p>
        </w:tc>
      </w:tr>
    </w:tbl>
    <w:p w:rsidR="00255280" w:rsidRDefault="00255280" w:rsidP="00A603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5280" w:rsidRDefault="00255280" w:rsidP="00282B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В таблица 8 е видно разпределението на регистрираните земеделски стопани на територията на област Кърджали:</w:t>
      </w:r>
    </w:p>
    <w:p w:rsidR="00255280" w:rsidRDefault="00255280" w:rsidP="00282B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Pr="006260A5" w:rsidRDefault="00255280" w:rsidP="00282B9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6260A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8</w:t>
      </w:r>
    </w:p>
    <w:p w:rsidR="00255280" w:rsidRDefault="00255280" w:rsidP="00A603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781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2316"/>
        <w:gridCol w:w="2126"/>
        <w:gridCol w:w="4252"/>
      </w:tblGrid>
      <w:tr w:rsidR="00255280" w:rsidRPr="00282B96">
        <w:trPr>
          <w:trHeight w:val="900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 xml:space="preserve">№ 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ОСЗ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Бр. землища на територията на общината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5280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 xml:space="preserve">Бр. регистрирани земеделски </w:t>
            </w:r>
            <w:r>
              <w:rPr>
                <w:b/>
                <w:bCs/>
                <w:lang w:val="bg-BG" w:eastAsia="bg-BG"/>
              </w:rPr>
              <w:t>стопан</w:t>
            </w:r>
            <w:r w:rsidRPr="00282B96">
              <w:rPr>
                <w:b/>
                <w:bCs/>
                <w:lang w:val="bg-BG" w:eastAsia="bg-BG"/>
              </w:rPr>
              <w:t xml:space="preserve">и </w:t>
            </w:r>
            <w:r>
              <w:rPr>
                <w:b/>
                <w:bCs/>
                <w:lang w:val="bg-BG" w:eastAsia="bg-BG"/>
              </w:rPr>
              <w:t>Н</w:t>
            </w:r>
            <w:r w:rsidRPr="00282B96">
              <w:rPr>
                <w:b/>
                <w:bCs/>
                <w:lang w:val="bg-BG" w:eastAsia="bg-BG"/>
              </w:rPr>
              <w:t>аредба3/1999</w:t>
            </w:r>
          </w:p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 xml:space="preserve"> 2018</w:t>
            </w:r>
            <w:r w:rsidRPr="00282B96">
              <w:rPr>
                <w:b/>
                <w:bCs/>
                <w:lang w:val="bg-BG" w:eastAsia="bg-BG"/>
              </w:rPr>
              <w:t>г.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Ардино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499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Джебел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val="bg-BG" w:eastAsia="bg-BG"/>
              </w:rPr>
              <w:t>4</w:t>
            </w:r>
            <w:r>
              <w:rPr>
                <w:b/>
                <w:bCs/>
                <w:lang w:eastAsia="bg-BG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510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Кирково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1499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Крумовград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1487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Кърджали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val="bg-BG" w:eastAsia="bg-BG"/>
              </w:rPr>
              <w:t>11</w:t>
            </w:r>
            <w:r>
              <w:rPr>
                <w:b/>
                <w:bCs/>
                <w:lang w:eastAsia="bg-BG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2556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Момчилград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val="bg-BG" w:eastAsia="bg-BG"/>
              </w:rPr>
              <w:t>4</w:t>
            </w:r>
            <w:r>
              <w:rPr>
                <w:b/>
                <w:bCs/>
                <w:lang w:eastAsia="bg-BG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1313</w:t>
            </w:r>
          </w:p>
        </w:tc>
      </w:tr>
      <w:tr w:rsidR="00255280" w:rsidRPr="00282B96">
        <w:trPr>
          <w:trHeight w:val="2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Черноочене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DB129C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663</w:t>
            </w:r>
          </w:p>
        </w:tc>
      </w:tr>
      <w:tr w:rsidR="00255280" w:rsidRPr="00282B96">
        <w:trPr>
          <w:trHeight w:val="27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lang w:val="bg-BG" w:eastAsia="bg-BG"/>
              </w:rPr>
            </w:pPr>
            <w:r w:rsidRPr="00282B96">
              <w:rPr>
                <w:b/>
                <w:bCs/>
                <w:lang w:val="bg-BG" w:eastAsia="bg-BG"/>
              </w:rPr>
              <w:t>Общо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4</w:t>
            </w:r>
            <w:r>
              <w:rPr>
                <w:b/>
                <w:bCs/>
                <w:lang w:eastAsia="bg-BG"/>
              </w:rPr>
              <w:t>7</w:t>
            </w:r>
            <w:r w:rsidRPr="00282B96">
              <w:rPr>
                <w:b/>
                <w:bCs/>
                <w:lang w:val="bg-BG" w:eastAsia="bg-BG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282B96" w:rsidRDefault="00255280" w:rsidP="00282B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8527</w:t>
            </w:r>
          </w:p>
        </w:tc>
      </w:tr>
    </w:tbl>
    <w:p w:rsidR="00255280" w:rsidRPr="00282B96" w:rsidRDefault="00255280" w:rsidP="00A603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5280" w:rsidRDefault="00255280" w:rsidP="00D45BD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През периода 01.01.2018г. – 31.12.2018г. са извършена проверки и издадени удостоверения в размер на 3191 бр., по искания на НАП, НОИ, частни и държавни съдебни изпълнителя, съд и др. институции. </w:t>
      </w:r>
    </w:p>
    <w:p w:rsidR="00255280" w:rsidRDefault="00255280" w:rsidP="002D23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2D23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таблица  9 и 10 е представена информация за регистрираните тютюнопроизводители по общини в базата на тютюнопроизводители през 2017г. и 2018г. Видно е увеличение с 1169 бр. тютюнопроизводители.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Като основна причина са очакванията на хората за продължаване на прилагане на преходна национална помощ за тютюн, както също и възможна промяна в референтния период.</w:t>
      </w:r>
    </w:p>
    <w:p w:rsidR="00255280" w:rsidRPr="00F1411E" w:rsidRDefault="00255280" w:rsidP="00B472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D2604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Таблица 9</w:t>
      </w:r>
    </w:p>
    <w:p w:rsidR="00255280" w:rsidRDefault="00255280" w:rsidP="0094206D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962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1416"/>
        <w:gridCol w:w="2415"/>
        <w:gridCol w:w="783"/>
        <w:gridCol w:w="1487"/>
        <w:gridCol w:w="2383"/>
      </w:tblGrid>
      <w:tr w:rsidR="00255280" w:rsidRPr="0092105E">
        <w:trPr>
          <w:trHeight w:val="30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</w:t>
            </w: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егистрир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ани тютнопроизводители през 2018</w:t>
            </w: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г. </w:t>
            </w:r>
          </w:p>
        </w:tc>
      </w:tr>
      <w:tr w:rsidR="00255280" w:rsidRPr="0092105E">
        <w:trPr>
          <w:trHeight w:val="30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 базата на тютюнопроизводителите</w:t>
            </w:r>
          </w:p>
        </w:tc>
      </w:tr>
      <w:tr w:rsidR="00255280" w:rsidRPr="0092105E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Област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Брой тютюнопрозводители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имоти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по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Количество 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/дка/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договор/дка/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тютюн по договор/кг/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Ардино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942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Джебел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8440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Кирково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432770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Крумовград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755030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0485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Момчилград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14960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Черноочене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4206D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98910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9577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8713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3A5B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1 340 815</w:t>
            </w:r>
          </w:p>
        </w:tc>
      </w:tr>
    </w:tbl>
    <w:p w:rsidR="00255280" w:rsidRPr="0092105E" w:rsidRDefault="00255280" w:rsidP="0094206D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94206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Default="00255280" w:rsidP="0094206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Pr="006260A5" w:rsidRDefault="00255280" w:rsidP="0094206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6260A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10</w:t>
      </w:r>
    </w:p>
    <w:p w:rsidR="00255280" w:rsidRDefault="00255280" w:rsidP="00D2604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W w:w="962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1416"/>
        <w:gridCol w:w="2415"/>
        <w:gridCol w:w="783"/>
        <w:gridCol w:w="1487"/>
        <w:gridCol w:w="2383"/>
      </w:tblGrid>
      <w:tr w:rsidR="00255280" w:rsidRPr="0092105E">
        <w:trPr>
          <w:trHeight w:val="30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</w:t>
            </w: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егистрирани тют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</w:t>
            </w: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нопроизводители през 2017г. </w:t>
            </w:r>
          </w:p>
        </w:tc>
      </w:tr>
      <w:tr w:rsidR="00255280" w:rsidRPr="0092105E">
        <w:trPr>
          <w:trHeight w:val="30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 базата на тютюнопроизводителите</w:t>
            </w:r>
          </w:p>
        </w:tc>
      </w:tr>
      <w:tr w:rsidR="00255280" w:rsidRPr="0092105E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Област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Брой тютюнопро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</w:t>
            </w: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зводители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имоти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по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Количество 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/дка/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договор/дка/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тютюн по договор/кг/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Ардино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Джебел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4050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Кирково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164 480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Крумовград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206 375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15 740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Момчилград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11 650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Черноочене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92105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9210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81 670</w:t>
            </w:r>
          </w:p>
        </w:tc>
      </w:tr>
      <w:tr w:rsidR="00255280" w:rsidRPr="0092105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3169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F1411E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F14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484 415</w:t>
            </w:r>
          </w:p>
        </w:tc>
      </w:tr>
    </w:tbl>
    <w:p w:rsidR="00255280" w:rsidRDefault="00255280" w:rsidP="00D2604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Default="00255280" w:rsidP="00D2604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Default="00255280" w:rsidP="007C581B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CC4991" w:rsidRDefault="00255280" w:rsidP="007C581B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2D2324" w:rsidRDefault="00255280" w:rsidP="007C581B">
      <w:pPr>
        <w:ind w:left="71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2D2324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</w:t>
      </w:r>
      <w:r w:rsidRPr="002D2324">
        <w:rPr>
          <w:rFonts w:ascii="Times New Roman" w:hAnsi="Times New Roman" w:cs="Times New Roman"/>
          <w:b/>
          <w:bCs/>
          <w:color w:val="00B050"/>
          <w:sz w:val="24"/>
          <w:szCs w:val="24"/>
        </w:rPr>
        <w:t>V.</w:t>
      </w:r>
      <w:r w:rsidRPr="002D2324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 xml:space="preserve"> КАМПАНИЯ ПО РЕГИСТРИРАНЕ НА ЗАЯВЛЕНИЯ ПО СХЕМИ И МЕРКИ ЗА ДИРЕКТИ ПЛАЩАНИЯ ПРЕЗ 2018 г.</w:t>
      </w:r>
    </w:p>
    <w:p w:rsidR="00255280" w:rsidRPr="002D2324" w:rsidRDefault="00255280" w:rsidP="00B472EA">
      <w:pPr>
        <w:ind w:firstLine="7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</w:p>
    <w:p w:rsidR="00255280" w:rsidRPr="00E61458" w:rsidRDefault="00255280" w:rsidP="00E61458">
      <w:pPr>
        <w:tabs>
          <w:tab w:val="left" w:pos="9604"/>
        </w:tabs>
        <w:ind w:right="-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1458">
        <w:rPr>
          <w:rFonts w:ascii="Times New Roman" w:hAnsi="Times New Roman" w:cs="Times New Roman"/>
          <w:sz w:val="24"/>
          <w:szCs w:val="24"/>
          <w:lang w:val="bg-BG"/>
        </w:rPr>
        <w:t xml:space="preserve">            От гледна точка на  обезпечение на цялостния процес, относно специалисти, техника и консумативи </w:t>
      </w:r>
      <w:r>
        <w:rPr>
          <w:rFonts w:ascii="Times New Roman" w:hAnsi="Times New Roman" w:cs="Times New Roman"/>
          <w:sz w:val="24"/>
          <w:szCs w:val="24"/>
          <w:lang w:val="bg-BG"/>
        </w:rPr>
        <w:t>за предстоящата кампания б</w:t>
      </w:r>
      <w:r w:rsidRPr="00E61458">
        <w:rPr>
          <w:rFonts w:ascii="Times New Roman" w:hAnsi="Times New Roman" w:cs="Times New Roman"/>
          <w:sz w:val="24"/>
          <w:szCs w:val="24"/>
          <w:lang w:val="bg-BG"/>
        </w:rPr>
        <w:t>е извърш</w:t>
      </w:r>
      <w:r>
        <w:rPr>
          <w:rFonts w:ascii="Times New Roman" w:hAnsi="Times New Roman" w:cs="Times New Roman"/>
          <w:sz w:val="24"/>
          <w:szCs w:val="24"/>
          <w:lang w:val="bg-BG"/>
        </w:rPr>
        <w:t>ено</w:t>
      </w:r>
      <w:r w:rsidRPr="00E61458">
        <w:rPr>
          <w:rFonts w:ascii="Times New Roman" w:hAnsi="Times New Roman" w:cs="Times New Roman"/>
          <w:sz w:val="24"/>
          <w:szCs w:val="24"/>
          <w:lang w:val="bg-BG"/>
        </w:rPr>
        <w:t xml:space="preserve"> следното: </w:t>
      </w:r>
    </w:p>
    <w:p w:rsidR="00255280" w:rsidRPr="00E61458" w:rsidRDefault="00255280" w:rsidP="00E61458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E61458">
        <w:rPr>
          <w:rFonts w:ascii="Times New Roman" w:hAnsi="Times New Roman" w:cs="Times New Roman"/>
          <w:sz w:val="24"/>
          <w:szCs w:val="24"/>
          <w:lang w:val="bg-BG"/>
        </w:rPr>
        <w:t>С оглед на добрата организация във всяка общинска служба се определиха  помещенията за регистрация и подаване на заявление за подпомагане;</w:t>
      </w:r>
    </w:p>
    <w:p w:rsidR="00255280" w:rsidRPr="00E61458" w:rsidRDefault="00255280" w:rsidP="00E61458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E61458">
        <w:rPr>
          <w:rFonts w:ascii="Times New Roman" w:hAnsi="Times New Roman" w:cs="Times New Roman"/>
          <w:sz w:val="24"/>
          <w:szCs w:val="24"/>
          <w:lang w:val="bg-BG"/>
        </w:rPr>
        <w:t>Определиха се също така и служителите, които ще участват в цялостния процес;</w:t>
      </w:r>
    </w:p>
    <w:p w:rsidR="00255280" w:rsidRPr="00E61458" w:rsidRDefault="00255280" w:rsidP="00E61458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извършена профилактика н</w:t>
      </w:r>
      <w:r w:rsidRPr="00E61458">
        <w:rPr>
          <w:rFonts w:ascii="Times New Roman" w:hAnsi="Times New Roman" w:cs="Times New Roman"/>
          <w:sz w:val="24"/>
          <w:szCs w:val="24"/>
          <w:lang w:val="bg-BG"/>
        </w:rPr>
        <w:t>аличната техника бе проверена и подготвена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работа</w:t>
      </w:r>
      <w:r w:rsidRPr="00E6145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55280" w:rsidRPr="00E61458" w:rsidRDefault="00255280" w:rsidP="00E61458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E61458">
        <w:rPr>
          <w:rFonts w:ascii="Times New Roman" w:hAnsi="Times New Roman" w:cs="Times New Roman"/>
          <w:sz w:val="24"/>
          <w:szCs w:val="24"/>
          <w:lang w:val="bg-BG"/>
        </w:rPr>
        <w:t>Осигуриха се необходимите консумативи, съобразно нуждите на всяка ОСЗ;</w:t>
      </w:r>
    </w:p>
    <w:p w:rsidR="00255280" w:rsidRDefault="00255280" w:rsidP="00E61458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E61458">
        <w:rPr>
          <w:rFonts w:ascii="Times New Roman" w:hAnsi="Times New Roman" w:cs="Times New Roman"/>
          <w:sz w:val="24"/>
          <w:szCs w:val="24"/>
          <w:lang w:val="bg-BG"/>
        </w:rPr>
        <w:t>Архивните доси</w:t>
      </w:r>
      <w:r>
        <w:rPr>
          <w:rFonts w:ascii="Times New Roman" w:hAnsi="Times New Roman" w:cs="Times New Roman"/>
          <w:sz w:val="24"/>
          <w:szCs w:val="24"/>
          <w:lang w:val="bg-BG"/>
        </w:rPr>
        <w:t>ета бяха проверени и подготвени;</w:t>
      </w:r>
    </w:p>
    <w:p w:rsidR="00255280" w:rsidRDefault="00255280" w:rsidP="00562C05">
      <w:pPr>
        <w:numPr>
          <w:ilvl w:val="0"/>
          <w:numId w:val="2"/>
        </w:numPr>
        <w:tabs>
          <w:tab w:val="left" w:pos="9604"/>
        </w:tabs>
        <w:overflowPunct/>
        <w:autoSpaceDE/>
        <w:autoSpaceDN/>
        <w:adjustRightInd/>
        <w:ind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Проведоха се опреснителни курсове за работа с ИСАК, а новоназначените служители преминаха успешно курс на обучение, проведен от представители на ОДЗ.</w:t>
      </w:r>
    </w:p>
    <w:p w:rsidR="00255280" w:rsidRDefault="00255280" w:rsidP="009C0F7A">
      <w:pPr>
        <w:tabs>
          <w:tab w:val="left" w:pos="9604"/>
        </w:tabs>
        <w:overflowPunct/>
        <w:autoSpaceDE/>
        <w:autoSpaceDN/>
        <w:adjustRightInd/>
        <w:ind w:left="360"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>В област Кърджали Кампания 201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>г. протече изключително активно. Броят на регистрираните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заявления общо за областта е 15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923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 xml:space="preserve"> бр., което е с </w:t>
      </w:r>
      <w:r>
        <w:rPr>
          <w:rFonts w:ascii="Times New Roman" w:hAnsi="Times New Roman" w:cs="Times New Roman"/>
          <w:sz w:val="24"/>
          <w:szCs w:val="24"/>
          <w:lang w:val="bg-BG"/>
        </w:rPr>
        <w:t>373 заявления по-малко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 xml:space="preserve"> спрямо 201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517E1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таблица 11 са посочени приетите заявления по общини.</w:t>
      </w:r>
    </w:p>
    <w:p w:rsidR="00255280" w:rsidRDefault="00255280" w:rsidP="00B155B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255280" w:rsidRPr="00B155B8" w:rsidRDefault="00255280" w:rsidP="00B155B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Таблица 11</w:t>
      </w:r>
    </w:p>
    <w:p w:rsidR="00255280" w:rsidRDefault="00255280" w:rsidP="009C0F7A">
      <w:pPr>
        <w:tabs>
          <w:tab w:val="left" w:pos="9604"/>
        </w:tabs>
        <w:overflowPunct/>
        <w:autoSpaceDE/>
        <w:autoSpaceDN/>
        <w:adjustRightInd/>
        <w:ind w:left="360" w:right="-26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35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3969"/>
      </w:tblGrid>
      <w:tr w:rsidR="00255280" w:rsidRPr="00693227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Бр.приети заявления за подпомагане 2017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Бр.прие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ти заявления за подпомагане 2018 г.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Ардино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Джебел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Кирково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4314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Крумовград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4165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Кърджали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Момчилград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1553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Черноочене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1644</w:t>
            </w:r>
          </w:p>
        </w:tc>
      </w:tr>
      <w:tr w:rsidR="00255280" w:rsidRPr="00693227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693227" w:rsidRDefault="00255280" w:rsidP="009C0F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69322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 w:rsidP="003A5B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15923</w:t>
            </w:r>
          </w:p>
        </w:tc>
      </w:tr>
    </w:tbl>
    <w:p w:rsidR="00255280" w:rsidRPr="005B3E96" w:rsidRDefault="00255280" w:rsidP="00E43E94">
      <w:pPr>
        <w:tabs>
          <w:tab w:val="left" w:pos="9604"/>
        </w:tabs>
        <w:overflowPunct/>
        <w:autoSpaceDE/>
        <w:autoSpaceDN/>
        <w:adjustRightInd/>
        <w:ind w:right="-26"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E43E94">
      <w:pPr>
        <w:ind w:left="720"/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таблица 12 са представени най-често заявяваните култури по схемата за едино плащане на площ:</w:t>
      </w:r>
    </w:p>
    <w:p w:rsidR="00255280" w:rsidRDefault="00255280" w:rsidP="00B155B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255280" w:rsidRPr="00B155B8" w:rsidRDefault="00255280" w:rsidP="00B155B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Таблица 12</w:t>
      </w:r>
    </w:p>
    <w:p w:rsidR="00255280" w:rsidRDefault="00255280" w:rsidP="009844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528"/>
        <w:gridCol w:w="1559"/>
        <w:gridCol w:w="1418"/>
      </w:tblGrid>
      <w:tr w:rsidR="00255280" w:rsidRPr="003B52B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3B52B6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3B52B6">
              <w:rPr>
                <w:b/>
                <w:bCs/>
                <w:lang w:val="bg-BG" w:eastAsia="bg-BG"/>
              </w:rPr>
              <w:t>Схема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3B52B6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3B52B6">
              <w:rPr>
                <w:b/>
                <w:bCs/>
                <w:lang w:val="bg-BG" w:eastAsia="bg-BG"/>
              </w:rPr>
              <w:t>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3B52B6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3B52B6">
              <w:rPr>
                <w:b/>
                <w:bCs/>
                <w:lang w:val="bg-BG" w:eastAsia="bg-BG"/>
              </w:rPr>
              <w:t>Площ 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Pr="003B52B6" w:rsidRDefault="00255280" w:rsidP="00BE6A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bg-BG" w:eastAsia="bg-BG"/>
              </w:rPr>
            </w:pPr>
            <w:r w:rsidRPr="003B52B6">
              <w:rPr>
                <w:b/>
                <w:bCs/>
                <w:lang w:val="bg-BG" w:eastAsia="bg-BG"/>
              </w:rPr>
              <w:t>Заявл. Бр.</w:t>
            </w:r>
          </w:p>
        </w:tc>
      </w:tr>
      <w:tr w:rsidR="00255280" w:rsidRPr="003B52B6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280" w:rsidRDefault="00255280">
            <w:r>
              <w:t>Постоянни или временни пасища за паша на животни (пасища и мери за паша)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12287,03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2071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Ливади за косене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1721,83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1113</w:t>
            </w:r>
          </w:p>
        </w:tc>
      </w:tr>
      <w:tr w:rsidR="00255280" w:rsidRPr="003B52B6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280" w:rsidRDefault="00255280">
            <w:r>
              <w:t>Постоянно затревени площи поддържани в състояние, годно за паша или косене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917,49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498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люцерна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870,18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623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мека пшеница-зимна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351,58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99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ПЛОЩИ С УГАРИ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224,57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109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тютюн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209,69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356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пипер на открито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248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сливи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154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орехи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137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слънчоглед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47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череши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108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детелина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89,69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28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домати на открито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79,51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81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ечемик-зимен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58,09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32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ябълки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33,16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48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овес - пролетен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30,79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80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царевица за зърно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72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КАРТОФИ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105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просо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5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Винени лозя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12</w:t>
            </w:r>
          </w:p>
        </w:tc>
      </w:tr>
      <w:tr w:rsidR="00255280" w:rsidRPr="003B52B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СЕПП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r>
              <w:t>Десертни лозя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17,66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80" w:rsidRDefault="00255280">
            <w:pPr>
              <w:jc w:val="right"/>
            </w:pPr>
            <w:r>
              <w:t>26</w:t>
            </w:r>
          </w:p>
        </w:tc>
      </w:tr>
    </w:tbl>
    <w:p w:rsidR="00255280" w:rsidRDefault="00255280" w:rsidP="00E43E94">
      <w:pPr>
        <w:ind w:left="720"/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Default="00255280" w:rsidP="009844AF">
      <w:pPr>
        <w:jc w:val="both"/>
        <w:rPr>
          <w:rFonts w:ascii="Times New Roman" w:hAnsi="Times New Roman" w:cs="Times New Roman"/>
          <w:color w:val="00FF00"/>
          <w:sz w:val="24"/>
          <w:szCs w:val="24"/>
          <w:lang w:val="bg-BG"/>
        </w:rPr>
      </w:pPr>
    </w:p>
    <w:p w:rsidR="00255280" w:rsidRPr="00B72AE5" w:rsidRDefault="00255280" w:rsidP="00B155B8">
      <w:pPr>
        <w:overflowPunct/>
        <w:autoSpaceDE/>
        <w:autoSpaceDN/>
        <w:adjustRightInd/>
        <w:ind w:left="710"/>
        <w:jc w:val="both"/>
        <w:textAlignment w:val="auto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B72AE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V</w:t>
      </w:r>
      <w:r w:rsidRPr="00B72AE5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. АГРАРНО РАЗВИТИЕ</w:t>
      </w:r>
    </w:p>
    <w:p w:rsidR="00255280" w:rsidRPr="009B1933" w:rsidRDefault="00255280" w:rsidP="002F463D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:rsidR="00255280" w:rsidRPr="00844FDE" w:rsidRDefault="00255280" w:rsidP="00844F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7876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изпълнение на Стратегията за развитие на млечното животновъдство и подобряване качеството на суровото краве мляко </w:t>
      </w:r>
      <w:r>
        <w:rPr>
          <w:rFonts w:ascii="Times New Roman" w:hAnsi="Times New Roman" w:cs="Times New Roman"/>
          <w:sz w:val="24"/>
          <w:szCs w:val="24"/>
          <w:lang w:val="bg-BG"/>
        </w:rPr>
        <w:t>в област Кърджали към 18.02.2019</w:t>
      </w:r>
      <w:r w:rsidRPr="00817876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добрените изкупвачи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сурово краве, овче, козе и биволско мляко съгласно чл.55д, ал.4 от Закона за прилагане на общата организация на пазарите на земеделски продукти на европейския съюз 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в цялата област </w:t>
      </w:r>
      <w:r>
        <w:rPr>
          <w:rFonts w:ascii="Times New Roman" w:hAnsi="Times New Roman" w:cs="Times New Roman"/>
          <w:sz w:val="24"/>
          <w:szCs w:val="24"/>
          <w:lang w:val="bg-BG"/>
        </w:rPr>
        <w:t>са 10 бр. (4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 бр. в община Ардино, 1 бр. в община Дж</w:t>
      </w:r>
      <w:r>
        <w:rPr>
          <w:rFonts w:ascii="Times New Roman" w:hAnsi="Times New Roman" w:cs="Times New Roman"/>
          <w:sz w:val="24"/>
          <w:szCs w:val="24"/>
          <w:lang w:val="bg-BG"/>
        </w:rPr>
        <w:t>ебел, 1 бр. в община Момчилград, 2 бр. в община Кирково и 1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 бр. в община Кърджали), млекопреработвате</w:t>
      </w:r>
      <w:r>
        <w:rPr>
          <w:rFonts w:ascii="Times New Roman" w:hAnsi="Times New Roman" w:cs="Times New Roman"/>
          <w:sz w:val="24"/>
          <w:szCs w:val="24"/>
          <w:lang w:val="bg-BG"/>
        </w:rPr>
        <w:t>лните предприятия в региона са 8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>
        <w:rPr>
          <w:rFonts w:ascii="Times New Roman" w:hAnsi="Times New Roman" w:cs="Times New Roman"/>
          <w:sz w:val="24"/>
          <w:szCs w:val="24"/>
          <w:lang w:val="bg-BG"/>
        </w:rPr>
        <w:t>, а действащите кланиците са четири</w:t>
      </w:r>
      <w:r w:rsidRPr="00844FD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55280" w:rsidRPr="00844FDE" w:rsidRDefault="00255280" w:rsidP="00844F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4FDE">
        <w:rPr>
          <w:rFonts w:ascii="Times New Roman" w:hAnsi="Times New Roman" w:cs="Times New Roman"/>
          <w:sz w:val="24"/>
          <w:szCs w:val="24"/>
          <w:lang w:val="bg-BG"/>
        </w:rPr>
        <w:t>Сектора на пчеларството се характеризира с повишен интерес от страна на местните пчелари. Създаденото пчеларско дружество “Акация” работи много активно и поддържа тесни контакти с областна дирекция ”Земеделие” гр. Кърджали.</w:t>
      </w:r>
    </w:p>
    <w:p w:rsidR="00255280" w:rsidRPr="00303D9F" w:rsidRDefault="00255280" w:rsidP="00844F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3D9F">
        <w:rPr>
          <w:rFonts w:ascii="Times New Roman" w:hAnsi="Times New Roman" w:cs="Times New Roman"/>
          <w:sz w:val="24"/>
          <w:szCs w:val="24"/>
          <w:lang w:val="bg-BG"/>
        </w:rPr>
        <w:t xml:space="preserve">В ОДЗ Кърджали се поддържа регистър на елитните и племенни пчелни майки и отводки. До настоящия момент 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стопанствата са две – в с. Рът</w:t>
      </w:r>
      <w:r w:rsidRPr="00303D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общ. Джебел </w:t>
      </w:r>
      <w:r w:rsidRPr="00303D9F">
        <w:rPr>
          <w:rFonts w:ascii="Times New Roman" w:hAnsi="Times New Roman" w:cs="Times New Roman"/>
          <w:sz w:val="24"/>
          <w:szCs w:val="24"/>
          <w:lang w:val="bg-BG"/>
        </w:rPr>
        <w:t xml:space="preserve">и с. </w:t>
      </w:r>
      <w:r>
        <w:rPr>
          <w:rFonts w:ascii="Times New Roman" w:hAnsi="Times New Roman" w:cs="Times New Roman"/>
          <w:sz w:val="24"/>
          <w:szCs w:val="24"/>
          <w:lang w:val="bg-BG"/>
        </w:rPr>
        <w:t>Седловина</w:t>
      </w:r>
      <w:r w:rsidRPr="00303D9F">
        <w:rPr>
          <w:rFonts w:ascii="Times New Roman" w:hAnsi="Times New Roman" w:cs="Times New Roman"/>
          <w:sz w:val="24"/>
          <w:szCs w:val="24"/>
          <w:lang w:val="bg-BG"/>
        </w:rPr>
        <w:t>, общ. Кърджали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общ брой пчелни семейства – 410</w:t>
      </w:r>
      <w:r w:rsidRPr="00303D9F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Pr="005773CE">
        <w:t xml:space="preserve"> </w:t>
      </w:r>
    </w:p>
    <w:p w:rsidR="00255280" w:rsidRPr="00B72AE5" w:rsidRDefault="00255280" w:rsidP="00194AD0">
      <w:pPr>
        <w:pStyle w:val="TimesNewRoman"/>
        <w:ind w:firstLine="0"/>
        <w:rPr>
          <w:rFonts w:cs="Arial"/>
          <w:lang w:val="en-AU"/>
        </w:rPr>
      </w:pPr>
      <w:r w:rsidRPr="00B72AE5">
        <w:rPr>
          <w:rStyle w:val="FontStyle19"/>
          <w:rFonts w:ascii="Arial" w:hAnsi="Arial" w:cs="Arial"/>
          <w:sz w:val="24"/>
          <w:szCs w:val="24"/>
        </w:rPr>
        <w:t xml:space="preserve">            В изпълнение на заповед № РД09-78/08.02.2018г. на министъра на земеделието и храните, със заповед № РД-11-86/12.03.2018г. </w:t>
      </w:r>
      <w:r w:rsidRPr="00B72AE5">
        <w:rPr>
          <w:rFonts w:cs="Arial"/>
        </w:rPr>
        <w:t xml:space="preserve">на директора на областна дирекция „Земеделие” гр. Кърджали бе назначена областна експертна комисия за провеждане на обследвания на площите със земеделски култури. Комисията </w:t>
      </w:r>
      <w:r w:rsidRPr="00B72AE5">
        <w:rPr>
          <w:rStyle w:val="FontStyle19"/>
          <w:rFonts w:ascii="Arial" w:hAnsi="Arial" w:cs="Arial"/>
          <w:sz w:val="24"/>
          <w:szCs w:val="24"/>
        </w:rPr>
        <w:t xml:space="preserve">извърши пълно обследване - на 100% от заетите площи с есенни култури в землищата на с. Странджево, с. Поточница, с. Морянци, с. Котлари, с. Бряговец общ. Крумовград, с.Миладиново, с. Рудина, с. Сестринско </w:t>
      </w:r>
      <w:r w:rsidRPr="00B72AE5">
        <w:rPr>
          <w:rStyle w:val="FontStyle11"/>
          <w:rFonts w:ascii="Arial" w:hAnsi="Arial" w:cs="Arial"/>
          <w:b w:val="0"/>
          <w:bCs w:val="0"/>
        </w:rPr>
        <w:t>общ. Кърджали, с.Пчеларово, общ. Черноочене. В обследването участие взеха</w:t>
      </w:r>
      <w:r w:rsidRPr="00CC675A">
        <w:rPr>
          <w:rStyle w:val="FontStyle11"/>
          <w:rFonts w:ascii="Arial" w:hAnsi="Arial" w:cs="Arial"/>
          <w:b w:val="0"/>
          <w:bCs w:val="0"/>
        </w:rPr>
        <w:t xml:space="preserve"> </w:t>
      </w:r>
      <w:r w:rsidRPr="00B72AE5">
        <w:rPr>
          <w:rStyle w:val="FontStyle11"/>
          <w:rFonts w:ascii="Arial" w:hAnsi="Arial" w:cs="Arial"/>
          <w:b w:val="0"/>
          <w:bCs w:val="0"/>
        </w:rPr>
        <w:t>представители на ОДЗ Кърджали, ОДВХ-отдел КХ, ОД на ДФЗ-РТИ и</w:t>
      </w:r>
      <w:r w:rsidRPr="00CC675A">
        <w:rPr>
          <w:rStyle w:val="FontStyle11"/>
          <w:rFonts w:ascii="Arial" w:hAnsi="Arial" w:cs="Arial"/>
          <w:b w:val="0"/>
          <w:bCs w:val="0"/>
        </w:rPr>
        <w:t xml:space="preserve"> </w:t>
      </w:r>
      <w:r w:rsidRPr="00B72AE5">
        <w:rPr>
          <w:rStyle w:val="FontStyle11"/>
          <w:rFonts w:ascii="Arial" w:hAnsi="Arial" w:cs="Arial"/>
          <w:b w:val="0"/>
          <w:bCs w:val="0"/>
        </w:rPr>
        <w:t xml:space="preserve">ОСЗ за съответните общини. Обект на обследване са 6 бр. стопанства по предварително  изготвен поименен списък. За всяко наблюдавано стопанства е попълнен отделен наблюдателен лист. </w:t>
      </w:r>
      <w:r w:rsidRPr="00B72AE5">
        <w:rPr>
          <w:rFonts w:cs="Arial"/>
        </w:rPr>
        <w:t xml:space="preserve">Всички посеви в област Кърджали бяха в добро състояние. </w:t>
      </w:r>
    </w:p>
    <w:p w:rsidR="00255280" w:rsidRPr="004C5562" w:rsidRDefault="00255280" w:rsidP="00A13E2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30D1">
        <w:rPr>
          <w:rFonts w:ascii="Times New Roman" w:hAnsi="Times New Roman" w:cs="Times New Roman"/>
          <w:lang w:val="bg-BG"/>
        </w:rPr>
        <w:t xml:space="preserve">           </w:t>
      </w:r>
      <w:r>
        <w:rPr>
          <w:sz w:val="24"/>
          <w:szCs w:val="24"/>
          <w:lang w:val="bg-BG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периода 01.01.2018г. – 31.12.2018</w:t>
      </w:r>
      <w:r w:rsidRPr="004C5562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4C556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бяха постъпили 254</w:t>
      </w:r>
      <w:r w:rsidRPr="004C5562">
        <w:rPr>
          <w:rFonts w:ascii="Times New Roman" w:hAnsi="Times New Roman" w:cs="Times New Roman"/>
          <w:sz w:val="24"/>
          <w:szCs w:val="24"/>
          <w:lang w:val="bg-BG"/>
        </w:rPr>
        <w:t xml:space="preserve"> броя заявления от земеделски стопани </w:t>
      </w:r>
      <w:r>
        <w:rPr>
          <w:rFonts w:ascii="Times New Roman" w:hAnsi="Times New Roman" w:cs="Times New Roman"/>
          <w:sz w:val="24"/>
          <w:szCs w:val="24"/>
          <w:lang w:val="bg-BG"/>
        </w:rPr>
        <w:t>за пропаднали</w:t>
      </w:r>
      <w:r w:rsidRPr="00396E12">
        <w:rPr>
          <w:rFonts w:ascii="Times New Roman" w:hAnsi="Times New Roman" w:cs="Times New Roman"/>
          <w:sz w:val="24"/>
          <w:szCs w:val="24"/>
          <w:lang w:val="bg-BG"/>
        </w:rPr>
        <w:t xml:space="preserve"> на 100% площи засети с </w:t>
      </w:r>
      <w:r w:rsidRPr="00C90819">
        <w:rPr>
          <w:rFonts w:ascii="Times New Roman" w:hAnsi="Times New Roman" w:cs="Times New Roman"/>
          <w:sz w:val="24"/>
          <w:szCs w:val="24"/>
          <w:lang w:val="bg-BG"/>
        </w:rPr>
        <w:t>тютюн, пипер на открито, ябълки, пшеница, сладка царевица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4C5562">
        <w:rPr>
          <w:rFonts w:ascii="Times New Roman" w:hAnsi="Times New Roman" w:cs="Times New Roman"/>
          <w:sz w:val="24"/>
          <w:szCs w:val="24"/>
          <w:lang w:val="bg-BG" w:eastAsia="bg-BG"/>
        </w:rPr>
        <w:t>вследствие на</w:t>
      </w:r>
      <w:r w:rsidRPr="004C5562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4C5562">
        <w:rPr>
          <w:rFonts w:ascii="Times New Roman" w:hAnsi="Times New Roman" w:cs="Times New Roman"/>
          <w:sz w:val="24"/>
          <w:szCs w:val="24"/>
          <w:lang w:val="bg-BG" w:eastAsia="bg-BG"/>
        </w:rPr>
        <w:t>не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благоприятни климатични условия </w:t>
      </w:r>
      <w:r w:rsidRPr="004C5562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„Градушка”.</w:t>
      </w:r>
    </w:p>
    <w:p w:rsidR="00255280" w:rsidRPr="00C90819" w:rsidRDefault="00255280" w:rsidP="00C9081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0819">
        <w:rPr>
          <w:rFonts w:ascii="Times New Roman" w:hAnsi="Times New Roman" w:cs="Times New Roman"/>
          <w:sz w:val="24"/>
          <w:szCs w:val="24"/>
          <w:lang w:val="bg-BG"/>
        </w:rPr>
        <w:t xml:space="preserve">          Експертна комисия, назначена със заповед </w:t>
      </w:r>
      <w:r w:rsidRPr="00C90819">
        <w:rPr>
          <w:rStyle w:val="FontStyle19"/>
          <w:sz w:val="24"/>
          <w:szCs w:val="24"/>
        </w:rPr>
        <w:t xml:space="preserve">№ </w:t>
      </w:r>
      <w:r w:rsidRPr="00C90819">
        <w:rPr>
          <w:rStyle w:val="FontStyle19"/>
          <w:sz w:val="24"/>
          <w:szCs w:val="24"/>
          <w:lang w:val="bg-BG"/>
        </w:rPr>
        <w:t>РД</w:t>
      </w:r>
      <w:r w:rsidRPr="00C90819">
        <w:rPr>
          <w:rStyle w:val="FontStyle19"/>
          <w:sz w:val="24"/>
          <w:szCs w:val="24"/>
        </w:rPr>
        <w:t>-</w:t>
      </w:r>
      <w:r w:rsidRPr="00C90819">
        <w:rPr>
          <w:rStyle w:val="FontStyle19"/>
          <w:sz w:val="24"/>
          <w:szCs w:val="24"/>
          <w:lang w:val="bg-BG"/>
        </w:rPr>
        <w:t>11-86</w:t>
      </w:r>
      <w:r w:rsidRPr="00C90819">
        <w:rPr>
          <w:rStyle w:val="FontStyle19"/>
          <w:sz w:val="24"/>
          <w:szCs w:val="24"/>
        </w:rPr>
        <w:t>/</w:t>
      </w:r>
      <w:r w:rsidRPr="00C90819">
        <w:rPr>
          <w:rStyle w:val="FontStyle19"/>
          <w:sz w:val="24"/>
          <w:szCs w:val="24"/>
          <w:lang w:val="bg-BG"/>
        </w:rPr>
        <w:t>12</w:t>
      </w:r>
      <w:r w:rsidRPr="00C90819">
        <w:rPr>
          <w:rStyle w:val="FontStyle19"/>
          <w:sz w:val="24"/>
          <w:szCs w:val="24"/>
        </w:rPr>
        <w:t>.0</w:t>
      </w:r>
      <w:r w:rsidRPr="00C90819">
        <w:rPr>
          <w:rStyle w:val="FontStyle19"/>
          <w:sz w:val="24"/>
          <w:szCs w:val="24"/>
          <w:lang w:val="bg-BG"/>
        </w:rPr>
        <w:t>3</w:t>
      </w:r>
      <w:r w:rsidRPr="00C90819">
        <w:rPr>
          <w:rStyle w:val="FontStyle19"/>
          <w:sz w:val="24"/>
          <w:szCs w:val="24"/>
        </w:rPr>
        <w:t>.201</w:t>
      </w:r>
      <w:r w:rsidRPr="00C90819">
        <w:rPr>
          <w:rStyle w:val="FontStyle19"/>
          <w:sz w:val="24"/>
          <w:szCs w:val="24"/>
          <w:lang w:val="bg-BG"/>
        </w:rPr>
        <w:t>8</w:t>
      </w:r>
      <w:r w:rsidRPr="00C90819">
        <w:rPr>
          <w:rStyle w:val="FontStyle19"/>
          <w:sz w:val="24"/>
          <w:szCs w:val="24"/>
        </w:rPr>
        <w:t xml:space="preserve"> г</w:t>
      </w:r>
      <w:r w:rsidRPr="00C90819">
        <w:rPr>
          <w:rStyle w:val="FontStyle19"/>
          <w:sz w:val="24"/>
          <w:szCs w:val="24"/>
          <w:lang w:val="bg-BG"/>
        </w:rPr>
        <w:t>.</w:t>
      </w:r>
      <w:r w:rsidRPr="00C90819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„Земеделие” гр. Кърджали, извърши проверка на място и констатира пропаднали площи в размер на 187,32 ха. За нанесените щети има издадени 50 броя констативни протоколи с размер на пропадналата площ 47,91 ха. и 204 бр. обикновени протоколи с размер на пропадналата площ 139,41 ха.</w:t>
      </w:r>
    </w:p>
    <w:p w:rsidR="00255280" w:rsidRPr="00D740FD" w:rsidRDefault="00255280" w:rsidP="005730D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На 04 октомври 2018 година, информацията от констативните протоколи е  обобщена в регистър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по образец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,  ведно с доклад е изпратена в дирекция „Растениевъдство и биологично земеделие ”  на МЗХГ.</w:t>
      </w:r>
    </w:p>
    <w:p w:rsidR="00255280" w:rsidRPr="001C5129" w:rsidRDefault="00255280" w:rsidP="008F2D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lang w:val="bg-BG"/>
        </w:rPr>
        <w:t xml:space="preserve">          </w:t>
      </w:r>
      <w:r w:rsidRPr="001C5129">
        <w:rPr>
          <w:rFonts w:ascii="Times New Roman" w:hAnsi="Times New Roman" w:cs="Times New Roman"/>
          <w:b/>
          <w:bCs/>
          <w:sz w:val="24"/>
          <w:szCs w:val="24"/>
          <w:lang w:val="bg-BG"/>
        </w:rPr>
        <w:t>С изменение на Закона за прилагане на общата организация на пазарите на земеделски продукти на европейския съюз /ЗПООПЗПЕС/ на областните дирекции са вменени  дейности по: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ежемесечен прием на декларации за места на съхранение на зърно и на налично количество зърно в тях;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прием на всяко тримесечие на декларации от земеделските производители за произведеното и наличното зърно по видове, като през периода от юли да септември приемът на декларациите за пшеница е ежемесечен;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на обектите за съхранение на зърно и за лицата и на земеделските стопанства за достоверността  на данните, вписани в декларациите;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вземане на проби за представително окачествяване на реколтата от пшеница, ечемик, слънчоглед и царевица;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водене и съхраняване на бази данни и за лицата, които стопанисват обектите за съхранение на зърно;</w:t>
      </w:r>
    </w:p>
    <w:p w:rsidR="00255280" w:rsidRDefault="00255280" w:rsidP="008F2D7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съставяне на актове при установяване на нарушения.</w:t>
      </w:r>
    </w:p>
    <w:p w:rsidR="00255280" w:rsidRDefault="00255280" w:rsidP="003B32C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На територията на област Кърджали към 31.12.2018г. има 3 броя регистрирани обекти за съхранение на зърно. Ежемесечно се извършва прием на 3 броя декларации по приложение №2, а на тримесечие в това число за м. юли и август декларации по приложение №3 – 5 броя.</w:t>
      </w:r>
    </w:p>
    <w:p w:rsidR="00255280" w:rsidRPr="009304CE" w:rsidRDefault="00255280" w:rsidP="003B32C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Взети и изпратени са проби за национално окачествяване на реколта 2018г., пшеница – 2 бр., ечемик – 1бр. и слънчоглед 1 бр.</w:t>
      </w:r>
    </w:p>
    <w:p w:rsidR="00255280" w:rsidRPr="00C342B0" w:rsidRDefault="00255280" w:rsidP="005730D1">
      <w:pPr>
        <w:jc w:val="both"/>
        <w:rPr>
          <w:lang w:val="bg-BG"/>
        </w:rPr>
      </w:pPr>
    </w:p>
    <w:p w:rsidR="00255280" w:rsidRPr="00F65E22" w:rsidRDefault="00255280" w:rsidP="00336792">
      <w:pPr>
        <w:overflowPunct/>
        <w:autoSpaceDE/>
        <w:autoSpaceDN/>
        <w:adjustRightInd/>
        <w:ind w:left="1080" w:right="-72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B72AE5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B72AE5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 xml:space="preserve">             </w:t>
      </w:r>
      <w:r w:rsidRPr="00B72AE5">
        <w:rPr>
          <w:rFonts w:ascii="Times New Roman" w:hAnsi="Times New Roman" w:cs="Times New Roman"/>
          <w:b/>
          <w:bCs/>
          <w:color w:val="00B050"/>
          <w:sz w:val="24"/>
          <w:szCs w:val="24"/>
        </w:rPr>
        <w:t>V</w:t>
      </w:r>
      <w:r w:rsidRPr="00B72AE5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І. АГРОСТАТИСТИКА</w:t>
      </w:r>
    </w:p>
    <w:p w:rsidR="00255280" w:rsidRPr="002558F5" w:rsidRDefault="00255280" w:rsidP="002558F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ind w:left="710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  Събиране на статистическа информация</w:t>
      </w:r>
    </w:p>
    <w:p w:rsidR="00255280" w:rsidRPr="002558F5" w:rsidRDefault="00255280" w:rsidP="002558F5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В съответствие с Програмата за провеждане на статистически изследвания през изминалата 201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г., отдел „Агростатистика”  проведе следните наблюдения:</w:t>
      </w:r>
    </w:p>
    <w:p w:rsidR="00255280" w:rsidRPr="002558F5" w:rsidRDefault="00255280" w:rsidP="002558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Ежемесечни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– при тези наблюдения се работи с всички съществуващи на територията на областта предприятия и 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приключват с годишна анкета: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Дейност на млекопреработвателни предприятия през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Дейност на кланиците за червени меса през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</w:t>
      </w:r>
    </w:p>
    <w:p w:rsidR="00255280" w:rsidRPr="002558F5" w:rsidRDefault="00255280" w:rsidP="002558F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Продуктови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– тези наблюдения се извършват един път в годината на база извадка, подадена от отдел „Агростатистика” към МЗХ: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Използване и заетост на територията на страната през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(БАНСИК)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 общо 91 сегмента 27 бр. са с горска заетост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;</w:t>
      </w:r>
    </w:p>
    <w:p w:rsidR="00255280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Добиви от земеделски култури – реколта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основната извадка попадат общо 182 бр. стопанства,  в.ч. стопанства анкетирани от други области са 27 бр.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5280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Производство на плодове през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стопанствата за анкетиране общо за областта са 170 бр., в.ч. нови стопанства създали овощни насаждения през стопанската 201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en-GB"/>
        </w:rPr>
        <w:t>7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/2018 година стопанства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Производство на зеленчуци през 2018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тук за наблюдение попадат общо 53 бр. стопанства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ind w:right="-117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Дейност на предприятията за преработка на плодове и зеленчуци през 2018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територията на област Кърджали функционира една фирми, занимаващи се с преработвателна дейност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Производство на грозде и вино през 2018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наблюдение попадат общо 33 бр. стопанства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Брой на селскостопанските животни към 01.11.201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основната извадка за наблюдение са попаднали общо 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493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стопанства, като 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бр. от тях са прекратили дейността си, а 36 броя са нови за стопанска 2017/2018 година.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Птицевъдството в България през 2018 г. –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общо за област Кърджали са анкетирани 81 бр. стопанства, като 8 бр. от тях  са  прекратили дейността си 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;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Пчеларството в България през 201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 -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общо за област Кърджали са анкетирани 38 бр. стопанства</w:t>
      </w: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като 4 бр. от тях са нови</w:t>
      </w:r>
      <w:r w:rsidRPr="002558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280" w:rsidRPr="002558F5" w:rsidRDefault="00255280" w:rsidP="002558F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Годишна земеделска статистика.</w:t>
      </w:r>
    </w:p>
    <w:p w:rsidR="00255280" w:rsidRPr="002558F5" w:rsidRDefault="00255280" w:rsidP="002558F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numPr>
          <w:ilvl w:val="0"/>
          <w:numId w:val="4"/>
        </w:numPr>
        <w:tabs>
          <w:tab w:val="left" w:pos="64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Структурни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през периода не се проведоха структурни  анкети.</w:t>
      </w:r>
    </w:p>
    <w:p w:rsidR="00255280" w:rsidRPr="002558F5" w:rsidRDefault="00255280" w:rsidP="002558F5">
      <w:pPr>
        <w:tabs>
          <w:tab w:val="left" w:pos="6480"/>
        </w:tabs>
        <w:ind w:left="8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558F5" w:rsidRDefault="00255280" w:rsidP="002558F5">
      <w:pPr>
        <w:numPr>
          <w:ilvl w:val="0"/>
          <w:numId w:val="4"/>
        </w:numPr>
        <w:tabs>
          <w:tab w:val="left" w:pos="64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558F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Система на земеделска счетоводна информация – </w:t>
      </w:r>
      <w:r w:rsidRPr="002558F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През 2018 г. на територията на област Кърджали са наблюдавани и отчетени 112 стопанства, от които 106 с едностранно счетоводство и 6 с двустранно. Всяко едно от одобрените земеделски стопанства е посетено от 2 до 4 пъти през годината с цел осъществяване на контрол на качеството на информацията и отразяването й в „Дневник на стопанина”. Попълнени са съответните формуляри, всички данни са въведени в Системата, отчетени са извършените разходи.</w:t>
      </w:r>
    </w:p>
    <w:p w:rsidR="00255280" w:rsidRDefault="00255280" w:rsidP="002558F5">
      <w:pPr>
        <w:tabs>
          <w:tab w:val="left" w:pos="64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Default="00255280" w:rsidP="002558F5">
      <w:pPr>
        <w:tabs>
          <w:tab w:val="left" w:pos="64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Pr="00212799" w:rsidRDefault="00255280" w:rsidP="000D176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255280" w:rsidRDefault="00255280" w:rsidP="000D17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A74FA2" w:rsidRDefault="00255280" w:rsidP="0049334D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 xml:space="preserve">         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</w:rPr>
        <w:t>V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ІІ. РЕГИСТРАЦИЯ И КОНТРОЛ НА ЗЕМЕДЕЛСКА И ГОРСКА ТЕХНИКА</w:t>
      </w:r>
    </w:p>
    <w:p w:rsidR="00255280" w:rsidRPr="00A74FA2" w:rsidRDefault="00255280" w:rsidP="00F4162F">
      <w:pPr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bg-BG" w:eastAsia="bg-BG"/>
        </w:rPr>
      </w:pPr>
      <w:r w:rsidRPr="00A74FA2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lang w:val="bg-BG" w:eastAsia="bg-BG"/>
        </w:rPr>
        <w:t xml:space="preserve">         </w:t>
      </w:r>
    </w:p>
    <w:p w:rsidR="00255280" w:rsidRDefault="00255280" w:rsidP="002558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</w:rPr>
        <w:t xml:space="preserve">          </w:t>
      </w:r>
      <w:r w:rsidRPr="001C512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изменение на Закона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регистрация и контрол на земеделска и горска техника от 01.01.2016г. , в правомощията на ОД „Земеделие” гр. Кърджали са делегирани и дейности по:</w:t>
      </w:r>
    </w:p>
    <w:p w:rsidR="00255280" w:rsidRDefault="00255280" w:rsidP="002558F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регистрация, промяна, прекратяване, както и отчисляване на земеделската и горска техника;</w:t>
      </w:r>
    </w:p>
    <w:p w:rsidR="00255280" w:rsidRDefault="00255280" w:rsidP="002558F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за правоспособността на лицата, които работят с техниката, техническото състояние и безопасността на техниката;</w:t>
      </w:r>
    </w:p>
    <w:p w:rsidR="00255280" w:rsidRDefault="00255280" w:rsidP="002558F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извършване на годишни, сезонни и тематични прегледи на регистрираната техника;</w:t>
      </w:r>
    </w:p>
    <w:p w:rsidR="00255280" w:rsidRDefault="00255280" w:rsidP="002558F5">
      <w:pPr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издаването и подмяната на свидетелствата за правоспособност на територията на областта.</w:t>
      </w:r>
    </w:p>
    <w:p w:rsidR="00255280" w:rsidRPr="00A74FA2" w:rsidRDefault="00255280" w:rsidP="002558F5">
      <w:pPr>
        <w:pStyle w:val="TimesNewRoman"/>
        <w:ind w:firstLine="0"/>
        <w:rPr>
          <w:rFonts w:cs="Arial"/>
        </w:rPr>
      </w:pPr>
      <w:r w:rsidRPr="00A74FA2">
        <w:rPr>
          <w:rFonts w:cs="Arial"/>
        </w:rPr>
        <w:t xml:space="preserve">          В таблица 13 е показана информация за регистрирана по видове техника на територията на област Кърджали, както също и за периода 01.01.201</w:t>
      </w:r>
      <w:r w:rsidRPr="00A74FA2">
        <w:rPr>
          <w:rFonts w:cs="Arial"/>
          <w:lang w:val="en-US"/>
        </w:rPr>
        <w:t>8</w:t>
      </w:r>
      <w:r w:rsidRPr="00A74FA2">
        <w:rPr>
          <w:rFonts w:cs="Arial"/>
        </w:rPr>
        <w:t>г. - 31.12.201</w:t>
      </w:r>
      <w:r w:rsidRPr="00A74FA2">
        <w:rPr>
          <w:rFonts w:cs="Arial"/>
          <w:lang w:val="en-US"/>
        </w:rPr>
        <w:t>8</w:t>
      </w:r>
      <w:r w:rsidRPr="00A74FA2">
        <w:rPr>
          <w:rFonts w:cs="Arial"/>
        </w:rPr>
        <w:t xml:space="preserve">г. в Областна дирекция „Земеделие” – гр. Кърджали: </w:t>
      </w:r>
    </w:p>
    <w:p w:rsidR="00255280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</w:p>
    <w:p w:rsidR="00255280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5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Таблица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3</w:t>
      </w:r>
    </w:p>
    <w:p w:rsidR="00255280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9838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678"/>
        <w:gridCol w:w="1397"/>
        <w:gridCol w:w="1397"/>
        <w:gridCol w:w="1397"/>
        <w:gridCol w:w="1266"/>
        <w:gridCol w:w="1283"/>
      </w:tblGrid>
      <w:tr w:rsidR="00255280" w:rsidRPr="00233B0A">
        <w:trPr>
          <w:trHeight w:val="1035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Вид техника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Регистрирана техника за периода 01.01.201</w:t>
            </w:r>
            <w:r w:rsidRPr="006B4D7B">
              <w:rPr>
                <w:rFonts w:ascii="Times New Roman" w:hAnsi="Times New Roman" w:cs="Times New Roman"/>
                <w:lang w:eastAsia="bg-BG"/>
              </w:rPr>
              <w:t>7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г.-31.</w:t>
            </w:r>
            <w:r w:rsidRPr="006B4D7B">
              <w:rPr>
                <w:rFonts w:ascii="Times New Roman" w:hAnsi="Times New Roman" w:cs="Times New Roman"/>
                <w:lang w:eastAsia="bg-BG"/>
              </w:rPr>
              <w:t>12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.201</w:t>
            </w:r>
            <w:r w:rsidRPr="006B4D7B">
              <w:rPr>
                <w:rFonts w:ascii="Times New Roman" w:hAnsi="Times New Roman" w:cs="Times New Roman"/>
                <w:lang w:eastAsia="bg-BG"/>
              </w:rPr>
              <w:t>7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г.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Регистрирана техника за периода 01.01.201</w:t>
            </w:r>
            <w:r w:rsidRPr="006B4D7B">
              <w:rPr>
                <w:rFonts w:ascii="Times New Roman" w:hAnsi="Times New Roman" w:cs="Times New Roman"/>
                <w:lang w:eastAsia="bg-BG"/>
              </w:rPr>
              <w:t>8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г.-31.12.201</w:t>
            </w:r>
            <w:r w:rsidRPr="006B4D7B">
              <w:rPr>
                <w:rFonts w:ascii="Times New Roman" w:hAnsi="Times New Roman" w:cs="Times New Roman"/>
                <w:lang w:eastAsia="bg-BG"/>
              </w:rPr>
              <w:t>8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г.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Регистрирана техника до 31.</w:t>
            </w:r>
            <w:r w:rsidRPr="006B4D7B">
              <w:rPr>
                <w:rFonts w:ascii="Times New Roman" w:hAnsi="Times New Roman" w:cs="Times New Roman"/>
                <w:lang w:eastAsia="bg-BG"/>
              </w:rPr>
              <w:t>12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.2018г.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Отчислена техника до 31.</w:t>
            </w:r>
            <w:r w:rsidRPr="006B4D7B">
              <w:rPr>
                <w:rFonts w:ascii="Times New Roman" w:hAnsi="Times New Roman" w:cs="Times New Roman"/>
                <w:lang w:eastAsia="bg-BG"/>
              </w:rPr>
              <w:t>12</w:t>
            </w:r>
            <w:r w:rsidRPr="006B4D7B">
              <w:rPr>
                <w:rFonts w:ascii="Times New Roman" w:hAnsi="Times New Roman" w:cs="Times New Roman"/>
                <w:lang w:val="bg-BG" w:eastAsia="bg-BG"/>
              </w:rPr>
              <w:t>.2018г.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Техника</w:t>
            </w:r>
          </w:p>
          <w:p w:rsidR="00255280" w:rsidRPr="006B4D7B" w:rsidRDefault="00255280" w:rsidP="004576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 xml:space="preserve"> с валидна регистрация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общо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общо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80" w:rsidRPr="006B4D7B" w:rsidRDefault="00255280" w:rsidP="008F418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Верижни трактори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62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Колесни трактори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691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Самоходни шасита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51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Друга самоходна техника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164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Тракторни ремаркета: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155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в т.ч.с общо предназначение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133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със спец.предназначение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22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8.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Горска техника/група А/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29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9.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Зърнокомбайни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8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10.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Самоходни силажокомбайни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Други самоходни машини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Машини за сеидба и садене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28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Машини за торене и растителна защита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37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14.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Фуражоприбиращи и фуражопреработващи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197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15.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Почвообработващи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778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16.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Сушилни и други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Зърно и семепочистващи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0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18.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Машини за поливане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38</w:t>
            </w:r>
          </w:p>
        </w:tc>
      </w:tr>
      <w:tr w:rsidR="00255280" w:rsidRPr="00233B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19.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Горска техника/група В/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</w:rPr>
            </w:pPr>
            <w:r w:rsidRPr="006B4D7B">
              <w:rPr>
                <w:rFonts w:ascii="Times New Roman" w:hAnsi="Times New Roman" w:cs="Times New Roman"/>
              </w:rPr>
              <w:t>321</w:t>
            </w:r>
          </w:p>
        </w:tc>
      </w:tr>
      <w:tr w:rsidR="00255280" w:rsidRPr="00233B0A">
        <w:trPr>
          <w:trHeight w:val="1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lang w:val="bg-BG" w:eastAsia="bg-BG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4576D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lang w:val="bg-BG" w:eastAsia="bg-BG"/>
              </w:rPr>
            </w:pPr>
            <w:r w:rsidRPr="006B4D7B">
              <w:rPr>
                <w:rFonts w:ascii="Times New Roman" w:hAnsi="Times New Roman" w:cs="Times New Roman"/>
                <w:b/>
                <w:bCs/>
                <w:lang w:val="bg-BG" w:eastAsia="bg-BG"/>
              </w:rPr>
              <w:t>Общ брой техника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5280" w:rsidRPr="006B4D7B" w:rsidRDefault="00255280" w:rsidP="006B4D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7B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6B4D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6B4D7B">
              <w:rPr>
                <w:rFonts w:ascii="Times New Roman" w:hAnsi="Times New Roman" w:cs="Times New Roman"/>
                <w:b/>
                <w:bCs/>
                <w:lang w:eastAsia="bg-BG"/>
              </w:rPr>
              <w:t>252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6B4D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6B4D7B">
              <w:rPr>
                <w:rFonts w:ascii="Times New Roman" w:hAnsi="Times New Roman" w:cs="Times New Roman"/>
                <w:b/>
                <w:bCs/>
                <w:lang w:eastAsia="bg-BG"/>
              </w:rPr>
              <w:t>4280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6B4D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6B4D7B">
              <w:rPr>
                <w:rFonts w:ascii="Times New Roman" w:hAnsi="Times New Roman" w:cs="Times New Roman"/>
                <w:b/>
                <w:bCs/>
                <w:lang w:val="bg-BG" w:eastAsia="bg-BG"/>
              </w:rPr>
              <w:t>1</w:t>
            </w:r>
            <w:r w:rsidRPr="006B4D7B">
              <w:rPr>
                <w:rFonts w:ascii="Times New Roman" w:hAnsi="Times New Roman" w:cs="Times New Roman"/>
                <w:b/>
                <w:bCs/>
                <w:lang w:eastAsia="bg-BG"/>
              </w:rPr>
              <w:t>559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5280" w:rsidRPr="006B4D7B" w:rsidRDefault="00255280" w:rsidP="006B4D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bookmarkStart w:id="1" w:name="RANGE_H24"/>
            <w:bookmarkEnd w:id="1"/>
            <w:r w:rsidRPr="006B4D7B">
              <w:rPr>
                <w:rFonts w:ascii="Times New Roman" w:hAnsi="Times New Roman" w:cs="Times New Roman"/>
                <w:b/>
                <w:bCs/>
                <w:lang w:eastAsia="bg-BG"/>
              </w:rPr>
              <w:t>2721</w:t>
            </w:r>
          </w:p>
        </w:tc>
      </w:tr>
    </w:tbl>
    <w:p w:rsidR="00255280" w:rsidRPr="00233B0A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:rsidR="00255280" w:rsidRPr="00857C18" w:rsidRDefault="00255280" w:rsidP="00255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През календарната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г. областна дирекция „Земеделие”  извърши годишен технически преглед на 8</w:t>
      </w: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броя земеделска и горска техника, с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брой по-малко в сравнение с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255280" w:rsidRDefault="00255280" w:rsidP="00F203F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F203F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A74FA2" w:rsidRDefault="00255280" w:rsidP="0049334D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 xml:space="preserve">          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</w:rPr>
        <w:t>V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ІІІ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A74FA2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ПОЗЕМЛЕНИ ОТНОШЕНИЯ</w:t>
      </w:r>
    </w:p>
    <w:p w:rsidR="00255280" w:rsidRPr="0088660D" w:rsidRDefault="00255280" w:rsidP="00013B0F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bg-BG"/>
        </w:rPr>
      </w:pPr>
    </w:p>
    <w:p w:rsidR="00255280" w:rsidRPr="004E5ADD" w:rsidRDefault="00255280" w:rsidP="00A3015B">
      <w:pPr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Държавният поземлен фонд към 31.12.2018 г.  по данни на Общинските служби по земеделие е 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183 452.213 дка. По общини разпределението е както следва: Ардино –15 422.650 дка; Джебел – 3 057.611 дка; Кирково – 61 184.539 дка; Крумовград –70 559.113 дка; Кърджали – 12 709.644 дка; Момчилград –13 535.509 дка и Черноочене – 6 983.147 дка. </w:t>
      </w:r>
    </w:p>
    <w:p w:rsidR="00255280" w:rsidRPr="004E5ADD" w:rsidRDefault="00255280" w:rsidP="00A3015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изпълнение на Заповед №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t>РД 46-177/26.03.2018 г.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министъра на земеделието, храните и горите и на основание чл. 24а, ал. 1 от ЗСПЗЗ и чл. 47ж, ал. 1 от ППЗСПЗЗ се обявиха две тръжни сесии за отдаване под наем или аренда на свободни земеделски земи от ДПФ на територията на област Кърджали за стопанската 2018/2019 г., както следва: </w:t>
      </w:r>
    </w:p>
    <w:p w:rsidR="00255280" w:rsidRPr="004E5ADD" w:rsidRDefault="00255280" w:rsidP="00A3015B">
      <w:pPr>
        <w:numPr>
          <w:ilvl w:val="0"/>
          <w:numId w:val="13"/>
        </w:numPr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първа тръжна сесия за дългосрочно отдаване под наем/аренда на земеделски земи от ДПФ за отглеждане на едногодишни полски култури и многогодишни фуражни култури-житни, бобови и техните смески за срок от пет стопански години и за отглеждане на съществуващи трайни насаждения – 2007 бр. имоти, с обща площ 5 647.624 дка, в това число 2004 бр. имоти, с обща площ 5 422.485 дка за отглеждане на едногодишни полски култури и многогодишни фуражни култури-житни, бобови и техните смески за срок от пет стопански години и 3 бр. имоти за 225.139 дка за отглеждане на съществуващи трайни насаждения. </w:t>
      </w:r>
    </w:p>
    <w:p w:rsidR="00255280" w:rsidRPr="004E5ADD" w:rsidRDefault="00255280" w:rsidP="00A3015B">
      <w:pPr>
        <w:numPr>
          <w:ilvl w:val="0"/>
          <w:numId w:val="13"/>
        </w:numPr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втора тръжна сесия за дългосрочно отдаване под наем/аренда на земеделски земи от ДПФ за отглеждане на едногодишни полски култури и многогодишни фуражни култури-житни, бобови и техните смески за срок от пет стопански години и за отглеждане на съществуващи трайни насаждения – 1911 бр. имоти, с обща площ 4 916.408 дка, в това число 1909 бр. имоти, с обща площ 4 868.707 дка за отглеждане на едногодишни полски култури и многогодишни фуражни култури-житни, бобови и техните смески за срок от пет стопански години и 2 бр. имоти за 47.701 дка за отглеждане на съществуващи трайни насаждения. 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Сключените договори от проведените тръжни сесии са 7 бр. за 97 бр. имоти, с обща площ 731.216 дка, в това число за: отглеждане на едногодишни полски култури за срок от пет стопански години – 4 бр. договори за 92 бр. имоти, с обща площ 459,068 дка; за отглеждане на многогодишни фуражни култури-житни, бобови и техните смески за срок от пет стопански години – 2 бр. договори за 4 бр. имоти, с обща площ 31.432 дка и за отглеждане на съществуващи трайни насаждения – 1 бр. договор за 1 бр. имоти, с обща площ 177.438 дка.</w:t>
      </w:r>
    </w:p>
    <w:p w:rsidR="00255280" w:rsidRPr="00B26C57" w:rsidRDefault="00255280" w:rsidP="00A301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6C57">
        <w:rPr>
          <w:rFonts w:ascii="Times New Roman" w:hAnsi="Times New Roman" w:cs="Times New Roman"/>
          <w:sz w:val="24"/>
          <w:szCs w:val="24"/>
          <w:lang w:val="bg-BG"/>
        </w:rPr>
        <w:t>Във връзка с прилагане на разпоредбите на чл. 37м,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ал. 1 от Закона за собствеността</w:t>
      </w:r>
      <w:r w:rsidRPr="00B26C57">
        <w:rPr>
          <w:rFonts w:ascii="Times New Roman" w:hAnsi="Times New Roman" w:cs="Times New Roman"/>
          <w:sz w:val="24"/>
          <w:szCs w:val="24"/>
          <w:lang w:val="bg-BG"/>
        </w:rPr>
        <w:t xml:space="preserve"> и ползването на земеделските земи </w:t>
      </w:r>
      <w:r>
        <w:rPr>
          <w:rFonts w:ascii="Times New Roman" w:hAnsi="Times New Roman" w:cs="Times New Roman"/>
          <w:sz w:val="24"/>
          <w:szCs w:val="24"/>
          <w:lang w:val="bg-BG"/>
        </w:rPr>
        <w:t>/ЗСПЗЗ/ със заповед на директора на ОД “Земеделие“ се определи комисия, за извършване на проверката. Комисията провери 203 бр. договори за наем/аренда на пасища, мери и ливади, сключени със 159 бр. земеделски стопани, относно спазени ли са условията на чл. 37и, ал. 1 и ал. 4 от ЗСПЗЗ за ползването им, съобразно броя и вида на регистрираните пасищни селскостопански животни. Спазването на изискванията за притежавани брой и вид животни се установи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 – животновъдни обекти, собственици или ползватели на регистрирани животновъдни обекти и пасищни селскостопански животни в животновъдните обекти. На основание резултатите от проверката се установи, че общо 199 бр. договори, сключени със 155 бр. ползватели отговарят на условията на чл. 37и, ал. 4 от ЗСПЗЗ. Несъответствие с изискванията на чл. 37и, ал. 4 от ЗСПЗЗ бе констатирано за 4 бр. договори за наем/аренда на пасища, мери и ливади от ДПФ. За констатираните несъответствия се предприеха мерки и действия.</w:t>
      </w:r>
    </w:p>
    <w:p w:rsidR="00255280" w:rsidRPr="004E5ADD" w:rsidRDefault="00255280" w:rsidP="00A3015B">
      <w:pPr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изпълнение на дейностите, свързани с процедурата по реда на чл. 37и от Закона за собствеността и ползването на земеделските земи (ЗСПЗЗ) за отдаване под наем или аренда на пасища, мери и ливади от държавния поземлен фонд със </w:t>
      </w:r>
      <w:r w:rsidRPr="004E5ADD">
        <w:rPr>
          <w:rFonts w:ascii="Times New Roman" w:hAnsi="Times New Roman" w:cs="Times New Roman"/>
          <w:caps/>
          <w:sz w:val="24"/>
          <w:szCs w:val="24"/>
          <w:lang w:val="bg-BG"/>
        </w:rPr>
        <w:t>з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t>аповед №РД 46-135/27.02.2018 г. на министъра на земеделието, храните и горите са определени свободни пасища, мери и ливади за отдаване под наем или аренда за стопанската 2018-2019 г. – общо 5369 бр. имоти с обща площ 52 584.693 дка.</w:t>
      </w:r>
    </w:p>
    <w:p w:rsidR="00255280" w:rsidRPr="004E5ADD" w:rsidRDefault="00255280" w:rsidP="00A3015B">
      <w:pPr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Процедурата по разпределение на пасища, мери и ливадите</w:t>
      </w:r>
      <w:r w:rsidRPr="004E5AD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на собственици или ползватели на животновъдни обекти с пасищни селскостопански животни, регистрирани в Интегрираната 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lastRenderedPageBreak/>
        <w:t>информационна система на БАБХ през стопанската 2018/2019 г., е проведена на територията на 5 бр. общини – Ардино, Крумовград, Кърджали, Момчилград и Черноочене.</w:t>
      </w:r>
    </w:p>
    <w:p w:rsidR="00255280" w:rsidRPr="004E5ADD" w:rsidRDefault="00255280" w:rsidP="00A3015B">
      <w:pPr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За стопанската 2018/2019 г., комисията към ОД „Земеделие” – Кърджали от постъпили общо 108 подадени заявления за допълнително разпределение на имоти от държавния поземлен фонд е удовлетворила общо 88 заявления и е разпределила общо 1441 бр. имота от ДПФ с обща площ 18 691.645 дка. Съобразно изискванията на чл. 100, ал. 10 от ППЗСПЗЗ се изготви пространствено сечение между разпределените имоти </w:t>
      </w:r>
      <w:r w:rsidRPr="004E5ADD">
        <w:rPr>
          <w:rFonts w:ascii="Times New Roman" w:hAnsi="Times New Roman" w:cs="Times New Roman"/>
          <w:i/>
          <w:iCs/>
          <w:sz w:val="24"/>
          <w:szCs w:val="24"/>
          <w:lang w:val="bg-BG"/>
        </w:rPr>
        <w:t>(от картата на възстановената собственост или от кадастралната карта)</w:t>
      </w: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 и актуалния специализиран слой "Площи, допустими за подпомагане". </w:t>
      </w:r>
    </w:p>
    <w:p w:rsidR="00255280" w:rsidRPr="004E5ADD" w:rsidRDefault="00255280" w:rsidP="00A3015B">
      <w:pPr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Сключени са 54 бр. договора за 408 бр. имота с обща площ 4 414.970 дка. </w:t>
      </w:r>
    </w:p>
    <w:p w:rsidR="00255280" w:rsidRPr="004E5ADD" w:rsidRDefault="00255280" w:rsidP="00A3015B">
      <w:pPr>
        <w:widowControl w:val="0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На основание чл. 37и, ал. 13 от ЗСПЗЗ се обявиха 4968 бр. имоти, с обща площ 48901.248 дка свободни пасища, мери и ливади от държавния поземлен фонд под наем чрез търг, в който се допускаха до участие само собственици на пасищни селскостопански животни, регистрирани в Интегрираната информационна система на БАБХ. Сключени са 19 бр. договори за 329 бр. имоти, с обща площ 6 200.781 дка през месец декември 2018 г.</w:t>
      </w:r>
    </w:p>
    <w:p w:rsidR="00255280" w:rsidRPr="004E5ADD" w:rsidRDefault="00255280" w:rsidP="00A3015B">
      <w:pPr>
        <w:pStyle w:val="af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bg-BG"/>
        </w:rPr>
      </w:pPr>
      <w:r w:rsidRPr="001F7D56">
        <w:rPr>
          <w:rFonts w:ascii="Times New Roman" w:hAnsi="Times New Roman" w:cs="Times New Roman"/>
          <w:color w:val="000000"/>
          <w:lang w:val="bg-BG"/>
        </w:rPr>
        <w:t xml:space="preserve">Сключените и действащите към 31.12.2018 г. договори </w:t>
      </w:r>
      <w:r w:rsidRPr="001F7D56">
        <w:rPr>
          <w:rFonts w:ascii="Times New Roman" w:hAnsi="Times New Roman" w:cs="Times New Roman"/>
          <w:lang w:val="bg-BG"/>
        </w:rPr>
        <w:t>489 бр. за 3686 бр. имоти, с обща площ 37 756.655 дка, в това число за отглеждане на едногодишни полски култури години и многогодишни фуражни култури-житни, бобови и техните смески – 193 бр. договори  за 1997 бр. имоти, с обща площ 9 766.159 дка; за ползване на ПМЛ – 252 бр. договори за 1638 бр. имоти, с обща</w:t>
      </w:r>
      <w:r w:rsidRPr="004E5ADD">
        <w:rPr>
          <w:rFonts w:ascii="Times New Roman" w:hAnsi="Times New Roman" w:cs="Times New Roman"/>
          <w:lang w:val="bg-BG"/>
        </w:rPr>
        <w:t xml:space="preserve"> площ 25 904.988 дка; за създаване на трайни насаждения и отглеждане на съществуващи трайни насаждения мери – 44 бр. договори за 51 бр. имоти, с обща площ 2 085.508 дка.</w:t>
      </w:r>
    </w:p>
    <w:p w:rsidR="00255280" w:rsidRPr="004E5ADD" w:rsidRDefault="00255280" w:rsidP="00A3015B">
      <w:pPr>
        <w:widowControl w:val="0"/>
        <w:overflowPunct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4E5ADD">
        <w:rPr>
          <w:rFonts w:ascii="Times New Roman" w:hAnsi="Times New Roman" w:cs="Times New Roman"/>
          <w:sz w:val="24"/>
          <w:szCs w:val="24"/>
          <w:lang w:eastAsia="bg-BG"/>
        </w:rPr>
        <w:t xml:space="preserve">Общинските служби по земеделие ежегодно извършват не по-малко от две проверки </w:t>
      </w:r>
      <w:r w:rsidRPr="004E5ADD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(до 31 май и до 30 ноември)</w:t>
      </w:r>
      <w:r w:rsidRPr="004E5ADD">
        <w:rPr>
          <w:rFonts w:ascii="Times New Roman" w:hAnsi="Times New Roman" w:cs="Times New Roman"/>
          <w:sz w:val="24"/>
          <w:szCs w:val="24"/>
          <w:lang w:eastAsia="bg-BG"/>
        </w:rPr>
        <w:t xml:space="preserve"> на земите от държавния поземлен фонд и информират областните дирекции "Земеделие" за състоянието и ползването им. Проверките се извършват на терен и/или чрез данни от изготвено пространствено сечение между имотите от картата на възстановената собственост (КВС) или от кадастралната карта</w:t>
      </w:r>
      <w:r w:rsidRPr="004E5AD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кадастралните карти </w:t>
      </w:r>
      <w:r w:rsidRPr="004E5ADD">
        <w:rPr>
          <w:rFonts w:ascii="Times New Roman" w:hAnsi="Times New Roman" w:cs="Times New Roman"/>
          <w:sz w:val="24"/>
          <w:szCs w:val="24"/>
          <w:lang w:eastAsia="bg-BG"/>
        </w:rPr>
        <w:t>(КК</w:t>
      </w:r>
      <w:r w:rsidRPr="004E5ADD">
        <w:rPr>
          <w:rFonts w:ascii="Times New Roman" w:hAnsi="Times New Roman" w:cs="Times New Roman"/>
          <w:sz w:val="24"/>
          <w:szCs w:val="24"/>
          <w:lang w:val="bg-BG" w:eastAsia="bg-BG"/>
        </w:rPr>
        <w:t>КР</w:t>
      </w:r>
      <w:r w:rsidRPr="004E5ADD">
        <w:rPr>
          <w:rFonts w:ascii="Times New Roman" w:hAnsi="Times New Roman" w:cs="Times New Roman"/>
          <w:sz w:val="24"/>
          <w:szCs w:val="24"/>
          <w:lang w:eastAsia="bg-BG"/>
        </w:rPr>
        <w:t>) и парцелите, заявени за подпомагане по схеми и мерки за директни плащания на площ.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За извършените проверки комисиите към общинските служби съставиха констативни протоколи за установяване състоянието и ползването на всички имоти от ДПФ за всяко землище по Образец №1, съгласно Методиката.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Констативните протоколи съдържат данни за всеки имот от КВС или КККР, съгласно регистър на имотите от ДПФ - землище, № на имот, площ, нтп, както и информация за установеното състояние на имота при теренните проверки, съобразно легендата. Относно ползването на имотите като основание са изписани №/датата на документа, както и данни за ползвателя, свободен имот или неправомерно ползване.</w:t>
      </w:r>
    </w:p>
    <w:p w:rsidR="00255280" w:rsidRPr="004E5ADD" w:rsidRDefault="00255280" w:rsidP="00A3015B">
      <w:pPr>
        <w:overflowPunct/>
        <w:autoSpaceDE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От направените проверки се установи, че част от имотите от ДПФ, които по КВС/КККР представляват по нтп: „нива”, „пасища с храсти“, „пасища, мери“ и „ливади“ са се самозалесили и са станали гора по смисъла на чл. 2 от Закона за горите.</w:t>
      </w:r>
      <w:r w:rsidRPr="004E5AD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Освен това имотите с нтп: „други трайни насаждения” и „други селскостопански територии” в действителност са гори в земеделски земи. </w:t>
      </w:r>
    </w:p>
    <w:p w:rsidR="00255280" w:rsidRPr="004E5ADD" w:rsidRDefault="00255280" w:rsidP="00A3015B">
      <w:pPr>
        <w:overflowPunct/>
        <w:autoSpaceDE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горецитираното и на основание заповед №РД 46-305/15.06.2018 г. на министъра на земеделието, храните и горите за възлагане на директора на ОД „Земеделие“ – Кърджали да подава писмено заявление по чл. 83, ал. 9 от Закона за горите до изпълнителния директор на Изпълнителната агенция по горите за включване в горски територии на имотите от ДПФ, за които е констатирано, че представляват негодни за земеделско ползване територии, са изпратени до Изпълнителната агенция, чрез Регионалната дирекция по горите – Кърджали 5 бр. заявления за общо 2255 броя имоти, с обща площ 20 422.217 дка, в това число по общини: Ардино – 1611 бр. за 11 070.053 дка; Джебел – 115 бр. за 644.709 дка; Кърджали – 162 бр. за 2 693.850 дка; Момчилград – 260 бр. за 4 365.063 дка и Черноочене – 107 бр. за 1 648.063 дка. Предстои подаване заявление по чл. 83, ал. 9 от ЗГ и за още 2538 бр. имоти, с обща площ 34 641.063, в това число по общини: Кирково – 1332 бр. за 16 385.495 дка и Крумовград –1206 бр. за 18 255.568 дка.  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За земите от ДПФ, предоставени за ползване по реда на чл. 24, ал. 2 и чл. 24б от ЗСПЗЗ, комисията по т. 1.1 от методиката е изготвила констативни протоколи по Образец 3 за установяване състоянието и ползването на земите от ДПФ за всяко землище. От предоставените земеделски земи, както следва в: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lastRenderedPageBreak/>
        <w:t>землище гр. Джебел, община Джебел – с нтп: посевна площ 72.394 дка, от тях 9.811 дка се ползват като ливада;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землище с. Глухар, община Кърджали – с нтп: нива 141.345 дка, не се използват по предназначение 5.676 дка. Овощната градина с площ 4.900 дка е с установено състояние необработена нива.</w:t>
      </w:r>
    </w:p>
    <w:p w:rsidR="00255280" w:rsidRPr="004E5ADD" w:rsidRDefault="00255280" w:rsidP="00A3015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землище с. Жинзифово, община Кърджали – с нтп: нива 20.027 дка не се обработва.</w:t>
      </w:r>
    </w:p>
    <w:p w:rsidR="00255280" w:rsidRPr="004E5ADD" w:rsidRDefault="00255280" w:rsidP="00A3015B">
      <w:pPr>
        <w:overflowPunct/>
        <w:autoSpaceDE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В резултат от извършените на място проверки по реда на чл. 47, ал. 8 от ППЗСПЗЗ, съгласно констативни протоколи за състоянието и ползването на земите от ДПФ, е установено неизпълнение на задължението за създаване на трайни насаждения в рамките на гратисния период по договори за аренда. Във връзка с това договори за аренда, както следва: Договор №07 от 13.04.2009 г., с арендатор Хюсеин Айдънов Караджов; Договор №13 от 18.05.2010 г., с арендатор Гюлер Сабри Караибрям; Договор №59 от 16.08.2013 г., с арендатор Мюрифе Руфтин Салиф и Договор №63 от 22.04.2013 г., с арендатор Тихомир Йонков Гюдженов са едностранно прекратени и вписани в Службите по вписванията в област Кърджали.</w:t>
      </w:r>
    </w:p>
    <w:p w:rsidR="00255280" w:rsidRPr="004E5ADD" w:rsidRDefault="00255280" w:rsidP="00A3015B">
      <w:pPr>
        <w:overflowPunct/>
        <w:autoSpaceDE/>
        <w:adjustRightInd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На основание чл. 24д, ал. 1, т. 1 от ЗСПЗЗ и чл. 114, ал. 1 от ППЗСПЗЗ в изпълнение на 4 бр. заповеди на министъра на земеделието, храните и горите са сключени 4 бр. договори за покупко-продажба на земеделски земи от държавния поземлен фонд за 230.592 дка.</w:t>
      </w:r>
    </w:p>
    <w:p w:rsidR="00255280" w:rsidRPr="004E5ADD" w:rsidRDefault="00255280" w:rsidP="00A3015B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През отчетния период сключените договори за продажба на земя, частна държавна собственост, прилежаща към сгради и съоръжения на организациите по § 12 от ПЗР на ЗСПЗЗ на основание чл. 27, ал. 6 от ЗСПЗЗ при спазване изискванията на чл. 45а, ал. 2 от ППЗСПЗЗ са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10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бр. за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24.844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дка с обща стойност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53208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лева, от които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43216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са платени с поименни компенсационни бонове (ПКБ).</w:t>
      </w:r>
    </w:p>
    <w:p w:rsidR="00255280" w:rsidRPr="004E5ADD" w:rsidRDefault="00255280" w:rsidP="00A3015B">
      <w:pPr>
        <w:pStyle w:val="a7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основание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з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>аповед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на директора на ОД „Земеделие“, във връзка с чл. 27, ал. 8 от ЗСПЗЗ  и чл. 56з, ал. 1 от ППЗСПЗЗ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проведени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тръжн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са сключени договори за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продажба на 1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6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бр.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>имоти с обща площ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70.711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 xml:space="preserve"> дка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 167 907 лв.</w:t>
      </w:r>
      <w:r w:rsidRPr="004E5ADD">
        <w:rPr>
          <w:rFonts w:ascii="Times New Roman" w:hAnsi="Times New Roman" w:cs="Times New Roman"/>
          <w:color w:val="000000"/>
          <w:sz w:val="24"/>
          <w:szCs w:val="24"/>
        </w:rPr>
        <w:t>,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ползване, неподлежащи на възстановяване по ЗСПЗЗ.</w:t>
      </w:r>
    </w:p>
    <w:p w:rsidR="00255280" w:rsidRPr="004E5ADD" w:rsidRDefault="00255280" w:rsidP="00A3015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 периода януари – декември 2018 година Комисията по чл.17, ал.1, т. 1 от ЗОЗЗ проведе 11 заседания. Разгледани са 49 бр. преписки, от тях 12 бр. за утвърждаване на площадки за 51.921 дка и 35 бр. за промяна на предназначението за 85.827 дка. Постановените такси по чл. 30 от ЗОЗЗ са в размер на 60718.60 лв. Влезлите в сила решения са 35 бр. с площ 108.768 дка. Заплатените такси по чл. 30, ал. 1 от ЗОЗЗ са в размер на 56953.65 лв., а по чл. 30, ал. 2 от ЗОЗЗ са в размер на 1239.03 лв. Преобладаващият вид на обектите разглеждани от Комисията по чл.17, ал. 1, т. 1 от ЗОЗЗ са за жилищно застрояване. </w:t>
      </w:r>
    </w:p>
    <w:p w:rsidR="00255280" w:rsidRPr="004E5ADD" w:rsidRDefault="00255280" w:rsidP="00A3015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основание Наредба за категоризиране на земеделските земи при промяна на тяхното предназначение в ОД “Земеделие” </w:t>
      </w:r>
      <w:r w:rsidRPr="004E5ADD">
        <w:rPr>
          <w:rFonts w:ascii="Times New Roman" w:hAnsi="Times New Roman" w:cs="Times New Roman"/>
          <w:spacing w:val="40"/>
          <w:sz w:val="24"/>
          <w:szCs w:val="24"/>
          <w:lang w:val="bg-BG"/>
        </w:rPr>
        <w:t>–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Кърджали са издадени 30 броя актове за категоризация.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 годината са издадени и 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10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бр. Актове за установяване на административни нарушения по ЗОЗЗ.</w:t>
      </w:r>
    </w:p>
    <w:p w:rsidR="00255280" w:rsidRPr="004E5ADD" w:rsidRDefault="00255280" w:rsidP="00A3015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Във връзка с прилагане на Наредба №19 от 25 октомври 2012 г. за строителство в земеделски земи без промяна на предназначението им (обн. ДВ. бр. 85 от 6 ноември 2012 г.) на основание чл. 11, ал. 1, т. 4 са издадени 14 бр. положителни становища.</w:t>
      </w:r>
    </w:p>
    <w:p w:rsidR="00255280" w:rsidRPr="004E5ADD" w:rsidRDefault="00255280" w:rsidP="00A3015B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ОД “Земеделие”</w:t>
      </w:r>
      <w:r w:rsidRPr="004E5ADD">
        <w:rPr>
          <w:rFonts w:ascii="Times New Roman" w:hAnsi="Times New Roman" w:cs="Times New Roman"/>
          <w:spacing w:val="40"/>
          <w:sz w:val="24"/>
          <w:szCs w:val="24"/>
          <w:lang w:val="bg-BG"/>
        </w:rPr>
        <w:t>–</w:t>
      </w:r>
      <w:r w:rsidRPr="004E5ADD">
        <w:rPr>
          <w:rFonts w:ascii="Times New Roman" w:hAnsi="Times New Roman" w:cs="Times New Roman"/>
          <w:color w:val="000000"/>
          <w:sz w:val="24"/>
          <w:szCs w:val="24"/>
          <w:lang w:val="bg-BG"/>
        </w:rPr>
        <w:t>Кърджали извършва, контрол относно правомерното ползване на възстановената собственост на земи на граждани, на ДПФ, отговаря на постъпили жалби, сигнали и молби в законосъобразния срок, своевременно и точно. Предоставя на гражданите необходимата информация с оглед защита на техните права, информира ги относно възможностите на обжалване в случай на допуснати нарушения.</w:t>
      </w:r>
    </w:p>
    <w:p w:rsidR="00255280" w:rsidRPr="00257063" w:rsidRDefault="00255280" w:rsidP="00A3015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E5ADD">
        <w:rPr>
          <w:rFonts w:ascii="Times New Roman" w:hAnsi="Times New Roman" w:cs="Times New Roman"/>
          <w:sz w:val="24"/>
          <w:szCs w:val="24"/>
          <w:lang w:val="bg-BG"/>
        </w:rPr>
        <w:t>Обслужването на гражданите през отчетната година, свързано с дейностите по ЗСПЗЗ, ЗВСГЗГФ и ЗОЗЗ беше на необходимото ниво и изцяло съобразено с Хартата на клиента.</w:t>
      </w: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733F2C" w:rsidRDefault="00255280" w:rsidP="00874B0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7D1874" w:rsidRDefault="00255280" w:rsidP="007C5214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</w:pPr>
      <w:r w:rsidRPr="00A603E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</w:t>
      </w:r>
      <w:r w:rsidRPr="007D1874">
        <w:rPr>
          <w:rFonts w:ascii="Times New Roman" w:hAnsi="Times New Roman" w:cs="Times New Roman"/>
          <w:color w:val="00B050"/>
          <w:sz w:val="24"/>
          <w:szCs w:val="24"/>
          <w:lang w:val="bg-BG"/>
        </w:rPr>
        <w:t xml:space="preserve"> </w:t>
      </w:r>
      <w:r w:rsidRPr="007D1874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І</w:t>
      </w:r>
      <w:r w:rsidRPr="007D1874">
        <w:rPr>
          <w:rFonts w:ascii="Times New Roman" w:hAnsi="Times New Roman" w:cs="Times New Roman"/>
          <w:b/>
          <w:bCs/>
          <w:color w:val="00B050"/>
          <w:sz w:val="24"/>
          <w:szCs w:val="24"/>
        </w:rPr>
        <w:t>X</w:t>
      </w:r>
      <w:r w:rsidRPr="007D1874">
        <w:rPr>
          <w:rFonts w:ascii="Times New Roman" w:hAnsi="Times New Roman" w:cs="Times New Roman"/>
          <w:b/>
          <w:bCs/>
          <w:color w:val="00B050"/>
          <w:sz w:val="24"/>
          <w:szCs w:val="24"/>
          <w:lang w:val="bg-BG"/>
        </w:rPr>
        <w:t>. СТРУКТУРА И ЧИСЛЕНОСТ, В ТОВА ЧИСЛО ПО ОСЗ</w:t>
      </w:r>
    </w:p>
    <w:p w:rsidR="00255280" w:rsidRPr="00A603EF" w:rsidRDefault="00255280" w:rsidP="007C52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6A4115" w:rsidRDefault="00255280" w:rsidP="00744CD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>Областна дирекция ”Земеделие” Кърджали е второстепенен разпоредител с бюджетни средства към МЗХ и е с обща численост -  5</w:t>
      </w:r>
      <w:r w:rsidRPr="006A4115">
        <w:rPr>
          <w:rFonts w:ascii="Times New Roman" w:hAnsi="Times New Roman" w:cs="Times New Roman"/>
          <w:sz w:val="24"/>
          <w:szCs w:val="24"/>
        </w:rPr>
        <w:t>7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щатни бройки, от които </w:t>
      </w:r>
      <w:r w:rsidRPr="006A411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. са заети в областната дирекция и 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. - разпределени в седем общински служби по земеделие.  Дейността на дирекцията е обособена в две дирекции, като ръководството се осъществява от директор и главен секретар. </w:t>
      </w:r>
    </w:p>
    <w:p w:rsidR="00255280" w:rsidRPr="006A4115" w:rsidRDefault="00255280" w:rsidP="00744C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Дирекция „Административно-правна, финансово-стопанска дейност и човешки ресурси”: - </w:t>
      </w:r>
      <w:r w:rsidRPr="006A411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</w:t>
      </w:r>
    </w:p>
    <w:p w:rsidR="00255280" w:rsidRPr="006A4115" w:rsidRDefault="00255280" w:rsidP="00744C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sz w:val="24"/>
          <w:szCs w:val="24"/>
          <w:lang w:val="bg-BG"/>
        </w:rPr>
        <w:t>Директор, главен счетоводител.,</w:t>
      </w:r>
      <w:r w:rsidRPr="006A4115">
        <w:rPr>
          <w:rFonts w:ascii="Times New Roman" w:hAnsi="Times New Roman" w:cs="Times New Roman"/>
          <w:sz w:val="24"/>
          <w:szCs w:val="24"/>
        </w:rPr>
        <w:t xml:space="preserve"> 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>старши счетоводител,</w:t>
      </w:r>
      <w:r w:rsidRPr="006A4115">
        <w:rPr>
          <w:rFonts w:ascii="Times New Roman" w:hAnsi="Times New Roman" w:cs="Times New Roman"/>
          <w:sz w:val="24"/>
          <w:szCs w:val="24"/>
        </w:rPr>
        <w:t xml:space="preserve"> 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>старши експерт – 2 бр., и главен юрисконсулт – 1 бр.;</w:t>
      </w:r>
    </w:p>
    <w:p w:rsidR="00255280" w:rsidRPr="006A4115" w:rsidRDefault="00255280" w:rsidP="00744CD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Главна дирекция „Аграрно развитие”: - 11 бр.</w:t>
      </w:r>
    </w:p>
    <w:p w:rsidR="00255280" w:rsidRPr="006A4115" w:rsidRDefault="00255280" w:rsidP="00744C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sz w:val="24"/>
          <w:szCs w:val="24"/>
          <w:lang w:val="bg-BG"/>
        </w:rPr>
        <w:t>Главен директор, главен експерт – 4 бр. главен инспектор – 1 бр., старши инспектор – 1, старши експерт – 3 бр., младши експерт – 1 бр.</w:t>
      </w:r>
    </w:p>
    <w:p w:rsidR="00255280" w:rsidRPr="006A4115" w:rsidRDefault="00255280" w:rsidP="00744CD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Териториални звена „Общински служби по земеделие”: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ОСЗ Ардино – 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4 бр.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началник, главен експерт – 1 бр., старши експерт – 1 бр. и главен специалист – 1 бр.;.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ОСЗ Джебел – </w:t>
      </w:r>
      <w:r w:rsidRPr="006A411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4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>., началник, главен експерт – 1 бр., младши експерт – 2 бр;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ОСЗ Кирково – </w:t>
      </w:r>
      <w:r w:rsidRPr="006A411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7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бр.,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началник, старши експерт – 3 бр.,  младши експерт – 1 бр., главен специалист – 2 бр.;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ОСЗ Крумовград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7 бр.,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началник, главен експерт – 1 бр., старши експерт – 2 бр., младши експерт - 1 бр,  главен специалист – 2 бр.;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ОСЗ Кърджали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>6 бр.,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началник, главен експерт – 1 бр., старши експерт – 1 бр., младши експерти – 3 бр;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ОСЗ Момчилград -</w:t>
      </w:r>
      <w:r w:rsidRPr="006A411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5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бр.,</w:t>
      </w: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началник, главен експерт – 1 бр., старши експерт – 1 бр. младши експерт – 1 бр.,  главен специалист – 1 бр.; </w:t>
      </w:r>
    </w:p>
    <w:p w:rsidR="00255280" w:rsidRPr="006A4115" w:rsidRDefault="00255280" w:rsidP="00744C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4"/>
          <w:szCs w:val="24"/>
          <w:lang w:val="bg-BG"/>
        </w:rPr>
      </w:pPr>
      <w:r w:rsidRPr="006A411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ОСЗ Черноочене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-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5</w:t>
      </w:r>
      <w:r w:rsidRPr="006A411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бр.,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началник, главен експерт – 1 бр., старши ек</w:t>
      </w:r>
      <w:r>
        <w:rPr>
          <w:rFonts w:ascii="Times New Roman" w:hAnsi="Times New Roman" w:cs="Times New Roman"/>
          <w:sz w:val="24"/>
          <w:szCs w:val="24"/>
          <w:lang w:val="bg-BG"/>
        </w:rPr>
        <w:t>сперт – 1 бр., младши експерт –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4115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</w:p>
    <w:p w:rsidR="00255280" w:rsidRDefault="00255280" w:rsidP="00744CD5">
      <w:pPr>
        <w:ind w:left="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DB0BD1">
      <w:pPr>
        <w:ind w:left="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ОД „Земеделие” – гр. Кърджали е второстепенен разпоредител с бюджетни средства, поради което се извършва ежедневно осчетоводяване на разходи банка и каса – като оперативна обработка на внесени депозити за участие в търгове и тяхното възстановяване, изплащане на суми по 37в., ал.3, т.2 от ЗСПЗЗ / бели петна/, изготвяне, начисляване и осчетоводяване на работни заплати и хонорари. Извършва се обработка на отпуски, изготвяне на справки, удостоверения и служебни бележки. Изчисляват се суми по сключени договори за аренда за предходни години и наеми ДПФ от проведени търгове през текущата година. Осъществява се проверка и заверка по дейности на КТИ- приходни квитанции, квитанции по Наредба 49. Водят се досиета на всички 57 служители и се обслужват дейности свързани с обработка на молби за отпуск, болнични листове начисляване на заплати и др. </w:t>
      </w:r>
    </w:p>
    <w:p w:rsidR="00255280" w:rsidRDefault="00255280" w:rsidP="00DB0BD1">
      <w:pPr>
        <w:ind w:left="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01.01.2018г. - 31.12.2018г. постъпилите приходи от наем, аренда са в размер на 487 247 лв,, с 13247 лв. повече от заложените 474 000лв. за финансовата 2018г. Приходите от държавни такси са в размер на </w:t>
      </w:r>
      <w:r w:rsidRPr="0068206D">
        <w:rPr>
          <w:rFonts w:ascii="Times New Roman" w:hAnsi="Times New Roman" w:cs="Times New Roman"/>
          <w:sz w:val="24"/>
          <w:szCs w:val="24"/>
          <w:lang w:val="bg-BG"/>
        </w:rPr>
        <w:t>32434 лв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., което представлява 23,50 % или с 105566 лв. по-малко от заложените. Като основна причина за намаляване на таксите са </w:t>
      </w:r>
      <w:r w:rsidRPr="0068206D">
        <w:rPr>
          <w:rFonts w:ascii="Times New Roman" w:hAnsi="Times New Roman" w:cs="Times New Roman"/>
          <w:sz w:val="24"/>
          <w:szCs w:val="24"/>
          <w:lang w:val="bg-BG"/>
        </w:rPr>
        <w:t>издадени заповеди по реда на § 33, ал.2 от Преходните и Заключителни разпоредби към Закона за изменение и допълнение на Закона за кадастъра и имотния регистър</w:t>
      </w:r>
      <w:r w:rsidRPr="0068206D">
        <w:rPr>
          <w:rFonts w:ascii="Times New Roman" w:hAnsi="Times New Roman" w:cs="Times New Roman"/>
          <w:sz w:val="24"/>
          <w:szCs w:val="24"/>
        </w:rPr>
        <w:t xml:space="preserve"> (</w:t>
      </w:r>
      <w:r w:rsidRPr="0068206D">
        <w:rPr>
          <w:rFonts w:ascii="Times New Roman" w:hAnsi="Times New Roman" w:cs="Times New Roman"/>
          <w:sz w:val="24"/>
          <w:szCs w:val="24"/>
          <w:lang w:val="bg-BG"/>
        </w:rPr>
        <w:t xml:space="preserve"> ПЗР към ЗИД на ЗКИР</w:t>
      </w:r>
      <w:r w:rsidRPr="0068206D">
        <w:rPr>
          <w:rFonts w:ascii="Times New Roman" w:hAnsi="Times New Roman" w:cs="Times New Roman"/>
          <w:sz w:val="24"/>
          <w:szCs w:val="24"/>
        </w:rPr>
        <w:t>)</w:t>
      </w:r>
      <w:r w:rsidRPr="0068206D">
        <w:rPr>
          <w:rFonts w:ascii="Times New Roman" w:hAnsi="Times New Roman" w:cs="Times New Roman"/>
          <w:sz w:val="24"/>
          <w:szCs w:val="24"/>
          <w:lang w:val="bg-BG"/>
        </w:rPr>
        <w:t xml:space="preserve"> за прекратяване на дейността на ОСЗ по поддържане на картата на възстановена собственост (КВС)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Към 31.12.2018г. на територията на област Кърджали има издадени заповеди за 435 бр. землища, към същия период остават 6 бр. землища, за които предстои издаване на заповеди за прекратяване на дейността на ОСЗ по поддръжка на КВС и преминаването на поддръжката към АГКК.  </w:t>
      </w:r>
    </w:p>
    <w:p w:rsidR="00255280" w:rsidRDefault="00255280" w:rsidP="006A4115">
      <w:pPr>
        <w:ind w:left="284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Юрисконсултът в ОД „Земеделие” гр. Кърджали освен процесуалното представителство на Министъра на земеделието, храните и горите и на директора на ОД „Земеделие”, изготвя становища по жалби, молби и сигнали, подпомага и дейността на ГД „АР”, като изготвя становища по преписки, свързани със стопанисването на имотите от ДПФ и имоти от стопански дворове, предложения до МЗХГ за анексиране на договори за аренда и анекси по тях. Прави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искания до службата по вписване за прекратяване на договори за аренда на имоти от ДПФ при не погасяване на задълженията по тях и искания до съда за издаване на заповед по реда на чл. 417 от ГПК с цел принудително събиране на сумите, подават молби до съдия изпълнител за образуване на изпълнителни производства за събиране на сумите от некоректни платци, участват в тръжни процедури по отдаване под наем и аренда на имотите от ДПФ като член на комисии, изготвят протоколи за резултатите от търга и договори.При установяване на ползване без правно основание на имоти от ДПФ, те провеждат административното производство до издаване на индивидуален административен акт по реда на чл. 34, ал. 8 от ЗСПЗЗ за изземване на имота от неправомерния ползвател. Изготвя становища във връзка с издаването на наказателни постановления в изпълнение на ЗРКЗГТ и </w:t>
      </w:r>
      <w:r w:rsidRPr="0016566E">
        <w:rPr>
          <w:rFonts w:ascii="Times New Roman" w:hAnsi="Times New Roman" w:cs="Times New Roman"/>
          <w:sz w:val="24"/>
          <w:szCs w:val="24"/>
          <w:lang w:val="bg-BG"/>
        </w:rPr>
        <w:t>Закона за прилагане на общата организация на пазарите на земеделски продукти на европейския съюз /ЗПООПЗПЕС/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5280" w:rsidRPr="0016566E" w:rsidRDefault="00255280" w:rsidP="006A4115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От началото на 2018г. до момента 31.12.2018г. общият брой на постъпилите преписки</w:t>
      </w:r>
      <w:r>
        <w:rPr>
          <w:rFonts w:ascii="Times New Roman" w:hAnsi="Times New Roman" w:cs="Times New Roman"/>
          <w:sz w:val="24"/>
          <w:szCs w:val="24"/>
        </w:rPr>
        <w:t xml:space="preserve">, писма </w:t>
      </w:r>
      <w:r>
        <w:rPr>
          <w:rFonts w:ascii="Times New Roman" w:hAnsi="Times New Roman" w:cs="Times New Roman"/>
          <w:sz w:val="24"/>
          <w:szCs w:val="24"/>
          <w:lang w:val="bg-BG"/>
        </w:rPr>
        <w:t>и отговорите по тях, регистрирани в деловодната система на в ОД „Земеделие” гр. Кърджали е  8513 бр.</w:t>
      </w:r>
    </w:p>
    <w:p w:rsidR="00255280" w:rsidRPr="006A4115" w:rsidRDefault="00255280" w:rsidP="006A4115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255280" w:rsidRDefault="00255280" w:rsidP="005773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5280" w:rsidRPr="008C0563" w:rsidRDefault="00255280" w:rsidP="005773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5280" w:rsidRPr="00424D4F" w:rsidRDefault="00255280" w:rsidP="002F463D">
      <w:pPr>
        <w:ind w:left="-90" w:firstLine="81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424D4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ПРЕДЛОЖЕНИЯ И ИДЕИ ЗА ПОДОБРЯВАНЕ РАБОТАТА НА ОД ”ЗЕМЕДЕЛИЕ” КЪРДЖАЛИ</w:t>
      </w:r>
    </w:p>
    <w:p w:rsidR="00255280" w:rsidRPr="00424D4F" w:rsidRDefault="00255280" w:rsidP="002F463D">
      <w:pPr>
        <w:ind w:left="-90" w:firstLine="8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255280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оглед утвърждаване на областна дирекция “Земеделие” гр. Кърджали като водеща структура в областта на земеделието в процеса на работа се стремим да популяризираме дейността на дирекцията и предлаганите услуги. Целта е повишаване качеството на изпълнение, прозрачност и отговорност в работата, максимална информираност на населението за възможностите, които се откриват в тази област, за ползите, ефективността и преструктурирането на отделни стопанства, чрез засилен контрол да се сведат до минимум грешките и действията с нежелани последици. Това ще постигнем, като: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з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асил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ролята на експертите в областната дирекция по информационно – методичните и консултантски дейности по прилагане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схемите и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мерките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директни плащания и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ПРСР;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п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оддържа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по-тясна информационно-комуникативна дейност между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пециализираната администрация в областната дирекция и общинските служби в областта;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разшири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ролята на общинските служби по земеделие в съвместната работа с местната власт;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се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подо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бр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върху ползването на имоти от ДПФ;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служителите на областната дирекция повишават нивото на своите компетентности. 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D4F">
        <w:rPr>
          <w:rFonts w:ascii="Times New Roman" w:hAnsi="Times New Roman" w:cs="Times New Roman"/>
          <w:sz w:val="24"/>
          <w:szCs w:val="24"/>
          <w:lang w:val="bg-BG"/>
        </w:rPr>
        <w:t>През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год. развитието на земеделския отрасъл продълж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ава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на реалното ни членство в ЕС.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Наред с финансова подкрепа, която получ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ав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ат българските земеделски производители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като директни плащания, пазарна подкрепа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и средства за развитие на селските райони, тяхното интегриране в европейския пазар изисква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ше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и продължава да изисква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не малко усилия за спазването на добрите и модерни европейски практики, норми 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стандарти за производството на висококачествена, безопасна за потребителите 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конкурентноспособна продукция.</w:t>
      </w:r>
    </w:p>
    <w:p w:rsidR="00255280" w:rsidRPr="00424D4F" w:rsidRDefault="00255280" w:rsidP="00D967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Областна дирекция </w:t>
      </w:r>
      <w:r w:rsidRPr="00424D4F">
        <w:rPr>
          <w:rFonts w:ascii="Times New Roman" w:hAnsi="Times New Roman" w:cs="Times New Roman"/>
          <w:b/>
          <w:bCs/>
          <w:sz w:val="24"/>
          <w:szCs w:val="24"/>
          <w:lang w:val="bg-BG"/>
        </w:rPr>
        <w:t>”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Земеделие” гр. Кърджали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, като отчита постигнатите резултати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развитието на аграрния отрасъл и има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йки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пред вид, че настоящите реалности изискват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 умело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съчетаване на общата европейска политика с националната,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 xml:space="preserve">подчинява изцяло своята дейност на 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>определ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ените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приоритети и цели на политиката си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в това число политиката на МЗХ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424D4F">
        <w:rPr>
          <w:rFonts w:ascii="Times New Roman" w:hAnsi="Times New Roman" w:cs="Times New Roman"/>
          <w:sz w:val="24"/>
          <w:szCs w:val="24"/>
          <w:lang w:val="bg-BG"/>
        </w:rPr>
        <w:t>, за осъществяването им п</w:t>
      </w:r>
      <w:r w:rsidRPr="00424D4F">
        <w:rPr>
          <w:rFonts w:ascii="Times New Roman" w:hAnsi="Times New Roman" w:cs="Times New Roman"/>
          <w:sz w:val="24"/>
          <w:szCs w:val="24"/>
          <w:lang w:val="ru-RU"/>
        </w:rPr>
        <w:t xml:space="preserve">рез </w:t>
      </w:r>
      <w:r>
        <w:rPr>
          <w:rFonts w:ascii="Times New Roman" w:hAnsi="Times New Roman" w:cs="Times New Roman"/>
          <w:sz w:val="24"/>
          <w:szCs w:val="24"/>
          <w:lang w:val="ru-RU"/>
        </w:rPr>
        <w:t>новия програмен период.</w:t>
      </w:r>
    </w:p>
    <w:p w:rsidR="00255280" w:rsidRDefault="00255280" w:rsidP="002F463D">
      <w:pPr>
        <w:ind w:left="7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5280" w:rsidRDefault="00255280" w:rsidP="002F463D">
      <w:pPr>
        <w:ind w:left="7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5280" w:rsidRPr="00424D4F" w:rsidRDefault="00255280" w:rsidP="002F463D">
      <w:pPr>
        <w:ind w:left="7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5280" w:rsidRDefault="00255280" w:rsidP="002F463D">
      <w:pPr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55280" w:rsidRPr="00424D4F" w:rsidRDefault="00255280" w:rsidP="002F463D">
      <w:pPr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24D4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 КЪРДЖАЛИ…………………………</w:t>
      </w:r>
    </w:p>
    <w:p w:rsidR="00255280" w:rsidRPr="002F463D" w:rsidRDefault="00255280" w:rsidP="00BC6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</w:t>
      </w:r>
      <w:r w:rsidRPr="00424D4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Йорданка Гочева</w:t>
      </w:r>
      <w:r w:rsidRPr="00424D4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</w:p>
    <w:sectPr w:rsidR="00255280" w:rsidRPr="002F463D" w:rsidSect="00F203FE">
      <w:footerReference w:type="default" r:id="rId15"/>
      <w:headerReference w:type="first" r:id="rId16"/>
      <w:footerReference w:type="first" r:id="rId17"/>
      <w:pgSz w:w="11907" w:h="16840" w:code="9"/>
      <w:pgMar w:top="990" w:right="567" w:bottom="851" w:left="993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87" w:rsidRDefault="00544287">
      <w:r>
        <w:separator/>
      </w:r>
    </w:p>
  </w:endnote>
  <w:endnote w:type="continuationSeparator" w:id="0">
    <w:p w:rsidR="00544287" w:rsidRDefault="0054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80" w:rsidRDefault="00255280" w:rsidP="00973DCE">
    <w:pPr>
      <w:pStyle w:val="a5"/>
      <w:framePr w:wrap="auto" w:vAnchor="text" w:hAnchor="margin" w:xAlign="center" w:y="1"/>
      <w:rPr>
        <w:rStyle w:val="af5"/>
        <w:rFonts w:cs="Arial"/>
      </w:rPr>
    </w:pPr>
    <w:r>
      <w:rPr>
        <w:rStyle w:val="af5"/>
        <w:rFonts w:cs="Arial"/>
      </w:rPr>
      <w:fldChar w:fldCharType="begin"/>
    </w:r>
    <w:r>
      <w:rPr>
        <w:rStyle w:val="af5"/>
        <w:rFonts w:cs="Arial"/>
      </w:rPr>
      <w:instrText xml:space="preserve">PAGE  </w:instrText>
    </w:r>
    <w:r>
      <w:rPr>
        <w:rStyle w:val="af5"/>
        <w:rFonts w:cs="Arial"/>
      </w:rPr>
      <w:fldChar w:fldCharType="separate"/>
    </w:r>
    <w:r w:rsidR="00712A54">
      <w:rPr>
        <w:rStyle w:val="af5"/>
        <w:rFonts w:cs="Arial"/>
        <w:noProof/>
      </w:rPr>
      <w:t>2</w:t>
    </w:r>
    <w:r>
      <w:rPr>
        <w:rStyle w:val="af5"/>
        <w:rFonts w:cs="Arial"/>
      </w:rPr>
      <w:fldChar w:fldCharType="end"/>
    </w:r>
  </w:p>
  <w:p w:rsidR="00255280" w:rsidRDefault="00255280">
    <w:pPr>
      <w:pStyle w:val="a5"/>
      <w:jc w:val="right"/>
    </w:pPr>
  </w:p>
  <w:p w:rsidR="00255280" w:rsidRDefault="002552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80" w:rsidRDefault="00255280" w:rsidP="0099677F">
    <w:pPr>
      <w:jc w:val="center"/>
      <w:rPr>
        <w:sz w:val="18"/>
        <w:szCs w:val="18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</w:t>
    </w:r>
  </w:p>
  <w:p w:rsidR="00255280" w:rsidRPr="003E2E98" w:rsidRDefault="0025528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3E2E98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>тел./факс 0361-6 2976 /6 2996 /6 5603</w:t>
    </w:r>
    <w:r w:rsidRPr="000B03D9">
      <w:rPr>
        <w:sz w:val="18"/>
        <w:szCs w:val="18"/>
        <w:lang w:val="bg-BG"/>
      </w:rPr>
      <w:t xml:space="preserve"> </w:t>
    </w:r>
  </w:p>
  <w:p w:rsidR="00255280" w:rsidRPr="00025093" w:rsidRDefault="00255280" w:rsidP="0099677F">
    <w:pPr>
      <w:jc w:val="center"/>
      <w:rPr>
        <w:sz w:val="18"/>
        <w:szCs w:val="18"/>
        <w:lang w:val="bg-BG"/>
      </w:rPr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0B03D9">
      <w:rPr>
        <w:sz w:val="18"/>
        <w:szCs w:val="18"/>
        <w:lang w:val="bg-BG"/>
      </w:rPr>
      <w:t xml:space="preserve">: </w:t>
    </w:r>
    <w:r w:rsidRPr="007B50E9">
      <w:rPr>
        <w:sz w:val="18"/>
        <w:szCs w:val="18"/>
      </w:rPr>
      <w:t>Delovod</w:t>
    </w:r>
    <w:r w:rsidRPr="00025093">
      <w:rPr>
        <w:sz w:val="18"/>
        <w:szCs w:val="18"/>
        <w:lang w:val="bg-BG"/>
      </w:rPr>
      <w:t>-</w:t>
    </w:r>
    <w:r w:rsidRPr="007B50E9">
      <w:rPr>
        <w:sz w:val="18"/>
        <w:szCs w:val="18"/>
      </w:rPr>
      <w:t>ODZ</w:t>
    </w:r>
    <w:r w:rsidRPr="00025093">
      <w:rPr>
        <w:sz w:val="18"/>
        <w:szCs w:val="18"/>
        <w:lang w:val="bg-BG"/>
      </w:rPr>
      <w:t>_</w:t>
    </w:r>
    <w:r w:rsidRPr="007B50E9">
      <w:rPr>
        <w:sz w:val="18"/>
        <w:szCs w:val="18"/>
      </w:rPr>
      <w:t>Kj</w:t>
    </w:r>
    <w:r w:rsidRPr="00025093">
      <w:rPr>
        <w:sz w:val="18"/>
        <w:szCs w:val="18"/>
        <w:lang w:val="bg-BG"/>
      </w:rPr>
      <w:t>@</w:t>
    </w:r>
    <w:r w:rsidRPr="007B50E9">
      <w:rPr>
        <w:sz w:val="18"/>
        <w:szCs w:val="18"/>
      </w:rPr>
      <w:t>mbox</w:t>
    </w:r>
    <w:r w:rsidRPr="00025093">
      <w:rPr>
        <w:sz w:val="18"/>
        <w:szCs w:val="18"/>
        <w:lang w:val="bg-BG"/>
      </w:rPr>
      <w:t>.</w:t>
    </w:r>
    <w:r w:rsidRPr="007B50E9">
      <w:rPr>
        <w:sz w:val="18"/>
        <w:szCs w:val="18"/>
      </w:rPr>
      <w:t>contact</w:t>
    </w:r>
    <w:r w:rsidRPr="00025093">
      <w:rPr>
        <w:sz w:val="18"/>
        <w:szCs w:val="18"/>
        <w:lang w:val="bg-BG"/>
      </w:rPr>
      <w:t>.</w:t>
    </w:r>
    <w:r w:rsidRPr="007B50E9">
      <w:rPr>
        <w:sz w:val="18"/>
        <w:szCs w:val="18"/>
      </w:rPr>
      <w:t>bg</w:t>
    </w:r>
  </w:p>
  <w:p w:rsidR="00255280" w:rsidRPr="00376F5E" w:rsidRDefault="00255280" w:rsidP="001F05CE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87" w:rsidRDefault="00544287">
      <w:r>
        <w:separator/>
      </w:r>
    </w:p>
  </w:footnote>
  <w:footnote w:type="continuationSeparator" w:id="0">
    <w:p w:rsidR="00544287" w:rsidRDefault="0054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80" w:rsidRPr="005B69F7" w:rsidRDefault="00712A54" w:rsidP="005B69F7">
    <w:pPr>
      <w:pStyle w:val="2"/>
      <w:rPr>
        <w:rStyle w:val="aa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280" w:rsidRPr="005B69F7" w:rsidRDefault="00712A5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255280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255280" w:rsidRPr="004A4785" w:rsidRDefault="0025528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 w:cs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 w:cs="Helen Bg Condensed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spacing w:val="40"/>
        <w:sz w:val="26"/>
        <w:szCs w:val="26"/>
      </w:rPr>
      <w:t xml:space="preserve"> и горите</w:t>
    </w:r>
  </w:p>
  <w:p w:rsidR="00255280" w:rsidRPr="004A4785" w:rsidRDefault="00712A54" w:rsidP="00E44584">
    <w:pPr>
      <w:ind w:firstLine="1282"/>
      <w:rPr>
        <w:b/>
        <w:bCs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255280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ru-RU"/>
      </w:rPr>
      <w:t xml:space="preserve">Областна дирекция </w:t>
    </w:r>
    <w:r w:rsidR="00255280" w:rsidRPr="004A4785">
      <w:rPr>
        <w:rFonts w:ascii="Helen Bg Condensed" w:hAnsi="Helen Bg Condensed" w:cs="Helen Bg Condensed"/>
        <w:b/>
        <w:bCs/>
        <w:spacing w:val="40"/>
        <w:sz w:val="26"/>
        <w:szCs w:val="26"/>
      </w:rPr>
      <w:t>“</w:t>
    </w:r>
    <w:r w:rsidR="00255280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bg-BG"/>
      </w:rPr>
      <w:t>Земеделие</w:t>
    </w:r>
    <w:r w:rsidR="00255280" w:rsidRPr="004A4785">
      <w:rPr>
        <w:rFonts w:ascii="Helen Bg Condensed" w:hAnsi="Helen Bg Condensed" w:cs="Helen Bg Condensed"/>
        <w:b/>
        <w:bCs/>
        <w:spacing w:val="40"/>
        <w:sz w:val="26"/>
        <w:szCs w:val="26"/>
      </w:rPr>
      <w:t>”</w:t>
    </w:r>
    <w:r w:rsidR="00255280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bg-BG"/>
      </w:rPr>
      <w:t xml:space="preserve"> гр.Кърджали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14A"/>
    <w:multiLevelType w:val="hybridMultilevel"/>
    <w:tmpl w:val="FFF051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335EC"/>
    <w:multiLevelType w:val="hybridMultilevel"/>
    <w:tmpl w:val="D1C27D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5562EB0"/>
    <w:multiLevelType w:val="hybridMultilevel"/>
    <w:tmpl w:val="C49C50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98649E"/>
    <w:multiLevelType w:val="hybridMultilevel"/>
    <w:tmpl w:val="8CB0ADA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0571C"/>
    <w:multiLevelType w:val="hybridMultilevel"/>
    <w:tmpl w:val="30A46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447F"/>
    <w:multiLevelType w:val="hybridMultilevel"/>
    <w:tmpl w:val="0AA84D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11595C"/>
    <w:multiLevelType w:val="hybridMultilevel"/>
    <w:tmpl w:val="E04668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6B3556"/>
    <w:multiLevelType w:val="hybridMultilevel"/>
    <w:tmpl w:val="ABD48E46"/>
    <w:lvl w:ilvl="0" w:tplc="D62E6464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58E51E43"/>
    <w:multiLevelType w:val="hybridMultilevel"/>
    <w:tmpl w:val="3E1E4FAC"/>
    <w:lvl w:ilvl="0" w:tplc="0402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5A3C775C"/>
    <w:multiLevelType w:val="hybridMultilevel"/>
    <w:tmpl w:val="A806737C"/>
    <w:lvl w:ilvl="0" w:tplc="0402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E2E06A20">
      <w:start w:val="9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7C7F5EA0"/>
    <w:multiLevelType w:val="multilevel"/>
    <w:tmpl w:val="C48A6B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>
    <w:nsid w:val="7CF62A82"/>
    <w:multiLevelType w:val="hybridMultilevel"/>
    <w:tmpl w:val="0C14C2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FA9"/>
    <w:rsid w:val="0000145B"/>
    <w:rsid w:val="00001579"/>
    <w:rsid w:val="00004AE3"/>
    <w:rsid w:val="00004C03"/>
    <w:rsid w:val="00012549"/>
    <w:rsid w:val="00013B0F"/>
    <w:rsid w:val="0002279B"/>
    <w:rsid w:val="00023762"/>
    <w:rsid w:val="00024C29"/>
    <w:rsid w:val="00025093"/>
    <w:rsid w:val="0003326C"/>
    <w:rsid w:val="000335DD"/>
    <w:rsid w:val="0003377F"/>
    <w:rsid w:val="00034275"/>
    <w:rsid w:val="0003452F"/>
    <w:rsid w:val="00035990"/>
    <w:rsid w:val="000361AB"/>
    <w:rsid w:val="00037B0B"/>
    <w:rsid w:val="00045DAE"/>
    <w:rsid w:val="000477BF"/>
    <w:rsid w:val="000512AE"/>
    <w:rsid w:val="00052342"/>
    <w:rsid w:val="00053407"/>
    <w:rsid w:val="00054645"/>
    <w:rsid w:val="00054CC6"/>
    <w:rsid w:val="00054CEB"/>
    <w:rsid w:val="00055852"/>
    <w:rsid w:val="00055AF1"/>
    <w:rsid w:val="0005609A"/>
    <w:rsid w:val="000600F8"/>
    <w:rsid w:val="0006066A"/>
    <w:rsid w:val="0006350C"/>
    <w:rsid w:val="00067A24"/>
    <w:rsid w:val="000713C0"/>
    <w:rsid w:val="000721C7"/>
    <w:rsid w:val="00072DD6"/>
    <w:rsid w:val="000740FA"/>
    <w:rsid w:val="00075577"/>
    <w:rsid w:val="00077453"/>
    <w:rsid w:val="00077808"/>
    <w:rsid w:val="00084571"/>
    <w:rsid w:val="00094A70"/>
    <w:rsid w:val="00096130"/>
    <w:rsid w:val="00096189"/>
    <w:rsid w:val="00097770"/>
    <w:rsid w:val="000A134A"/>
    <w:rsid w:val="000A3464"/>
    <w:rsid w:val="000A3697"/>
    <w:rsid w:val="000A411D"/>
    <w:rsid w:val="000A5030"/>
    <w:rsid w:val="000A53AE"/>
    <w:rsid w:val="000B03D9"/>
    <w:rsid w:val="000B15B8"/>
    <w:rsid w:val="000B551B"/>
    <w:rsid w:val="000B56D6"/>
    <w:rsid w:val="000C04E6"/>
    <w:rsid w:val="000C5E0A"/>
    <w:rsid w:val="000D0A19"/>
    <w:rsid w:val="000D1769"/>
    <w:rsid w:val="000D1A25"/>
    <w:rsid w:val="000D1AAD"/>
    <w:rsid w:val="000D5963"/>
    <w:rsid w:val="000D6523"/>
    <w:rsid w:val="000E10AE"/>
    <w:rsid w:val="000E5541"/>
    <w:rsid w:val="000E6092"/>
    <w:rsid w:val="000F0880"/>
    <w:rsid w:val="000F3064"/>
    <w:rsid w:val="000F6F37"/>
    <w:rsid w:val="000F7EB8"/>
    <w:rsid w:val="001017E3"/>
    <w:rsid w:val="00103051"/>
    <w:rsid w:val="00103E6B"/>
    <w:rsid w:val="00104539"/>
    <w:rsid w:val="00104542"/>
    <w:rsid w:val="0010613B"/>
    <w:rsid w:val="00110046"/>
    <w:rsid w:val="00116310"/>
    <w:rsid w:val="001204B2"/>
    <w:rsid w:val="001241B5"/>
    <w:rsid w:val="00130396"/>
    <w:rsid w:val="00134076"/>
    <w:rsid w:val="0013430C"/>
    <w:rsid w:val="0013700D"/>
    <w:rsid w:val="00140CBC"/>
    <w:rsid w:val="0014183E"/>
    <w:rsid w:val="00141B6A"/>
    <w:rsid w:val="001428C8"/>
    <w:rsid w:val="00146DF8"/>
    <w:rsid w:val="00150AA0"/>
    <w:rsid w:val="0015124F"/>
    <w:rsid w:val="00152A8A"/>
    <w:rsid w:val="00153E58"/>
    <w:rsid w:val="00157D1E"/>
    <w:rsid w:val="00160BE5"/>
    <w:rsid w:val="00164586"/>
    <w:rsid w:val="0016566E"/>
    <w:rsid w:val="001679B3"/>
    <w:rsid w:val="001745E1"/>
    <w:rsid w:val="00177361"/>
    <w:rsid w:val="00181C6C"/>
    <w:rsid w:val="00181E3C"/>
    <w:rsid w:val="001835B3"/>
    <w:rsid w:val="0018488B"/>
    <w:rsid w:val="00187757"/>
    <w:rsid w:val="00190220"/>
    <w:rsid w:val="00192CB2"/>
    <w:rsid w:val="00194AD0"/>
    <w:rsid w:val="00194DD4"/>
    <w:rsid w:val="001A03EA"/>
    <w:rsid w:val="001A3609"/>
    <w:rsid w:val="001A413F"/>
    <w:rsid w:val="001A6554"/>
    <w:rsid w:val="001A6663"/>
    <w:rsid w:val="001A72FC"/>
    <w:rsid w:val="001A7EDC"/>
    <w:rsid w:val="001B2107"/>
    <w:rsid w:val="001B2C39"/>
    <w:rsid w:val="001B4A56"/>
    <w:rsid w:val="001B4BA5"/>
    <w:rsid w:val="001B65F9"/>
    <w:rsid w:val="001C1EB0"/>
    <w:rsid w:val="001C26BC"/>
    <w:rsid w:val="001C3519"/>
    <w:rsid w:val="001C39AC"/>
    <w:rsid w:val="001C3AC3"/>
    <w:rsid w:val="001C5129"/>
    <w:rsid w:val="001C54E7"/>
    <w:rsid w:val="001D1B49"/>
    <w:rsid w:val="001D20DE"/>
    <w:rsid w:val="001D3B22"/>
    <w:rsid w:val="001E0784"/>
    <w:rsid w:val="001E10FD"/>
    <w:rsid w:val="001E2C6E"/>
    <w:rsid w:val="001E6B5D"/>
    <w:rsid w:val="001E7F15"/>
    <w:rsid w:val="001F048A"/>
    <w:rsid w:val="001F051E"/>
    <w:rsid w:val="001F05CE"/>
    <w:rsid w:val="001F5C24"/>
    <w:rsid w:val="001F600F"/>
    <w:rsid w:val="001F6C98"/>
    <w:rsid w:val="001F7A43"/>
    <w:rsid w:val="001F7AAC"/>
    <w:rsid w:val="001F7D56"/>
    <w:rsid w:val="00201DD3"/>
    <w:rsid w:val="00202CE9"/>
    <w:rsid w:val="00203CAE"/>
    <w:rsid w:val="00203FE8"/>
    <w:rsid w:val="0020653E"/>
    <w:rsid w:val="002121D5"/>
    <w:rsid w:val="00212799"/>
    <w:rsid w:val="0021389A"/>
    <w:rsid w:val="0021419A"/>
    <w:rsid w:val="002202AB"/>
    <w:rsid w:val="00221138"/>
    <w:rsid w:val="00222CE6"/>
    <w:rsid w:val="00225564"/>
    <w:rsid w:val="00227BEE"/>
    <w:rsid w:val="00232F8E"/>
    <w:rsid w:val="00233B0A"/>
    <w:rsid w:val="002349A9"/>
    <w:rsid w:val="002426F7"/>
    <w:rsid w:val="00242A58"/>
    <w:rsid w:val="00243D7B"/>
    <w:rsid w:val="00244020"/>
    <w:rsid w:val="002443A9"/>
    <w:rsid w:val="002460AD"/>
    <w:rsid w:val="00250D9F"/>
    <w:rsid w:val="00253DF9"/>
    <w:rsid w:val="0025496F"/>
    <w:rsid w:val="00255280"/>
    <w:rsid w:val="002558F5"/>
    <w:rsid w:val="00257063"/>
    <w:rsid w:val="002575B3"/>
    <w:rsid w:val="00261A92"/>
    <w:rsid w:val="0026434D"/>
    <w:rsid w:val="00264C5B"/>
    <w:rsid w:val="00266D04"/>
    <w:rsid w:val="00276229"/>
    <w:rsid w:val="00277976"/>
    <w:rsid w:val="00280B45"/>
    <w:rsid w:val="0028145C"/>
    <w:rsid w:val="00282B96"/>
    <w:rsid w:val="002929D0"/>
    <w:rsid w:val="00294F83"/>
    <w:rsid w:val="002A05EE"/>
    <w:rsid w:val="002A1143"/>
    <w:rsid w:val="002A2F51"/>
    <w:rsid w:val="002A35C3"/>
    <w:rsid w:val="002A3A86"/>
    <w:rsid w:val="002A5BD6"/>
    <w:rsid w:val="002A5F60"/>
    <w:rsid w:val="002A7A15"/>
    <w:rsid w:val="002B1389"/>
    <w:rsid w:val="002B1D64"/>
    <w:rsid w:val="002B26C3"/>
    <w:rsid w:val="002B339C"/>
    <w:rsid w:val="002B52AA"/>
    <w:rsid w:val="002B7855"/>
    <w:rsid w:val="002C3A51"/>
    <w:rsid w:val="002C7D80"/>
    <w:rsid w:val="002D1FBA"/>
    <w:rsid w:val="002D2324"/>
    <w:rsid w:val="002D3001"/>
    <w:rsid w:val="002D40DB"/>
    <w:rsid w:val="002D4F3A"/>
    <w:rsid w:val="002D72D8"/>
    <w:rsid w:val="002E1060"/>
    <w:rsid w:val="002E25BD"/>
    <w:rsid w:val="002E25EF"/>
    <w:rsid w:val="002E4129"/>
    <w:rsid w:val="002E7516"/>
    <w:rsid w:val="002E7D0D"/>
    <w:rsid w:val="002E7D1B"/>
    <w:rsid w:val="002E7D4B"/>
    <w:rsid w:val="002F0009"/>
    <w:rsid w:val="002F1D9B"/>
    <w:rsid w:val="002F3B6B"/>
    <w:rsid w:val="002F463D"/>
    <w:rsid w:val="002F68A7"/>
    <w:rsid w:val="0030309F"/>
    <w:rsid w:val="00303D9F"/>
    <w:rsid w:val="00304624"/>
    <w:rsid w:val="00304CD3"/>
    <w:rsid w:val="003123E8"/>
    <w:rsid w:val="003139DC"/>
    <w:rsid w:val="003150BB"/>
    <w:rsid w:val="00315A7E"/>
    <w:rsid w:val="00316276"/>
    <w:rsid w:val="0032007C"/>
    <w:rsid w:val="0032066B"/>
    <w:rsid w:val="003260EE"/>
    <w:rsid w:val="00331122"/>
    <w:rsid w:val="0033127D"/>
    <w:rsid w:val="0033188A"/>
    <w:rsid w:val="003356C0"/>
    <w:rsid w:val="00335F7F"/>
    <w:rsid w:val="00336792"/>
    <w:rsid w:val="003371F9"/>
    <w:rsid w:val="0034374C"/>
    <w:rsid w:val="003460A1"/>
    <w:rsid w:val="00346A0D"/>
    <w:rsid w:val="003529BD"/>
    <w:rsid w:val="00353649"/>
    <w:rsid w:val="003553FB"/>
    <w:rsid w:val="003562FA"/>
    <w:rsid w:val="003566ED"/>
    <w:rsid w:val="00361B88"/>
    <w:rsid w:val="00364509"/>
    <w:rsid w:val="0036552F"/>
    <w:rsid w:val="00366F61"/>
    <w:rsid w:val="00372296"/>
    <w:rsid w:val="00374BF8"/>
    <w:rsid w:val="0037629B"/>
    <w:rsid w:val="0037630A"/>
    <w:rsid w:val="00376A3C"/>
    <w:rsid w:val="00376F5E"/>
    <w:rsid w:val="003833B3"/>
    <w:rsid w:val="00385DEA"/>
    <w:rsid w:val="00392094"/>
    <w:rsid w:val="00393569"/>
    <w:rsid w:val="00396137"/>
    <w:rsid w:val="00396E12"/>
    <w:rsid w:val="003A209A"/>
    <w:rsid w:val="003A3B5A"/>
    <w:rsid w:val="003A5B51"/>
    <w:rsid w:val="003A618F"/>
    <w:rsid w:val="003A68D3"/>
    <w:rsid w:val="003A6AE0"/>
    <w:rsid w:val="003A765F"/>
    <w:rsid w:val="003A789E"/>
    <w:rsid w:val="003B32CB"/>
    <w:rsid w:val="003B45ED"/>
    <w:rsid w:val="003B52B6"/>
    <w:rsid w:val="003B7313"/>
    <w:rsid w:val="003C2FAC"/>
    <w:rsid w:val="003C475C"/>
    <w:rsid w:val="003C4D11"/>
    <w:rsid w:val="003D67C9"/>
    <w:rsid w:val="003E1E3B"/>
    <w:rsid w:val="003E2414"/>
    <w:rsid w:val="003E2E98"/>
    <w:rsid w:val="003E3CBC"/>
    <w:rsid w:val="003E5E2E"/>
    <w:rsid w:val="003E6929"/>
    <w:rsid w:val="003E6F3B"/>
    <w:rsid w:val="003E74BB"/>
    <w:rsid w:val="003F3AC6"/>
    <w:rsid w:val="00404969"/>
    <w:rsid w:val="0040548D"/>
    <w:rsid w:val="00411C35"/>
    <w:rsid w:val="004166D4"/>
    <w:rsid w:val="0042153A"/>
    <w:rsid w:val="00421A5D"/>
    <w:rsid w:val="0042345C"/>
    <w:rsid w:val="004249F9"/>
    <w:rsid w:val="00424D4F"/>
    <w:rsid w:val="00424D5E"/>
    <w:rsid w:val="00425B84"/>
    <w:rsid w:val="0042690B"/>
    <w:rsid w:val="004302EE"/>
    <w:rsid w:val="00430F67"/>
    <w:rsid w:val="004311AA"/>
    <w:rsid w:val="00434615"/>
    <w:rsid w:val="00435BF7"/>
    <w:rsid w:val="00436C4E"/>
    <w:rsid w:val="0043776A"/>
    <w:rsid w:val="00443C68"/>
    <w:rsid w:val="004450DE"/>
    <w:rsid w:val="00445C10"/>
    <w:rsid w:val="00445FEE"/>
    <w:rsid w:val="00446795"/>
    <w:rsid w:val="00447822"/>
    <w:rsid w:val="00450699"/>
    <w:rsid w:val="00452CC0"/>
    <w:rsid w:val="0045497D"/>
    <w:rsid w:val="004576DF"/>
    <w:rsid w:val="00462639"/>
    <w:rsid w:val="00467334"/>
    <w:rsid w:val="004679E9"/>
    <w:rsid w:val="00473F58"/>
    <w:rsid w:val="00474B87"/>
    <w:rsid w:val="004755C7"/>
    <w:rsid w:val="004837B1"/>
    <w:rsid w:val="0049334D"/>
    <w:rsid w:val="00494D94"/>
    <w:rsid w:val="00495762"/>
    <w:rsid w:val="00497912"/>
    <w:rsid w:val="004A21EF"/>
    <w:rsid w:val="004A2808"/>
    <w:rsid w:val="004A4785"/>
    <w:rsid w:val="004A6165"/>
    <w:rsid w:val="004B03BA"/>
    <w:rsid w:val="004B3F7F"/>
    <w:rsid w:val="004B4D86"/>
    <w:rsid w:val="004B4DF1"/>
    <w:rsid w:val="004B58F8"/>
    <w:rsid w:val="004C3144"/>
    <w:rsid w:val="004C32CB"/>
    <w:rsid w:val="004C48F8"/>
    <w:rsid w:val="004C5562"/>
    <w:rsid w:val="004D0C76"/>
    <w:rsid w:val="004D37F0"/>
    <w:rsid w:val="004D7FFA"/>
    <w:rsid w:val="004E21E3"/>
    <w:rsid w:val="004E5ADD"/>
    <w:rsid w:val="004E7A52"/>
    <w:rsid w:val="004F1A91"/>
    <w:rsid w:val="004F25DA"/>
    <w:rsid w:val="004F3BBC"/>
    <w:rsid w:val="004F468E"/>
    <w:rsid w:val="004F6274"/>
    <w:rsid w:val="004F67D7"/>
    <w:rsid w:val="004F6F3F"/>
    <w:rsid w:val="004F765C"/>
    <w:rsid w:val="004F76D2"/>
    <w:rsid w:val="00503B5F"/>
    <w:rsid w:val="0050406C"/>
    <w:rsid w:val="00506CDB"/>
    <w:rsid w:val="00511D6C"/>
    <w:rsid w:val="00514120"/>
    <w:rsid w:val="00517237"/>
    <w:rsid w:val="00517E1D"/>
    <w:rsid w:val="00517E48"/>
    <w:rsid w:val="00520564"/>
    <w:rsid w:val="0052070B"/>
    <w:rsid w:val="00521B7D"/>
    <w:rsid w:val="00522C20"/>
    <w:rsid w:val="00522E19"/>
    <w:rsid w:val="0052348E"/>
    <w:rsid w:val="00523D41"/>
    <w:rsid w:val="005250EA"/>
    <w:rsid w:val="0052516B"/>
    <w:rsid w:val="00525AE5"/>
    <w:rsid w:val="005275DB"/>
    <w:rsid w:val="0052781F"/>
    <w:rsid w:val="005315B1"/>
    <w:rsid w:val="00532F9E"/>
    <w:rsid w:val="00535200"/>
    <w:rsid w:val="00536C94"/>
    <w:rsid w:val="00537AD5"/>
    <w:rsid w:val="00540A5A"/>
    <w:rsid w:val="00541674"/>
    <w:rsid w:val="0054249C"/>
    <w:rsid w:val="00542607"/>
    <w:rsid w:val="00543D65"/>
    <w:rsid w:val="00544287"/>
    <w:rsid w:val="005508DB"/>
    <w:rsid w:val="00550FD2"/>
    <w:rsid w:val="00556D73"/>
    <w:rsid w:val="0055771C"/>
    <w:rsid w:val="00560044"/>
    <w:rsid w:val="00561905"/>
    <w:rsid w:val="00561E95"/>
    <w:rsid w:val="00562C05"/>
    <w:rsid w:val="00564624"/>
    <w:rsid w:val="005650F0"/>
    <w:rsid w:val="00567C4D"/>
    <w:rsid w:val="0057056E"/>
    <w:rsid w:val="005730D1"/>
    <w:rsid w:val="005743AA"/>
    <w:rsid w:val="00574F6C"/>
    <w:rsid w:val="00575F3E"/>
    <w:rsid w:val="0057737A"/>
    <w:rsid w:val="005773CE"/>
    <w:rsid w:val="00582647"/>
    <w:rsid w:val="00583E01"/>
    <w:rsid w:val="0058547F"/>
    <w:rsid w:val="00586581"/>
    <w:rsid w:val="00590BE1"/>
    <w:rsid w:val="00593766"/>
    <w:rsid w:val="005A0A59"/>
    <w:rsid w:val="005A2020"/>
    <w:rsid w:val="005A3A19"/>
    <w:rsid w:val="005A3A87"/>
    <w:rsid w:val="005A3B17"/>
    <w:rsid w:val="005A45AA"/>
    <w:rsid w:val="005A7BEC"/>
    <w:rsid w:val="005B1EB7"/>
    <w:rsid w:val="005B3E96"/>
    <w:rsid w:val="005B5C37"/>
    <w:rsid w:val="005B69F7"/>
    <w:rsid w:val="005C2A24"/>
    <w:rsid w:val="005C401C"/>
    <w:rsid w:val="005C5A52"/>
    <w:rsid w:val="005C6EAB"/>
    <w:rsid w:val="005D268B"/>
    <w:rsid w:val="005D2765"/>
    <w:rsid w:val="005D2A08"/>
    <w:rsid w:val="005D2B3F"/>
    <w:rsid w:val="005D3E11"/>
    <w:rsid w:val="005D7788"/>
    <w:rsid w:val="005E1352"/>
    <w:rsid w:val="005E19DF"/>
    <w:rsid w:val="005E1BD9"/>
    <w:rsid w:val="005E1EDB"/>
    <w:rsid w:val="005F074B"/>
    <w:rsid w:val="005F1C54"/>
    <w:rsid w:val="005F4BA0"/>
    <w:rsid w:val="005F4DA3"/>
    <w:rsid w:val="00600E9B"/>
    <w:rsid w:val="00602A0B"/>
    <w:rsid w:val="006037D4"/>
    <w:rsid w:val="0060444E"/>
    <w:rsid w:val="0060583E"/>
    <w:rsid w:val="00611C7C"/>
    <w:rsid w:val="00612516"/>
    <w:rsid w:val="006143E6"/>
    <w:rsid w:val="00623A19"/>
    <w:rsid w:val="00623DC0"/>
    <w:rsid w:val="0062435E"/>
    <w:rsid w:val="006260A5"/>
    <w:rsid w:val="00626A33"/>
    <w:rsid w:val="00626E13"/>
    <w:rsid w:val="00627A1B"/>
    <w:rsid w:val="0063112D"/>
    <w:rsid w:val="0063461A"/>
    <w:rsid w:val="00636C78"/>
    <w:rsid w:val="0063719B"/>
    <w:rsid w:val="00641056"/>
    <w:rsid w:val="00644290"/>
    <w:rsid w:val="00646218"/>
    <w:rsid w:val="00647308"/>
    <w:rsid w:val="00650F20"/>
    <w:rsid w:val="00651AF5"/>
    <w:rsid w:val="00654317"/>
    <w:rsid w:val="006544C4"/>
    <w:rsid w:val="00655281"/>
    <w:rsid w:val="006561A8"/>
    <w:rsid w:val="006579F5"/>
    <w:rsid w:val="006617EB"/>
    <w:rsid w:val="00663EEB"/>
    <w:rsid w:val="00673668"/>
    <w:rsid w:val="00674726"/>
    <w:rsid w:val="00676070"/>
    <w:rsid w:val="00676649"/>
    <w:rsid w:val="00681C46"/>
    <w:rsid w:val="0068206D"/>
    <w:rsid w:val="00685B80"/>
    <w:rsid w:val="0068708C"/>
    <w:rsid w:val="00687D73"/>
    <w:rsid w:val="00693227"/>
    <w:rsid w:val="006956F2"/>
    <w:rsid w:val="0069600A"/>
    <w:rsid w:val="006A0299"/>
    <w:rsid w:val="006A10AF"/>
    <w:rsid w:val="006A40AC"/>
    <w:rsid w:val="006A4115"/>
    <w:rsid w:val="006A455E"/>
    <w:rsid w:val="006A558C"/>
    <w:rsid w:val="006A5D98"/>
    <w:rsid w:val="006A65FB"/>
    <w:rsid w:val="006B0B9A"/>
    <w:rsid w:val="006B1B53"/>
    <w:rsid w:val="006B4D7B"/>
    <w:rsid w:val="006B6954"/>
    <w:rsid w:val="006C1A91"/>
    <w:rsid w:val="006C7C8C"/>
    <w:rsid w:val="006D2F5B"/>
    <w:rsid w:val="006D6113"/>
    <w:rsid w:val="006D65E8"/>
    <w:rsid w:val="006E136B"/>
    <w:rsid w:val="006E1608"/>
    <w:rsid w:val="006E181E"/>
    <w:rsid w:val="006E2C9C"/>
    <w:rsid w:val="006E4750"/>
    <w:rsid w:val="006E517E"/>
    <w:rsid w:val="006E7E92"/>
    <w:rsid w:val="006F190E"/>
    <w:rsid w:val="00703200"/>
    <w:rsid w:val="00703F62"/>
    <w:rsid w:val="007053E0"/>
    <w:rsid w:val="00706820"/>
    <w:rsid w:val="0071006D"/>
    <w:rsid w:val="0071020D"/>
    <w:rsid w:val="0071162E"/>
    <w:rsid w:val="00712124"/>
    <w:rsid w:val="00712A54"/>
    <w:rsid w:val="00715990"/>
    <w:rsid w:val="00716805"/>
    <w:rsid w:val="007203DB"/>
    <w:rsid w:val="00720F55"/>
    <w:rsid w:val="007225FE"/>
    <w:rsid w:val="007240E7"/>
    <w:rsid w:val="007303D9"/>
    <w:rsid w:val="00731BD4"/>
    <w:rsid w:val="007334FA"/>
    <w:rsid w:val="00733F2C"/>
    <w:rsid w:val="00735898"/>
    <w:rsid w:val="00741BCB"/>
    <w:rsid w:val="00742591"/>
    <w:rsid w:val="00743037"/>
    <w:rsid w:val="00744CD5"/>
    <w:rsid w:val="007463D6"/>
    <w:rsid w:val="00747935"/>
    <w:rsid w:val="00756E7C"/>
    <w:rsid w:val="00757E7A"/>
    <w:rsid w:val="007676BB"/>
    <w:rsid w:val="00774667"/>
    <w:rsid w:val="007806DE"/>
    <w:rsid w:val="00781020"/>
    <w:rsid w:val="0078271B"/>
    <w:rsid w:val="00782BB1"/>
    <w:rsid w:val="00783315"/>
    <w:rsid w:val="00783DBD"/>
    <w:rsid w:val="00786420"/>
    <w:rsid w:val="007865D2"/>
    <w:rsid w:val="007878CA"/>
    <w:rsid w:val="00787C54"/>
    <w:rsid w:val="00792E64"/>
    <w:rsid w:val="00792FEA"/>
    <w:rsid w:val="00795AED"/>
    <w:rsid w:val="00797ECE"/>
    <w:rsid w:val="007A4628"/>
    <w:rsid w:val="007A51F7"/>
    <w:rsid w:val="007A5CEE"/>
    <w:rsid w:val="007A6290"/>
    <w:rsid w:val="007A6AD4"/>
    <w:rsid w:val="007B1B7B"/>
    <w:rsid w:val="007B20FF"/>
    <w:rsid w:val="007B332B"/>
    <w:rsid w:val="007B50E9"/>
    <w:rsid w:val="007B66A3"/>
    <w:rsid w:val="007B72DD"/>
    <w:rsid w:val="007B7524"/>
    <w:rsid w:val="007C0547"/>
    <w:rsid w:val="007C4155"/>
    <w:rsid w:val="007C5214"/>
    <w:rsid w:val="007C581B"/>
    <w:rsid w:val="007D1874"/>
    <w:rsid w:val="007D2AEF"/>
    <w:rsid w:val="007D6978"/>
    <w:rsid w:val="007D6B64"/>
    <w:rsid w:val="007E0EA9"/>
    <w:rsid w:val="007E37E3"/>
    <w:rsid w:val="007E4017"/>
    <w:rsid w:val="007F0845"/>
    <w:rsid w:val="007F278D"/>
    <w:rsid w:val="007F397A"/>
    <w:rsid w:val="007F6BFD"/>
    <w:rsid w:val="0080153C"/>
    <w:rsid w:val="00810728"/>
    <w:rsid w:val="008108FD"/>
    <w:rsid w:val="00811576"/>
    <w:rsid w:val="00811C0C"/>
    <w:rsid w:val="0081403E"/>
    <w:rsid w:val="00817876"/>
    <w:rsid w:val="0082575B"/>
    <w:rsid w:val="00826BD6"/>
    <w:rsid w:val="008301E4"/>
    <w:rsid w:val="00844FDE"/>
    <w:rsid w:val="00845D49"/>
    <w:rsid w:val="008465AA"/>
    <w:rsid w:val="0085348A"/>
    <w:rsid w:val="00857C18"/>
    <w:rsid w:val="0086040A"/>
    <w:rsid w:val="00860957"/>
    <w:rsid w:val="00863FDB"/>
    <w:rsid w:val="00865747"/>
    <w:rsid w:val="00866D9D"/>
    <w:rsid w:val="00874B06"/>
    <w:rsid w:val="00874CB4"/>
    <w:rsid w:val="008777B5"/>
    <w:rsid w:val="0088660D"/>
    <w:rsid w:val="008915AC"/>
    <w:rsid w:val="00892E20"/>
    <w:rsid w:val="008951D5"/>
    <w:rsid w:val="00896CF7"/>
    <w:rsid w:val="00897824"/>
    <w:rsid w:val="008A073C"/>
    <w:rsid w:val="008A447F"/>
    <w:rsid w:val="008A7956"/>
    <w:rsid w:val="008B0206"/>
    <w:rsid w:val="008B1300"/>
    <w:rsid w:val="008B3E0F"/>
    <w:rsid w:val="008B4487"/>
    <w:rsid w:val="008B6E8A"/>
    <w:rsid w:val="008B739D"/>
    <w:rsid w:val="008C052B"/>
    <w:rsid w:val="008C0563"/>
    <w:rsid w:val="008D01F4"/>
    <w:rsid w:val="008D05C5"/>
    <w:rsid w:val="008D52D3"/>
    <w:rsid w:val="008D61DF"/>
    <w:rsid w:val="008D633C"/>
    <w:rsid w:val="008D792B"/>
    <w:rsid w:val="008F129E"/>
    <w:rsid w:val="008F2499"/>
    <w:rsid w:val="008F2D75"/>
    <w:rsid w:val="008F418E"/>
    <w:rsid w:val="008F708B"/>
    <w:rsid w:val="008F77F3"/>
    <w:rsid w:val="009042EB"/>
    <w:rsid w:val="00905E41"/>
    <w:rsid w:val="009073BC"/>
    <w:rsid w:val="0090761E"/>
    <w:rsid w:val="0091258A"/>
    <w:rsid w:val="009138BE"/>
    <w:rsid w:val="00914396"/>
    <w:rsid w:val="00914EB4"/>
    <w:rsid w:val="0092105E"/>
    <w:rsid w:val="00921D35"/>
    <w:rsid w:val="009222FA"/>
    <w:rsid w:val="00923F35"/>
    <w:rsid w:val="009248D9"/>
    <w:rsid w:val="00926111"/>
    <w:rsid w:val="009268E5"/>
    <w:rsid w:val="00927619"/>
    <w:rsid w:val="009304CE"/>
    <w:rsid w:val="009332C2"/>
    <w:rsid w:val="0093599D"/>
    <w:rsid w:val="00936377"/>
    <w:rsid w:val="00936425"/>
    <w:rsid w:val="00937235"/>
    <w:rsid w:val="009401C9"/>
    <w:rsid w:val="00940D63"/>
    <w:rsid w:val="00940E66"/>
    <w:rsid w:val="009410B1"/>
    <w:rsid w:val="0094206D"/>
    <w:rsid w:val="00944809"/>
    <w:rsid w:val="00945073"/>
    <w:rsid w:val="009466B7"/>
    <w:rsid w:val="00946D85"/>
    <w:rsid w:val="0095143C"/>
    <w:rsid w:val="00953AFB"/>
    <w:rsid w:val="0095450A"/>
    <w:rsid w:val="009563AE"/>
    <w:rsid w:val="00957066"/>
    <w:rsid w:val="00960EA9"/>
    <w:rsid w:val="00962709"/>
    <w:rsid w:val="0096352E"/>
    <w:rsid w:val="00965E38"/>
    <w:rsid w:val="00970874"/>
    <w:rsid w:val="00973DCE"/>
    <w:rsid w:val="00974546"/>
    <w:rsid w:val="00974B3B"/>
    <w:rsid w:val="009844AF"/>
    <w:rsid w:val="00984C08"/>
    <w:rsid w:val="00985684"/>
    <w:rsid w:val="00990E3F"/>
    <w:rsid w:val="0099275B"/>
    <w:rsid w:val="0099677F"/>
    <w:rsid w:val="00996976"/>
    <w:rsid w:val="0099736D"/>
    <w:rsid w:val="009977F0"/>
    <w:rsid w:val="009A2FF9"/>
    <w:rsid w:val="009A335E"/>
    <w:rsid w:val="009A49E5"/>
    <w:rsid w:val="009A4B03"/>
    <w:rsid w:val="009A7D0C"/>
    <w:rsid w:val="009B0BA5"/>
    <w:rsid w:val="009B149B"/>
    <w:rsid w:val="009B1933"/>
    <w:rsid w:val="009B249D"/>
    <w:rsid w:val="009B31A1"/>
    <w:rsid w:val="009B4FDC"/>
    <w:rsid w:val="009B5299"/>
    <w:rsid w:val="009B738D"/>
    <w:rsid w:val="009B7F55"/>
    <w:rsid w:val="009C06C5"/>
    <w:rsid w:val="009C0F7A"/>
    <w:rsid w:val="009C6F7C"/>
    <w:rsid w:val="009D06F8"/>
    <w:rsid w:val="009D56CE"/>
    <w:rsid w:val="009D605D"/>
    <w:rsid w:val="009D754A"/>
    <w:rsid w:val="009E1260"/>
    <w:rsid w:val="009E1CB2"/>
    <w:rsid w:val="009E2831"/>
    <w:rsid w:val="009E2DCA"/>
    <w:rsid w:val="009E617D"/>
    <w:rsid w:val="009E68EE"/>
    <w:rsid w:val="009E70FA"/>
    <w:rsid w:val="009E7D8E"/>
    <w:rsid w:val="009E7DC7"/>
    <w:rsid w:val="009F07B6"/>
    <w:rsid w:val="009F3464"/>
    <w:rsid w:val="009F6B91"/>
    <w:rsid w:val="00A079E3"/>
    <w:rsid w:val="00A10B90"/>
    <w:rsid w:val="00A11BBD"/>
    <w:rsid w:val="00A13E2C"/>
    <w:rsid w:val="00A15922"/>
    <w:rsid w:val="00A240B2"/>
    <w:rsid w:val="00A24C5E"/>
    <w:rsid w:val="00A25792"/>
    <w:rsid w:val="00A3015B"/>
    <w:rsid w:val="00A30B50"/>
    <w:rsid w:val="00A32403"/>
    <w:rsid w:val="00A34093"/>
    <w:rsid w:val="00A4154E"/>
    <w:rsid w:val="00A43CE0"/>
    <w:rsid w:val="00A44712"/>
    <w:rsid w:val="00A457AE"/>
    <w:rsid w:val="00A46892"/>
    <w:rsid w:val="00A46D4E"/>
    <w:rsid w:val="00A5124F"/>
    <w:rsid w:val="00A51817"/>
    <w:rsid w:val="00A5699B"/>
    <w:rsid w:val="00A56FB9"/>
    <w:rsid w:val="00A60031"/>
    <w:rsid w:val="00A60311"/>
    <w:rsid w:val="00A60371"/>
    <w:rsid w:val="00A603EF"/>
    <w:rsid w:val="00A62474"/>
    <w:rsid w:val="00A62531"/>
    <w:rsid w:val="00A6253A"/>
    <w:rsid w:val="00A6569C"/>
    <w:rsid w:val="00A7035D"/>
    <w:rsid w:val="00A71450"/>
    <w:rsid w:val="00A7206B"/>
    <w:rsid w:val="00A72F59"/>
    <w:rsid w:val="00A73D6E"/>
    <w:rsid w:val="00A74655"/>
    <w:rsid w:val="00A74FA2"/>
    <w:rsid w:val="00A75F60"/>
    <w:rsid w:val="00A77036"/>
    <w:rsid w:val="00A77B0E"/>
    <w:rsid w:val="00A82EA8"/>
    <w:rsid w:val="00A86B12"/>
    <w:rsid w:val="00A902FA"/>
    <w:rsid w:val="00A9260D"/>
    <w:rsid w:val="00A94414"/>
    <w:rsid w:val="00A949FC"/>
    <w:rsid w:val="00AA4698"/>
    <w:rsid w:val="00AA6453"/>
    <w:rsid w:val="00AB0760"/>
    <w:rsid w:val="00AB16BB"/>
    <w:rsid w:val="00AB4F9A"/>
    <w:rsid w:val="00AB59CB"/>
    <w:rsid w:val="00AC03E1"/>
    <w:rsid w:val="00AC05E2"/>
    <w:rsid w:val="00AC4EA0"/>
    <w:rsid w:val="00AC5E88"/>
    <w:rsid w:val="00AC6CDD"/>
    <w:rsid w:val="00AC79C2"/>
    <w:rsid w:val="00AD0F51"/>
    <w:rsid w:val="00AD13E8"/>
    <w:rsid w:val="00AD1705"/>
    <w:rsid w:val="00AD2151"/>
    <w:rsid w:val="00AD2559"/>
    <w:rsid w:val="00AD5E1A"/>
    <w:rsid w:val="00AD5EBF"/>
    <w:rsid w:val="00AE042F"/>
    <w:rsid w:val="00AE42AE"/>
    <w:rsid w:val="00AE43EE"/>
    <w:rsid w:val="00AE7650"/>
    <w:rsid w:val="00AF0917"/>
    <w:rsid w:val="00AF2DC5"/>
    <w:rsid w:val="00AF3673"/>
    <w:rsid w:val="00AF5555"/>
    <w:rsid w:val="00AF75BA"/>
    <w:rsid w:val="00AF7EB7"/>
    <w:rsid w:val="00B0091C"/>
    <w:rsid w:val="00B00F75"/>
    <w:rsid w:val="00B064C8"/>
    <w:rsid w:val="00B072D5"/>
    <w:rsid w:val="00B1070E"/>
    <w:rsid w:val="00B10CD5"/>
    <w:rsid w:val="00B14401"/>
    <w:rsid w:val="00B155B8"/>
    <w:rsid w:val="00B20356"/>
    <w:rsid w:val="00B25F2B"/>
    <w:rsid w:val="00B26C57"/>
    <w:rsid w:val="00B26F05"/>
    <w:rsid w:val="00B27C4D"/>
    <w:rsid w:val="00B31093"/>
    <w:rsid w:val="00B340A9"/>
    <w:rsid w:val="00B349B5"/>
    <w:rsid w:val="00B34E59"/>
    <w:rsid w:val="00B40DB7"/>
    <w:rsid w:val="00B417D4"/>
    <w:rsid w:val="00B41D90"/>
    <w:rsid w:val="00B472EA"/>
    <w:rsid w:val="00B50C5A"/>
    <w:rsid w:val="00B517E3"/>
    <w:rsid w:val="00B57F86"/>
    <w:rsid w:val="00B60605"/>
    <w:rsid w:val="00B60A6C"/>
    <w:rsid w:val="00B62B13"/>
    <w:rsid w:val="00B63C15"/>
    <w:rsid w:val="00B67221"/>
    <w:rsid w:val="00B67C50"/>
    <w:rsid w:val="00B7129C"/>
    <w:rsid w:val="00B72AE5"/>
    <w:rsid w:val="00B73711"/>
    <w:rsid w:val="00B73EAA"/>
    <w:rsid w:val="00B824B0"/>
    <w:rsid w:val="00B8695E"/>
    <w:rsid w:val="00B915C4"/>
    <w:rsid w:val="00B92B29"/>
    <w:rsid w:val="00B97711"/>
    <w:rsid w:val="00BA6D72"/>
    <w:rsid w:val="00BB140C"/>
    <w:rsid w:val="00BB1DB3"/>
    <w:rsid w:val="00BB3BD7"/>
    <w:rsid w:val="00BB3CAB"/>
    <w:rsid w:val="00BB41AB"/>
    <w:rsid w:val="00BC3C2F"/>
    <w:rsid w:val="00BC4CF7"/>
    <w:rsid w:val="00BC6EDC"/>
    <w:rsid w:val="00BC7566"/>
    <w:rsid w:val="00BC7E8E"/>
    <w:rsid w:val="00BD0331"/>
    <w:rsid w:val="00BD097D"/>
    <w:rsid w:val="00BD23A7"/>
    <w:rsid w:val="00BD4644"/>
    <w:rsid w:val="00BD4BDC"/>
    <w:rsid w:val="00BD5457"/>
    <w:rsid w:val="00BD62ED"/>
    <w:rsid w:val="00BD6334"/>
    <w:rsid w:val="00BD6B2E"/>
    <w:rsid w:val="00BE01B4"/>
    <w:rsid w:val="00BE2ABA"/>
    <w:rsid w:val="00BE5056"/>
    <w:rsid w:val="00BE6AF1"/>
    <w:rsid w:val="00BE7A05"/>
    <w:rsid w:val="00BF27AD"/>
    <w:rsid w:val="00C006B6"/>
    <w:rsid w:val="00C00904"/>
    <w:rsid w:val="00C02136"/>
    <w:rsid w:val="00C03167"/>
    <w:rsid w:val="00C037AA"/>
    <w:rsid w:val="00C06D62"/>
    <w:rsid w:val="00C104B3"/>
    <w:rsid w:val="00C10D1A"/>
    <w:rsid w:val="00C15C09"/>
    <w:rsid w:val="00C20919"/>
    <w:rsid w:val="00C212B9"/>
    <w:rsid w:val="00C2237D"/>
    <w:rsid w:val="00C233DD"/>
    <w:rsid w:val="00C25F60"/>
    <w:rsid w:val="00C26853"/>
    <w:rsid w:val="00C26A54"/>
    <w:rsid w:val="00C26D5B"/>
    <w:rsid w:val="00C2759C"/>
    <w:rsid w:val="00C30E2F"/>
    <w:rsid w:val="00C32103"/>
    <w:rsid w:val="00C342B0"/>
    <w:rsid w:val="00C35424"/>
    <w:rsid w:val="00C455C2"/>
    <w:rsid w:val="00C45AD7"/>
    <w:rsid w:val="00C46212"/>
    <w:rsid w:val="00C473A4"/>
    <w:rsid w:val="00C50D03"/>
    <w:rsid w:val="00C5228F"/>
    <w:rsid w:val="00C52D3C"/>
    <w:rsid w:val="00C56A9C"/>
    <w:rsid w:val="00C601D8"/>
    <w:rsid w:val="00C609B6"/>
    <w:rsid w:val="00C62179"/>
    <w:rsid w:val="00C6280F"/>
    <w:rsid w:val="00C635A0"/>
    <w:rsid w:val="00C63B02"/>
    <w:rsid w:val="00C646D7"/>
    <w:rsid w:val="00C657F2"/>
    <w:rsid w:val="00C65922"/>
    <w:rsid w:val="00C661DA"/>
    <w:rsid w:val="00C738A7"/>
    <w:rsid w:val="00C744FA"/>
    <w:rsid w:val="00C8099A"/>
    <w:rsid w:val="00C866DA"/>
    <w:rsid w:val="00C8736B"/>
    <w:rsid w:val="00C879CA"/>
    <w:rsid w:val="00C87D84"/>
    <w:rsid w:val="00C90266"/>
    <w:rsid w:val="00C90819"/>
    <w:rsid w:val="00C918E1"/>
    <w:rsid w:val="00C92B96"/>
    <w:rsid w:val="00C967BA"/>
    <w:rsid w:val="00C97290"/>
    <w:rsid w:val="00CA1292"/>
    <w:rsid w:val="00CA3258"/>
    <w:rsid w:val="00CA4230"/>
    <w:rsid w:val="00CA4493"/>
    <w:rsid w:val="00CA5DE9"/>
    <w:rsid w:val="00CA7A14"/>
    <w:rsid w:val="00CB121E"/>
    <w:rsid w:val="00CB1620"/>
    <w:rsid w:val="00CB30C6"/>
    <w:rsid w:val="00CB7379"/>
    <w:rsid w:val="00CB764C"/>
    <w:rsid w:val="00CC197E"/>
    <w:rsid w:val="00CC42B2"/>
    <w:rsid w:val="00CC4991"/>
    <w:rsid w:val="00CC675A"/>
    <w:rsid w:val="00CC7610"/>
    <w:rsid w:val="00CD0A12"/>
    <w:rsid w:val="00CD5078"/>
    <w:rsid w:val="00CD6485"/>
    <w:rsid w:val="00CE12A9"/>
    <w:rsid w:val="00CE4548"/>
    <w:rsid w:val="00CE48A9"/>
    <w:rsid w:val="00CF16FD"/>
    <w:rsid w:val="00CF1C7B"/>
    <w:rsid w:val="00CF226D"/>
    <w:rsid w:val="00CF24FA"/>
    <w:rsid w:val="00CF32B4"/>
    <w:rsid w:val="00CF344E"/>
    <w:rsid w:val="00CF459D"/>
    <w:rsid w:val="00CF5627"/>
    <w:rsid w:val="00D0091C"/>
    <w:rsid w:val="00D02958"/>
    <w:rsid w:val="00D04472"/>
    <w:rsid w:val="00D04E79"/>
    <w:rsid w:val="00D06B74"/>
    <w:rsid w:val="00D06DDA"/>
    <w:rsid w:val="00D10389"/>
    <w:rsid w:val="00D10800"/>
    <w:rsid w:val="00D11519"/>
    <w:rsid w:val="00D1424A"/>
    <w:rsid w:val="00D14D77"/>
    <w:rsid w:val="00D152FB"/>
    <w:rsid w:val="00D17558"/>
    <w:rsid w:val="00D21D1F"/>
    <w:rsid w:val="00D2516B"/>
    <w:rsid w:val="00D259F5"/>
    <w:rsid w:val="00D2604C"/>
    <w:rsid w:val="00D30206"/>
    <w:rsid w:val="00D30D7E"/>
    <w:rsid w:val="00D31B49"/>
    <w:rsid w:val="00D33797"/>
    <w:rsid w:val="00D41A99"/>
    <w:rsid w:val="00D41CC9"/>
    <w:rsid w:val="00D450FA"/>
    <w:rsid w:val="00D45BDE"/>
    <w:rsid w:val="00D47F3E"/>
    <w:rsid w:val="00D61650"/>
    <w:rsid w:val="00D61AE4"/>
    <w:rsid w:val="00D637B6"/>
    <w:rsid w:val="00D664C4"/>
    <w:rsid w:val="00D7021E"/>
    <w:rsid w:val="00D740FD"/>
    <w:rsid w:val="00D7472F"/>
    <w:rsid w:val="00D74D9C"/>
    <w:rsid w:val="00D74F7B"/>
    <w:rsid w:val="00D82AED"/>
    <w:rsid w:val="00D83B91"/>
    <w:rsid w:val="00D8498B"/>
    <w:rsid w:val="00D92B77"/>
    <w:rsid w:val="00D960DE"/>
    <w:rsid w:val="00D96370"/>
    <w:rsid w:val="00D967C1"/>
    <w:rsid w:val="00D96A14"/>
    <w:rsid w:val="00DA2BE5"/>
    <w:rsid w:val="00DA4C97"/>
    <w:rsid w:val="00DA5040"/>
    <w:rsid w:val="00DA56F4"/>
    <w:rsid w:val="00DA5B96"/>
    <w:rsid w:val="00DB046A"/>
    <w:rsid w:val="00DB0BD1"/>
    <w:rsid w:val="00DB129C"/>
    <w:rsid w:val="00DB1995"/>
    <w:rsid w:val="00DB2DB8"/>
    <w:rsid w:val="00DB347B"/>
    <w:rsid w:val="00DC0367"/>
    <w:rsid w:val="00DC0F63"/>
    <w:rsid w:val="00DC169F"/>
    <w:rsid w:val="00DC172B"/>
    <w:rsid w:val="00DC25A8"/>
    <w:rsid w:val="00DC2E18"/>
    <w:rsid w:val="00DC3B4C"/>
    <w:rsid w:val="00DC3CEF"/>
    <w:rsid w:val="00DC78EA"/>
    <w:rsid w:val="00DD11B4"/>
    <w:rsid w:val="00DD2B00"/>
    <w:rsid w:val="00DD450F"/>
    <w:rsid w:val="00DD4E8A"/>
    <w:rsid w:val="00DD57E8"/>
    <w:rsid w:val="00DD7F9D"/>
    <w:rsid w:val="00DE3398"/>
    <w:rsid w:val="00DE3812"/>
    <w:rsid w:val="00DE5971"/>
    <w:rsid w:val="00DE6FC8"/>
    <w:rsid w:val="00DF167F"/>
    <w:rsid w:val="00DF3E18"/>
    <w:rsid w:val="00DF714C"/>
    <w:rsid w:val="00DF7FAE"/>
    <w:rsid w:val="00E0514A"/>
    <w:rsid w:val="00E10834"/>
    <w:rsid w:val="00E11B38"/>
    <w:rsid w:val="00E1229E"/>
    <w:rsid w:val="00E1297A"/>
    <w:rsid w:val="00E12DA5"/>
    <w:rsid w:val="00E170D7"/>
    <w:rsid w:val="00E20C0E"/>
    <w:rsid w:val="00E22C27"/>
    <w:rsid w:val="00E22F00"/>
    <w:rsid w:val="00E26423"/>
    <w:rsid w:val="00E32DA8"/>
    <w:rsid w:val="00E3309D"/>
    <w:rsid w:val="00E34BD9"/>
    <w:rsid w:val="00E358FA"/>
    <w:rsid w:val="00E3682E"/>
    <w:rsid w:val="00E42239"/>
    <w:rsid w:val="00E43397"/>
    <w:rsid w:val="00E43E94"/>
    <w:rsid w:val="00E44584"/>
    <w:rsid w:val="00E47EFA"/>
    <w:rsid w:val="00E50CAA"/>
    <w:rsid w:val="00E5762E"/>
    <w:rsid w:val="00E61458"/>
    <w:rsid w:val="00E61B14"/>
    <w:rsid w:val="00E63883"/>
    <w:rsid w:val="00E64118"/>
    <w:rsid w:val="00E67B0E"/>
    <w:rsid w:val="00E71431"/>
    <w:rsid w:val="00E73FE4"/>
    <w:rsid w:val="00E75AFD"/>
    <w:rsid w:val="00E763F7"/>
    <w:rsid w:val="00E76D26"/>
    <w:rsid w:val="00E77628"/>
    <w:rsid w:val="00E77F13"/>
    <w:rsid w:val="00E80A45"/>
    <w:rsid w:val="00E8310E"/>
    <w:rsid w:val="00E83CCF"/>
    <w:rsid w:val="00E91558"/>
    <w:rsid w:val="00E928D5"/>
    <w:rsid w:val="00E961AC"/>
    <w:rsid w:val="00EA0FEF"/>
    <w:rsid w:val="00EA1EAF"/>
    <w:rsid w:val="00EA3B1F"/>
    <w:rsid w:val="00EB1B0F"/>
    <w:rsid w:val="00EB27F7"/>
    <w:rsid w:val="00EB51BC"/>
    <w:rsid w:val="00EC138B"/>
    <w:rsid w:val="00EC66D8"/>
    <w:rsid w:val="00EC6A71"/>
    <w:rsid w:val="00ED27D2"/>
    <w:rsid w:val="00ED56B4"/>
    <w:rsid w:val="00ED7815"/>
    <w:rsid w:val="00EE0617"/>
    <w:rsid w:val="00EE1FAF"/>
    <w:rsid w:val="00EE35E2"/>
    <w:rsid w:val="00EE3E9F"/>
    <w:rsid w:val="00EE7783"/>
    <w:rsid w:val="00EF2F91"/>
    <w:rsid w:val="00EF4D86"/>
    <w:rsid w:val="00EF5355"/>
    <w:rsid w:val="00EF5E7F"/>
    <w:rsid w:val="00EF5FC1"/>
    <w:rsid w:val="00EF6156"/>
    <w:rsid w:val="00EF7034"/>
    <w:rsid w:val="00F00584"/>
    <w:rsid w:val="00F030CC"/>
    <w:rsid w:val="00F05BC4"/>
    <w:rsid w:val="00F05DED"/>
    <w:rsid w:val="00F11C7F"/>
    <w:rsid w:val="00F130FB"/>
    <w:rsid w:val="00F1411E"/>
    <w:rsid w:val="00F14F4B"/>
    <w:rsid w:val="00F170E6"/>
    <w:rsid w:val="00F203FE"/>
    <w:rsid w:val="00F21D5F"/>
    <w:rsid w:val="00F26248"/>
    <w:rsid w:val="00F268F2"/>
    <w:rsid w:val="00F34524"/>
    <w:rsid w:val="00F4162F"/>
    <w:rsid w:val="00F43160"/>
    <w:rsid w:val="00F45C68"/>
    <w:rsid w:val="00F53F1D"/>
    <w:rsid w:val="00F544CA"/>
    <w:rsid w:val="00F612BD"/>
    <w:rsid w:val="00F65E22"/>
    <w:rsid w:val="00F72CF1"/>
    <w:rsid w:val="00F80F78"/>
    <w:rsid w:val="00F81164"/>
    <w:rsid w:val="00F84F6E"/>
    <w:rsid w:val="00F92E09"/>
    <w:rsid w:val="00F93E7A"/>
    <w:rsid w:val="00F95925"/>
    <w:rsid w:val="00FA171F"/>
    <w:rsid w:val="00FA2618"/>
    <w:rsid w:val="00FA4B14"/>
    <w:rsid w:val="00FA70F3"/>
    <w:rsid w:val="00FB169F"/>
    <w:rsid w:val="00FB5D43"/>
    <w:rsid w:val="00FB60C7"/>
    <w:rsid w:val="00FB746C"/>
    <w:rsid w:val="00FB7E8C"/>
    <w:rsid w:val="00FC1259"/>
    <w:rsid w:val="00FC12F4"/>
    <w:rsid w:val="00FC46FC"/>
    <w:rsid w:val="00FD0E4A"/>
    <w:rsid w:val="00FD1F66"/>
    <w:rsid w:val="00FD639F"/>
    <w:rsid w:val="00FE03F9"/>
    <w:rsid w:val="00FE11B8"/>
    <w:rsid w:val="00FE1D9E"/>
    <w:rsid w:val="00FE2521"/>
    <w:rsid w:val="00FE27F3"/>
    <w:rsid w:val="00FE2C7E"/>
    <w:rsid w:val="00FE3E29"/>
    <w:rsid w:val="00FE403C"/>
    <w:rsid w:val="00FE5F5E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463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88660D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56E7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56E7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56E7C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56E7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56E7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basedOn w:val="a0"/>
    <w:link w:val="6"/>
    <w:uiPriority w:val="99"/>
    <w:locked/>
    <w:rsid w:val="0088660D"/>
    <w:rPr>
      <w:rFonts w:ascii="Calibri" w:hAnsi="Calibri" w:cs="Calibri"/>
      <w:b/>
      <w:bCs/>
      <w:lang w:val="en-US" w:eastAsia="en-US"/>
    </w:rPr>
  </w:style>
  <w:style w:type="paragraph" w:customStyle="1" w:styleId="Char">
    <w:name w:val="Char Знак"/>
    <w:basedOn w:val="a"/>
    <w:uiPriority w:val="99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32066B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56E7C"/>
    <w:rPr>
      <w:rFonts w:ascii="Arial" w:hAnsi="Arial" w:cs="Arial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cs="Times New Roman"/>
      <w:sz w:val="2"/>
      <w:szCs w:val="2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756E7C"/>
    <w:rPr>
      <w:rFonts w:cs="Times New Roman"/>
      <w:sz w:val="2"/>
      <w:szCs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customStyle="1" w:styleId="Style">
    <w:name w:val="Style"/>
    <w:uiPriority w:val="99"/>
    <w:rsid w:val="001F5C24"/>
    <w:pPr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2F463D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ae">
    <w:name w:val="Title"/>
    <w:basedOn w:val="a"/>
    <w:link w:val="af"/>
    <w:uiPriority w:val="99"/>
    <w:qFormat/>
    <w:rsid w:val="002F463D"/>
    <w:pPr>
      <w:overflowPunct/>
      <w:autoSpaceDE/>
      <w:autoSpaceDN/>
      <w:adjustRightInd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Заглавие Знак"/>
    <w:basedOn w:val="a0"/>
    <w:link w:val="ae"/>
    <w:uiPriority w:val="99"/>
    <w:locked/>
    <w:rsid w:val="00756E7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0">
    <w:name w:val="Body Text Indent"/>
    <w:basedOn w:val="a"/>
    <w:link w:val="af1"/>
    <w:uiPriority w:val="99"/>
    <w:rsid w:val="002F463D"/>
    <w:pPr>
      <w:overflowPunct/>
      <w:autoSpaceDE/>
      <w:autoSpaceDN/>
      <w:adjustRightInd/>
      <w:ind w:left="720"/>
      <w:jc w:val="both"/>
      <w:textAlignment w:val="auto"/>
    </w:p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31">
    <w:name w:val="Body Text Indent 3"/>
    <w:basedOn w:val="a"/>
    <w:link w:val="32"/>
    <w:uiPriority w:val="99"/>
    <w:rsid w:val="002F463D"/>
    <w:pPr>
      <w:overflowPunct/>
      <w:autoSpaceDE/>
      <w:autoSpaceDN/>
      <w:adjustRightInd/>
      <w:ind w:left="-360" w:firstLine="1800"/>
      <w:jc w:val="both"/>
      <w:textAlignment w:val="auto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56E7C"/>
    <w:rPr>
      <w:rFonts w:ascii="Arial" w:hAnsi="Arial" w:cs="Arial"/>
      <w:sz w:val="16"/>
      <w:szCs w:val="16"/>
      <w:lang w:val="en-US" w:eastAsia="en-US"/>
    </w:rPr>
  </w:style>
  <w:style w:type="character" w:styleId="af2">
    <w:name w:val="Strong"/>
    <w:basedOn w:val="a0"/>
    <w:uiPriority w:val="99"/>
    <w:qFormat/>
    <w:rsid w:val="002F463D"/>
    <w:rPr>
      <w:rFonts w:cs="Times New Roman"/>
      <w:b/>
      <w:bCs/>
    </w:rPr>
  </w:style>
  <w:style w:type="paragraph" w:customStyle="1" w:styleId="Char0">
    <w:name w:val="Char Знак Знак Знак"/>
    <w:basedOn w:val="a"/>
    <w:uiPriority w:val="99"/>
    <w:rsid w:val="002F46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af3">
    <w:name w:val="Table Grid"/>
    <w:basedOn w:val="a1"/>
    <w:uiPriority w:val="99"/>
    <w:rsid w:val="002F463D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2F46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page number"/>
    <w:basedOn w:val="a0"/>
    <w:uiPriority w:val="99"/>
    <w:rsid w:val="002F463D"/>
    <w:rPr>
      <w:rFonts w:cs="Times New Roman"/>
    </w:rPr>
  </w:style>
  <w:style w:type="paragraph" w:customStyle="1" w:styleId="CharCharChar">
    <w:name w:val="Char Знак Char Char Знак"/>
    <w:basedOn w:val="a"/>
    <w:uiPriority w:val="99"/>
    <w:rsid w:val="002B52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Знак Char Знак"/>
    <w:basedOn w:val="a"/>
    <w:uiPriority w:val="99"/>
    <w:rsid w:val="005773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Знак Char"/>
    <w:basedOn w:val="a"/>
    <w:uiPriority w:val="99"/>
    <w:rsid w:val="00F8116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3">
    <w:name w:val="Style3"/>
    <w:basedOn w:val="a"/>
    <w:uiPriority w:val="99"/>
    <w:rsid w:val="00C342B0"/>
    <w:pPr>
      <w:widowControl w:val="0"/>
      <w:overflowPunct/>
      <w:textAlignment w:val="auto"/>
    </w:pPr>
    <w:rPr>
      <w:lang w:val="en-AU"/>
    </w:rPr>
  </w:style>
  <w:style w:type="character" w:customStyle="1" w:styleId="FontStyle11">
    <w:name w:val="Font Style11"/>
    <w:uiPriority w:val="99"/>
    <w:rsid w:val="00C342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C342B0"/>
    <w:rPr>
      <w:rFonts w:ascii="Times New Roman" w:hAnsi="Times New Roman" w:cs="Times New Roman"/>
      <w:sz w:val="22"/>
      <w:szCs w:val="22"/>
    </w:rPr>
  </w:style>
  <w:style w:type="paragraph" w:customStyle="1" w:styleId="1CharChar">
    <w:name w:val="Знак Знак1 Char Char"/>
    <w:basedOn w:val="a"/>
    <w:uiPriority w:val="99"/>
    <w:rsid w:val="00C342B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6">
    <w:name w:val="caption"/>
    <w:basedOn w:val="a"/>
    <w:next w:val="a"/>
    <w:uiPriority w:val="99"/>
    <w:qFormat/>
    <w:locked/>
    <w:rsid w:val="005C6EAB"/>
    <w:rPr>
      <w:b/>
      <w:bCs/>
    </w:rPr>
  </w:style>
  <w:style w:type="paragraph" w:customStyle="1" w:styleId="Style1">
    <w:name w:val="Style1"/>
    <w:basedOn w:val="a"/>
    <w:uiPriority w:val="99"/>
    <w:rsid w:val="0042690B"/>
    <w:pPr>
      <w:widowControl w:val="0"/>
      <w:overflowPunct/>
      <w:textAlignment w:val="auto"/>
    </w:pPr>
    <w:rPr>
      <w:lang w:val="en-AU"/>
    </w:rPr>
  </w:style>
  <w:style w:type="paragraph" w:customStyle="1" w:styleId="TimesNewRoman">
    <w:name w:val="Нормален + Times New Roman"/>
    <w:aliases w:val="12 pt"/>
    <w:basedOn w:val="a"/>
    <w:link w:val="TimesNewRoman0"/>
    <w:uiPriority w:val="99"/>
    <w:rsid w:val="0042690B"/>
    <w:pPr>
      <w:ind w:firstLine="720"/>
      <w:jc w:val="both"/>
    </w:pPr>
    <w:rPr>
      <w:rFonts w:cs="Times New Roman"/>
      <w:sz w:val="24"/>
      <w:szCs w:val="24"/>
      <w:lang w:val="bg-BG"/>
    </w:rPr>
  </w:style>
  <w:style w:type="character" w:customStyle="1" w:styleId="TimesNewRoman0">
    <w:name w:val="Нормален + Times New Roman Знак"/>
    <w:aliases w:val="12 pt Знак"/>
    <w:link w:val="TimesNewRoman"/>
    <w:uiPriority w:val="99"/>
    <w:locked/>
    <w:rsid w:val="0096352E"/>
    <w:rPr>
      <w:rFonts w:cs="Times New Roman"/>
      <w:sz w:val="24"/>
      <w:szCs w:val="24"/>
      <w:lang w:val="bg-BG" w:eastAsia="en-US"/>
    </w:rPr>
  </w:style>
  <w:style w:type="character" w:customStyle="1" w:styleId="61">
    <w:name w:val="Знак Знак6"/>
    <w:uiPriority w:val="99"/>
    <w:semiHidden/>
    <w:locked/>
    <w:rsid w:val="001C54E7"/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  <w:rsid w:val="002F68A7"/>
    <w:rPr>
      <w:rFonts w:cs="Times New Roman"/>
    </w:rPr>
  </w:style>
  <w:style w:type="paragraph" w:customStyle="1" w:styleId="1CharChar1">
    <w:name w:val="Знак Знак1 Char Char1"/>
    <w:basedOn w:val="a"/>
    <w:uiPriority w:val="99"/>
    <w:rsid w:val="00396E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f7">
    <w:name w:val="FollowedHyperlink"/>
    <w:basedOn w:val="a0"/>
    <w:uiPriority w:val="99"/>
    <w:semiHidden/>
    <w:rsid w:val="0042153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463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88660D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56E7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56E7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56E7C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756E7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56E7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basedOn w:val="a0"/>
    <w:link w:val="6"/>
    <w:uiPriority w:val="99"/>
    <w:locked/>
    <w:rsid w:val="0088660D"/>
    <w:rPr>
      <w:rFonts w:ascii="Calibri" w:hAnsi="Calibri" w:cs="Calibri"/>
      <w:b/>
      <w:bCs/>
      <w:lang w:val="en-US" w:eastAsia="en-US"/>
    </w:rPr>
  </w:style>
  <w:style w:type="paragraph" w:customStyle="1" w:styleId="Char">
    <w:name w:val="Char Знак"/>
    <w:basedOn w:val="a"/>
    <w:uiPriority w:val="99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32066B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756E7C"/>
    <w:rPr>
      <w:rFonts w:ascii="Arial" w:hAnsi="Arial" w:cs="Arial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cs="Times New Roman"/>
      <w:sz w:val="2"/>
      <w:szCs w:val="2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756E7C"/>
    <w:rPr>
      <w:rFonts w:cs="Times New Roman"/>
      <w:sz w:val="2"/>
      <w:szCs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customStyle="1" w:styleId="Style">
    <w:name w:val="Style"/>
    <w:uiPriority w:val="99"/>
    <w:rsid w:val="001F5C24"/>
    <w:pPr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2F463D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ae">
    <w:name w:val="Title"/>
    <w:basedOn w:val="a"/>
    <w:link w:val="af"/>
    <w:uiPriority w:val="99"/>
    <w:qFormat/>
    <w:rsid w:val="002F463D"/>
    <w:pPr>
      <w:overflowPunct/>
      <w:autoSpaceDE/>
      <w:autoSpaceDN/>
      <w:adjustRightInd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Заглавие Знак"/>
    <w:basedOn w:val="a0"/>
    <w:link w:val="ae"/>
    <w:uiPriority w:val="99"/>
    <w:locked/>
    <w:rsid w:val="00756E7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0">
    <w:name w:val="Body Text Indent"/>
    <w:basedOn w:val="a"/>
    <w:link w:val="af1"/>
    <w:uiPriority w:val="99"/>
    <w:rsid w:val="002F463D"/>
    <w:pPr>
      <w:overflowPunct/>
      <w:autoSpaceDE/>
      <w:autoSpaceDN/>
      <w:adjustRightInd/>
      <w:ind w:left="720"/>
      <w:jc w:val="both"/>
      <w:textAlignment w:val="auto"/>
    </w:p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756E7C"/>
    <w:rPr>
      <w:rFonts w:ascii="Arial" w:hAnsi="Arial" w:cs="Arial"/>
      <w:lang w:val="en-US" w:eastAsia="en-US"/>
    </w:rPr>
  </w:style>
  <w:style w:type="paragraph" w:styleId="31">
    <w:name w:val="Body Text Indent 3"/>
    <w:basedOn w:val="a"/>
    <w:link w:val="32"/>
    <w:uiPriority w:val="99"/>
    <w:rsid w:val="002F463D"/>
    <w:pPr>
      <w:overflowPunct/>
      <w:autoSpaceDE/>
      <w:autoSpaceDN/>
      <w:adjustRightInd/>
      <w:ind w:left="-360" w:firstLine="1800"/>
      <w:jc w:val="both"/>
      <w:textAlignment w:val="auto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56E7C"/>
    <w:rPr>
      <w:rFonts w:ascii="Arial" w:hAnsi="Arial" w:cs="Arial"/>
      <w:sz w:val="16"/>
      <w:szCs w:val="16"/>
      <w:lang w:val="en-US" w:eastAsia="en-US"/>
    </w:rPr>
  </w:style>
  <w:style w:type="character" w:styleId="af2">
    <w:name w:val="Strong"/>
    <w:basedOn w:val="a0"/>
    <w:uiPriority w:val="99"/>
    <w:qFormat/>
    <w:rsid w:val="002F463D"/>
    <w:rPr>
      <w:rFonts w:cs="Times New Roman"/>
      <w:b/>
      <w:bCs/>
    </w:rPr>
  </w:style>
  <w:style w:type="paragraph" w:customStyle="1" w:styleId="Char0">
    <w:name w:val="Char Знак Знак Знак"/>
    <w:basedOn w:val="a"/>
    <w:uiPriority w:val="99"/>
    <w:rsid w:val="002F46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af3">
    <w:name w:val="Table Grid"/>
    <w:basedOn w:val="a1"/>
    <w:uiPriority w:val="99"/>
    <w:rsid w:val="002F463D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2F46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page number"/>
    <w:basedOn w:val="a0"/>
    <w:uiPriority w:val="99"/>
    <w:rsid w:val="002F463D"/>
    <w:rPr>
      <w:rFonts w:cs="Times New Roman"/>
    </w:rPr>
  </w:style>
  <w:style w:type="paragraph" w:customStyle="1" w:styleId="CharCharChar">
    <w:name w:val="Char Знак Char Char Знак"/>
    <w:basedOn w:val="a"/>
    <w:uiPriority w:val="99"/>
    <w:rsid w:val="002B52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Знак Char Знак"/>
    <w:basedOn w:val="a"/>
    <w:uiPriority w:val="99"/>
    <w:rsid w:val="0057737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Знак Char"/>
    <w:basedOn w:val="a"/>
    <w:uiPriority w:val="99"/>
    <w:rsid w:val="00F8116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3">
    <w:name w:val="Style3"/>
    <w:basedOn w:val="a"/>
    <w:uiPriority w:val="99"/>
    <w:rsid w:val="00C342B0"/>
    <w:pPr>
      <w:widowControl w:val="0"/>
      <w:overflowPunct/>
      <w:textAlignment w:val="auto"/>
    </w:pPr>
    <w:rPr>
      <w:lang w:val="en-AU"/>
    </w:rPr>
  </w:style>
  <w:style w:type="character" w:customStyle="1" w:styleId="FontStyle11">
    <w:name w:val="Font Style11"/>
    <w:uiPriority w:val="99"/>
    <w:rsid w:val="00C342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C342B0"/>
    <w:rPr>
      <w:rFonts w:ascii="Times New Roman" w:hAnsi="Times New Roman" w:cs="Times New Roman"/>
      <w:sz w:val="22"/>
      <w:szCs w:val="22"/>
    </w:rPr>
  </w:style>
  <w:style w:type="paragraph" w:customStyle="1" w:styleId="1CharChar">
    <w:name w:val="Знак Знак1 Char Char"/>
    <w:basedOn w:val="a"/>
    <w:uiPriority w:val="99"/>
    <w:rsid w:val="00C342B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f6">
    <w:name w:val="caption"/>
    <w:basedOn w:val="a"/>
    <w:next w:val="a"/>
    <w:uiPriority w:val="99"/>
    <w:qFormat/>
    <w:locked/>
    <w:rsid w:val="005C6EAB"/>
    <w:rPr>
      <w:b/>
      <w:bCs/>
    </w:rPr>
  </w:style>
  <w:style w:type="paragraph" w:customStyle="1" w:styleId="Style1">
    <w:name w:val="Style1"/>
    <w:basedOn w:val="a"/>
    <w:uiPriority w:val="99"/>
    <w:rsid w:val="0042690B"/>
    <w:pPr>
      <w:widowControl w:val="0"/>
      <w:overflowPunct/>
      <w:textAlignment w:val="auto"/>
    </w:pPr>
    <w:rPr>
      <w:lang w:val="en-AU"/>
    </w:rPr>
  </w:style>
  <w:style w:type="paragraph" w:customStyle="1" w:styleId="TimesNewRoman">
    <w:name w:val="Нормален + Times New Roman"/>
    <w:aliases w:val="12 pt"/>
    <w:basedOn w:val="a"/>
    <w:link w:val="TimesNewRoman0"/>
    <w:uiPriority w:val="99"/>
    <w:rsid w:val="0042690B"/>
    <w:pPr>
      <w:ind w:firstLine="720"/>
      <w:jc w:val="both"/>
    </w:pPr>
    <w:rPr>
      <w:rFonts w:cs="Times New Roman"/>
      <w:sz w:val="24"/>
      <w:szCs w:val="24"/>
      <w:lang w:val="bg-BG"/>
    </w:rPr>
  </w:style>
  <w:style w:type="character" w:customStyle="1" w:styleId="TimesNewRoman0">
    <w:name w:val="Нормален + Times New Roman Знак"/>
    <w:aliases w:val="12 pt Знак"/>
    <w:link w:val="TimesNewRoman"/>
    <w:uiPriority w:val="99"/>
    <w:locked/>
    <w:rsid w:val="0096352E"/>
    <w:rPr>
      <w:rFonts w:cs="Times New Roman"/>
      <w:sz w:val="24"/>
      <w:szCs w:val="24"/>
      <w:lang w:val="bg-BG" w:eastAsia="en-US"/>
    </w:rPr>
  </w:style>
  <w:style w:type="character" w:customStyle="1" w:styleId="61">
    <w:name w:val="Знак Знак6"/>
    <w:uiPriority w:val="99"/>
    <w:semiHidden/>
    <w:locked/>
    <w:rsid w:val="001C54E7"/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  <w:rsid w:val="002F68A7"/>
    <w:rPr>
      <w:rFonts w:cs="Times New Roman"/>
    </w:rPr>
  </w:style>
  <w:style w:type="paragraph" w:customStyle="1" w:styleId="1CharChar1">
    <w:name w:val="Знак Знак1 Char Char1"/>
    <w:basedOn w:val="a"/>
    <w:uiPriority w:val="99"/>
    <w:rsid w:val="00396E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f7">
    <w:name w:val="FollowedHyperlink"/>
    <w:basedOn w:val="a0"/>
    <w:uiPriority w:val="99"/>
    <w:semiHidden/>
    <w:rsid w:val="004215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1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1138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E%D0%B1%D0%BB%D0%B0%D1%81%D1%82%D0%B8_%D0%BD%D0%B0_%D0%91%D1%8A%D0%BB%D0%B3%D0%B0%D1%80%D0%B8%D1%8F" TargetMode="External"/><Relationship Id="rId13" Type="http://schemas.openxmlformats.org/officeDocument/2006/relationships/hyperlink" Target="https://bg.wikipedia.org/wiki/%D0%94%D0%B6%D0%B5%D0%B1%D0%B5%D0%B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g.wikipedia.org/wiki/%D0%90%D1%80%D0%B4%D0%B8%D0%BD%D0%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g.wikipedia.org/wiki/%D0%9A%D1%80%D1%83%D0%BC%D0%BE%D0%B2%D0%B3%D1%80%D0%B0%D0%B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g.wikipedia.org/wiki/%D0%9C%D0%BE%D0%BC%D1%87%D0%B8%D0%BB%D0%B3%D1%80%D0%B0%D0%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A%D1%8A%D1%80%D0%B4%D0%B6%D0%B0%D0%BB%D0%B8" TargetMode="Externa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1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Брой животни през 2014, 2015, 2016, 2017,2018 г. </a:t>
            </a:r>
          </a:p>
        </c:rich>
      </c:tx>
      <c:layout>
        <c:manualLayout>
          <c:xMode val="edge"/>
          <c:yMode val="edge"/>
          <c:x val="0.19217687074829931"/>
          <c:y val="2.0771513353115726E-2"/>
        </c:manualLayout>
      </c:layout>
      <c:overlay val="0"/>
      <c:spPr>
        <a:noFill/>
        <a:ln w="19056">
          <a:noFill/>
        </a:ln>
      </c:spPr>
    </c:title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435374149659865"/>
          <c:y val="0.16913946587537093"/>
          <c:w val="0.84523809523809523"/>
          <c:h val="0.5964391691394659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3366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Говеда</c:v>
                </c:pt>
                <c:pt idx="1">
                  <c:v>Овце</c:v>
                </c:pt>
                <c:pt idx="2">
                  <c:v>Кози</c:v>
                </c:pt>
                <c:pt idx="3">
                  <c:v>Свине</c:v>
                </c:pt>
                <c:pt idx="4">
                  <c:v>Птици</c:v>
                </c:pt>
                <c:pt idx="5">
                  <c:v>Зайци</c:v>
                </c:pt>
                <c:pt idx="6">
                  <c:v>Пчелни семейства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51805</c:v>
                </c:pt>
                <c:pt idx="1">
                  <c:v>94520</c:v>
                </c:pt>
                <c:pt idx="2">
                  <c:v>6466</c:v>
                </c:pt>
                <c:pt idx="3">
                  <c:v>0</c:v>
                </c:pt>
                <c:pt idx="4">
                  <c:v>260500</c:v>
                </c:pt>
                <c:pt idx="5">
                  <c:v>1009</c:v>
                </c:pt>
                <c:pt idx="6">
                  <c:v>15644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CC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Говеда</c:v>
                </c:pt>
                <c:pt idx="1">
                  <c:v>Овце</c:v>
                </c:pt>
                <c:pt idx="2">
                  <c:v>Кози</c:v>
                </c:pt>
                <c:pt idx="3">
                  <c:v>Свине</c:v>
                </c:pt>
                <c:pt idx="4">
                  <c:v>Птици</c:v>
                </c:pt>
                <c:pt idx="5">
                  <c:v>Зайци</c:v>
                </c:pt>
                <c:pt idx="6">
                  <c:v>Пчелни семейства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51343</c:v>
                </c:pt>
                <c:pt idx="1">
                  <c:v>80887</c:v>
                </c:pt>
                <c:pt idx="2">
                  <c:v>5554</c:v>
                </c:pt>
                <c:pt idx="3">
                  <c:v>0</c:v>
                </c:pt>
                <c:pt idx="4">
                  <c:v>260800</c:v>
                </c:pt>
                <c:pt idx="5">
                  <c:v>212</c:v>
                </c:pt>
                <c:pt idx="6">
                  <c:v>15603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CFFFF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Говеда</c:v>
                </c:pt>
                <c:pt idx="1">
                  <c:v>Овце</c:v>
                </c:pt>
                <c:pt idx="2">
                  <c:v>Кози</c:v>
                </c:pt>
                <c:pt idx="3">
                  <c:v>Свине</c:v>
                </c:pt>
                <c:pt idx="4">
                  <c:v>Птици</c:v>
                </c:pt>
                <c:pt idx="5">
                  <c:v>Зайци</c:v>
                </c:pt>
                <c:pt idx="6">
                  <c:v>Пчелни семейства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69651</c:v>
                </c:pt>
                <c:pt idx="1">
                  <c:v>96570</c:v>
                </c:pt>
                <c:pt idx="2">
                  <c:v>7458</c:v>
                </c:pt>
                <c:pt idx="3">
                  <c:v>0</c:v>
                </c:pt>
                <c:pt idx="4">
                  <c:v>286000</c:v>
                </c:pt>
                <c:pt idx="5">
                  <c:v>1524</c:v>
                </c:pt>
                <c:pt idx="6">
                  <c:v>16677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660066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Говеда</c:v>
                </c:pt>
                <c:pt idx="1">
                  <c:v>Овце</c:v>
                </c:pt>
                <c:pt idx="2">
                  <c:v>Кози</c:v>
                </c:pt>
                <c:pt idx="3">
                  <c:v>Свине</c:v>
                </c:pt>
                <c:pt idx="4">
                  <c:v>Птици</c:v>
                </c:pt>
                <c:pt idx="5">
                  <c:v>Зайци</c:v>
                </c:pt>
                <c:pt idx="6">
                  <c:v>Пчелни семейства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71884</c:v>
                </c:pt>
                <c:pt idx="1">
                  <c:v>90543</c:v>
                </c:pt>
                <c:pt idx="2">
                  <c:v>7250</c:v>
                </c:pt>
                <c:pt idx="3">
                  <c:v>0</c:v>
                </c:pt>
                <c:pt idx="4">
                  <c:v>177000</c:v>
                </c:pt>
                <c:pt idx="5">
                  <c:v>2626</c:v>
                </c:pt>
                <c:pt idx="6">
                  <c:v>16000</c:v>
                </c:pt>
              </c:numCache>
            </c:numRef>
          </c:val>
        </c:ser>
        <c:ser>
          <c:idx val="0"/>
          <c:order val="4"/>
          <c:tx>
            <c:strRef>
              <c:f>Sheet1!$A$6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99FF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Говеда</c:v>
                </c:pt>
                <c:pt idx="1">
                  <c:v>Овце</c:v>
                </c:pt>
                <c:pt idx="2">
                  <c:v>Кози</c:v>
                </c:pt>
                <c:pt idx="3">
                  <c:v>Свине</c:v>
                </c:pt>
                <c:pt idx="4">
                  <c:v>Птици</c:v>
                </c:pt>
                <c:pt idx="5">
                  <c:v>Зайци</c:v>
                </c:pt>
                <c:pt idx="6">
                  <c:v>Пчелни семейства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68994</c:v>
                </c:pt>
                <c:pt idx="1">
                  <c:v>87162</c:v>
                </c:pt>
                <c:pt idx="2">
                  <c:v>7188</c:v>
                </c:pt>
                <c:pt idx="3">
                  <c:v>0</c:v>
                </c:pt>
                <c:pt idx="4">
                  <c:v>285000</c:v>
                </c:pt>
                <c:pt idx="5">
                  <c:v>2551</c:v>
                </c:pt>
                <c:pt idx="6">
                  <c:v>15421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818752"/>
        <c:axId val="127825024"/>
        <c:axId val="0"/>
      </c:bar3DChart>
      <c:catAx>
        <c:axId val="127818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животни</a:t>
                </a:r>
              </a:p>
            </c:rich>
          </c:tx>
          <c:layout>
            <c:manualLayout>
              <c:xMode val="edge"/>
              <c:yMode val="edge"/>
              <c:x val="0.5"/>
              <c:y val="0.88427299703264095"/>
            </c:manualLayout>
          </c:layout>
          <c:overlay val="0"/>
          <c:spPr>
            <a:noFill/>
            <a:ln w="19056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7825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825024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брой</a:t>
                </a:r>
              </a:p>
            </c:rich>
          </c:tx>
          <c:layout>
            <c:manualLayout>
              <c:xMode val="edge"/>
              <c:yMode val="edge"/>
              <c:x val="6.9727891156462579E-2"/>
              <c:y val="0.41246290801186941"/>
            </c:manualLayout>
          </c:layout>
          <c:overlay val="0"/>
          <c:spPr>
            <a:noFill/>
            <a:ln w="1905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27818752"/>
        <c:crosses val="autoZero"/>
        <c:crossBetween val="between"/>
      </c:valAx>
      <c:spPr>
        <a:noFill/>
        <a:ln w="19056">
          <a:noFill/>
        </a:ln>
      </c:spPr>
    </c:plotArea>
    <c:legend>
      <c:legendPos val="r"/>
      <c:layout>
        <c:manualLayout>
          <c:xMode val="edge"/>
          <c:yMode val="edge"/>
          <c:x val="0.90986394557823125"/>
          <c:y val="0.36498516320474778"/>
          <c:w val="7.1428571428571425E-2"/>
          <c:h val="0.28486646884272998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58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3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0.4995</cdr:x>
      <cdr:y>0.49925</cdr:y>
    </cdr:from>
    <cdr:to>
      <cdr:x>0.52325</cdr:x>
      <cdr:y>0.55575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7550" y="1602555"/>
          <a:ext cx="133016" cy="1813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bg-BG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admin1</cp:lastModifiedBy>
  <cp:revision>2</cp:revision>
  <cp:lastPrinted>2019-02-18T07:46:00Z</cp:lastPrinted>
  <dcterms:created xsi:type="dcterms:W3CDTF">2019-04-03T11:05:00Z</dcterms:created>
  <dcterms:modified xsi:type="dcterms:W3CDTF">2019-04-03T11:05:00Z</dcterms:modified>
</cp:coreProperties>
</file>