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80" w:rsidRPr="0042153A" w:rsidRDefault="00255280" w:rsidP="00B1070E">
      <w:pPr>
        <w:ind w:left="-540" w:hanging="540"/>
        <w:jc w:val="both"/>
      </w:pPr>
      <w:bookmarkStart w:id="0" w:name="_GoBack"/>
      <w:bookmarkEnd w:id="0"/>
    </w:p>
    <w:p w:rsidR="00255280" w:rsidRPr="009F6B91" w:rsidRDefault="00255280" w:rsidP="00741BCB">
      <w:pPr>
        <w:rPr>
          <w:lang w:val="bg-BG"/>
        </w:rPr>
      </w:pPr>
    </w:p>
    <w:p w:rsidR="00255280" w:rsidRPr="00F203FE" w:rsidRDefault="00255280" w:rsidP="002E25BD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F203FE">
        <w:rPr>
          <w:rFonts w:ascii="Times New Roman" w:hAnsi="Times New Roman" w:cs="Times New Roman"/>
        </w:rPr>
        <w:t>Д О К Л А Д</w:t>
      </w:r>
    </w:p>
    <w:p w:rsidR="00255280" w:rsidRPr="00FB60C7" w:rsidRDefault="00255280" w:rsidP="002E25BD">
      <w:pPr>
        <w:rPr>
          <w:lang w:val="ru-RU"/>
        </w:rPr>
      </w:pPr>
    </w:p>
    <w:p w:rsidR="00255280" w:rsidRPr="00FB60C7" w:rsidRDefault="00255280" w:rsidP="002F46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B60C7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СЪСТОЯНИЕТО НА ЗЕМЕДЕЛИЕТО И</w:t>
      </w:r>
    </w:p>
    <w:p w:rsidR="00255280" w:rsidRPr="00FB60C7" w:rsidRDefault="00255280" w:rsidP="002E25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60C7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ДЕЙНОСТТА НА ОД “ЗЕМЕДЕЛИЕ”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ГРАД КЪРДЖАЛИ </w:t>
      </w:r>
    </w:p>
    <w:p w:rsidR="00255280" w:rsidRPr="00FB60C7" w:rsidRDefault="00255280" w:rsidP="002E25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ПЕРИОДА 01.01.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год.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B60C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bg-BG"/>
        </w:rPr>
        <w:t>. 20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B60C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год.</w:t>
      </w:r>
    </w:p>
    <w:p w:rsidR="00255280" w:rsidRPr="00FB60C7" w:rsidRDefault="00255280" w:rsidP="002F46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2F463D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ОБЩА АГРОХАРАКТЕРИСТИКА НА ОБЛАСТ КЪРДЖАЛИ ЗА ПЕРИОДА </w:t>
      </w:r>
    </w:p>
    <w:p w:rsidR="00255280" w:rsidRPr="00FB60C7" w:rsidRDefault="00255280" w:rsidP="002F463D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01.01.20</w:t>
      </w: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г. – 3</w:t>
      </w: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</w:t>
      </w: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12</w:t>
      </w: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.20</w:t>
      </w: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FB60C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г.</w:t>
      </w:r>
    </w:p>
    <w:p w:rsidR="00255280" w:rsidRDefault="00255280" w:rsidP="002F463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9F6B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430C">
        <w:rPr>
          <w:rFonts w:ascii="Times New Roman" w:hAnsi="Times New Roman" w:cs="Times New Roman"/>
          <w:b/>
          <w:bCs/>
          <w:sz w:val="24"/>
          <w:szCs w:val="24"/>
        </w:rPr>
        <w:t>Област Кърджали</w:t>
      </w:r>
      <w:r w:rsidRPr="0013430C">
        <w:rPr>
          <w:rFonts w:ascii="Times New Roman" w:hAnsi="Times New Roman" w:cs="Times New Roman"/>
          <w:sz w:val="24"/>
          <w:szCs w:val="24"/>
        </w:rPr>
        <w:t xml:space="preserve"> е една от 28-те </w:t>
      </w:r>
      <w:hyperlink r:id="rId8" w:tooltip="Области на България" w:history="1">
        <w:r w:rsidRPr="0013430C">
          <w:rPr>
            <w:rStyle w:val="a9"/>
            <w:rFonts w:ascii="Times New Roman" w:hAnsi="Times New Roman"/>
            <w:sz w:val="24"/>
            <w:szCs w:val="24"/>
          </w:rPr>
          <w:t>области на България</w:t>
        </w:r>
      </w:hyperlink>
      <w:r w:rsidRPr="0013430C">
        <w:rPr>
          <w:rFonts w:ascii="Times New Roman" w:hAnsi="Times New Roman" w:cs="Times New Roman"/>
          <w:sz w:val="24"/>
          <w:szCs w:val="24"/>
        </w:rPr>
        <w:t xml:space="preserve">. </w:t>
      </w:r>
      <w:r w:rsidRPr="0013430C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13430C">
        <w:rPr>
          <w:rFonts w:ascii="Times New Roman" w:hAnsi="Times New Roman" w:cs="Times New Roman"/>
          <w:sz w:val="24"/>
          <w:szCs w:val="24"/>
        </w:rPr>
        <w:t>аема площ 3 209,1 km</w:t>
      </w:r>
      <w:r w:rsidRPr="00134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430C">
        <w:rPr>
          <w:rFonts w:ascii="Times New Roman" w:hAnsi="Times New Roman" w:cs="Times New Roman"/>
          <w:sz w:val="24"/>
          <w:szCs w:val="24"/>
        </w:rPr>
        <w:t xml:space="preserve"> и има население 149 661 души (по експресни данни от преброяване 2011).</w:t>
      </w:r>
      <w:r>
        <w:rPr>
          <w:rFonts w:ascii="Times New Roman" w:hAnsi="Times New Roman" w:cs="Times New Roman"/>
          <w:sz w:val="24"/>
          <w:szCs w:val="24"/>
        </w:rPr>
        <w:t xml:space="preserve"> Тя </w:t>
      </w:r>
      <w:r>
        <w:rPr>
          <w:rFonts w:ascii="Times New Roman" w:hAnsi="Times New Roman" w:cs="Times New Roman"/>
          <w:sz w:val="24"/>
          <w:szCs w:val="24"/>
          <w:lang w:val="bg-BG"/>
        </w:rPr>
        <w:t>граничи на запад със Смолянска област, на север с Хасковска и пловдивска област, на юг и югоизток с държавната граница на страната с Република Гърция.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административно-териториалните граници на Област Кърджали са включени </w:t>
      </w:r>
      <w:r w:rsidRPr="0013430C">
        <w:rPr>
          <w:rFonts w:ascii="Times New Roman" w:hAnsi="Times New Roman" w:cs="Times New Roman"/>
          <w:sz w:val="24"/>
          <w:szCs w:val="24"/>
        </w:rPr>
        <w:t>7 общини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Ардино, Джебел, Кирково, Крумовград, Кърджали Момчилград и Черноочене, като </w:t>
      </w:r>
      <w:r w:rsidRPr="0013430C">
        <w:rPr>
          <w:rFonts w:ascii="Times New Roman" w:hAnsi="Times New Roman" w:cs="Times New Roman"/>
          <w:sz w:val="24"/>
          <w:szCs w:val="24"/>
        </w:rPr>
        <w:t xml:space="preserve">общият брой на населените места е 470, от които градовете са едва 5 – </w:t>
      </w:r>
      <w:hyperlink r:id="rId9" w:tooltip="Кърджали" w:history="1">
        <w:r w:rsidRPr="0013430C">
          <w:rPr>
            <w:rStyle w:val="a9"/>
            <w:rFonts w:ascii="Times New Roman" w:hAnsi="Times New Roman"/>
            <w:sz w:val="24"/>
            <w:szCs w:val="24"/>
          </w:rPr>
          <w:t>Кърджали</w:t>
        </w:r>
      </w:hyperlink>
      <w:r w:rsidRPr="001343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Момчилград" w:history="1">
        <w:r w:rsidRPr="0013430C">
          <w:rPr>
            <w:rStyle w:val="a9"/>
            <w:rFonts w:ascii="Times New Roman" w:hAnsi="Times New Roman"/>
            <w:sz w:val="24"/>
            <w:szCs w:val="24"/>
          </w:rPr>
          <w:t>Момчилград</w:t>
        </w:r>
      </w:hyperlink>
      <w:r w:rsidRPr="001343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Крумовград" w:history="1">
        <w:r w:rsidRPr="0013430C">
          <w:rPr>
            <w:rStyle w:val="a9"/>
            <w:rFonts w:ascii="Times New Roman" w:hAnsi="Times New Roman"/>
            <w:sz w:val="24"/>
            <w:szCs w:val="24"/>
          </w:rPr>
          <w:t>Крумовград</w:t>
        </w:r>
      </w:hyperlink>
      <w:r w:rsidRPr="001343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Ардино" w:history="1">
        <w:r w:rsidRPr="0013430C">
          <w:rPr>
            <w:rStyle w:val="a9"/>
            <w:rFonts w:ascii="Times New Roman" w:hAnsi="Times New Roman"/>
            <w:sz w:val="24"/>
            <w:szCs w:val="24"/>
          </w:rPr>
          <w:t>Ардино</w:t>
        </w:r>
      </w:hyperlink>
      <w:r w:rsidRPr="001343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Джебел" w:history="1">
        <w:r w:rsidRPr="0013430C">
          <w:rPr>
            <w:rStyle w:val="a9"/>
            <w:rFonts w:ascii="Times New Roman" w:hAnsi="Times New Roman"/>
            <w:sz w:val="24"/>
            <w:szCs w:val="24"/>
          </w:rPr>
          <w:t>Джебел</w:t>
        </w:r>
      </w:hyperlink>
      <w:r w:rsidRPr="0013430C">
        <w:rPr>
          <w:rFonts w:ascii="Times New Roman" w:hAnsi="Times New Roman" w:cs="Times New Roman"/>
          <w:sz w:val="24"/>
          <w:szCs w:val="24"/>
        </w:rPr>
        <w:t xml:space="preserve">. Черноочене и Кирково са двете общини в областта, съставени изцяло от </w:t>
      </w:r>
      <w:r>
        <w:rPr>
          <w:rFonts w:ascii="Times New Roman" w:hAnsi="Times New Roman" w:cs="Times New Roman"/>
          <w:sz w:val="24"/>
          <w:szCs w:val="24"/>
          <w:lang w:val="bg-BG"/>
        </w:rPr>
        <w:t>села.</w:t>
      </w:r>
    </w:p>
    <w:p w:rsidR="00255280" w:rsidRDefault="00255280" w:rsidP="009F6B9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6C1A91" w:rsidRDefault="00255280" w:rsidP="009F6B91">
      <w:pPr>
        <w:ind w:firstLine="72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  <w:r w:rsidRPr="006C1A91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І. РАСТЕНИЕВЪДСТВО</w:t>
      </w:r>
    </w:p>
    <w:p w:rsidR="00255280" w:rsidRPr="006C1A91" w:rsidRDefault="00255280" w:rsidP="002F463D">
      <w:pPr>
        <w:ind w:firstLine="72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</w:p>
    <w:p w:rsidR="00255280" w:rsidRPr="00FB60C7" w:rsidRDefault="00255280" w:rsidP="002E25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60C7">
        <w:rPr>
          <w:rFonts w:ascii="Times New Roman" w:hAnsi="Times New Roman" w:cs="Times New Roman"/>
          <w:sz w:val="24"/>
          <w:szCs w:val="24"/>
          <w:lang w:val="bg-BG"/>
        </w:rPr>
        <w:t>Преобладаващият почвен тип в област Кърджали са канелените горски почви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B60C7">
        <w:rPr>
          <w:rFonts w:ascii="Times New Roman" w:hAnsi="Times New Roman" w:cs="Times New Roman"/>
          <w:sz w:val="24"/>
          <w:szCs w:val="24"/>
          <w:lang w:val="bg-BG"/>
        </w:rPr>
        <w:t xml:space="preserve"> Срещат се също в по-ма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лък размер кафяви горски почви, </w:t>
      </w:r>
      <w:r w:rsidRPr="00FB60C7">
        <w:rPr>
          <w:rFonts w:ascii="Times New Roman" w:hAnsi="Times New Roman" w:cs="Times New Roman"/>
          <w:sz w:val="24"/>
          <w:szCs w:val="24"/>
          <w:lang w:val="bg-BG"/>
        </w:rPr>
        <w:t>алувиални, канелено-подзолисти, делувиални и в незначителен размер други почвени типове. Най-плодоро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дните почви са по долините на река </w:t>
      </w:r>
      <w:r w:rsidRPr="00FB60C7">
        <w:rPr>
          <w:rFonts w:ascii="Times New Roman" w:hAnsi="Times New Roman" w:cs="Times New Roman"/>
          <w:sz w:val="24"/>
          <w:szCs w:val="24"/>
          <w:lang w:val="bg-BG"/>
        </w:rPr>
        <w:t xml:space="preserve">Арда и нейните притоци и в северните части на областта на границата с Хасковска област. </w:t>
      </w:r>
    </w:p>
    <w:p w:rsidR="00255280" w:rsidRPr="00227BEE" w:rsidRDefault="00255280" w:rsidP="002E25BD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227BEE">
        <w:rPr>
          <w:rFonts w:ascii="Times New Roman" w:hAnsi="Times New Roman" w:cs="Times New Roman"/>
          <w:sz w:val="24"/>
          <w:szCs w:val="24"/>
        </w:rPr>
        <w:t>На база данни от общинските служби по земеделие в област Кърджали, селскостопанския фонд</w:t>
      </w:r>
      <w:r w:rsidRPr="00227B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7BEE">
        <w:rPr>
          <w:rFonts w:ascii="Times New Roman" w:hAnsi="Times New Roman" w:cs="Times New Roman"/>
          <w:sz w:val="24"/>
          <w:szCs w:val="24"/>
        </w:rPr>
        <w:t>на територията на областта е в размер на 1</w:t>
      </w:r>
      <w:r w:rsidRPr="00227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7BEE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246</w:t>
      </w:r>
      <w:r w:rsidRPr="00227BEE">
        <w:rPr>
          <w:rFonts w:ascii="Times New Roman" w:hAnsi="Times New Roman" w:cs="Times New Roman"/>
          <w:sz w:val="24"/>
          <w:szCs w:val="24"/>
        </w:rPr>
        <w:t xml:space="preserve"> дка, в това число по общини както следва: Ардино – 131</w:t>
      </w:r>
      <w:r w:rsidRPr="00227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765</w:t>
      </w:r>
      <w:r w:rsidRPr="00227BEE">
        <w:rPr>
          <w:rFonts w:ascii="Times New Roman" w:hAnsi="Times New Roman" w:cs="Times New Roman"/>
          <w:sz w:val="24"/>
          <w:szCs w:val="24"/>
        </w:rPr>
        <w:t xml:space="preserve"> дка, Джебел – 76</w:t>
      </w:r>
      <w:r w:rsidRPr="00227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326 дка, Кирково </w:t>
      </w:r>
      <w:r w:rsidRPr="00227BEE">
        <w:rPr>
          <w:rFonts w:ascii="Times New Roman" w:hAnsi="Times New Roman" w:cs="Times New Roman"/>
          <w:sz w:val="24"/>
          <w:szCs w:val="24"/>
        </w:rPr>
        <w:t>– 200</w:t>
      </w:r>
      <w:r w:rsidRPr="00227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335 </w:t>
      </w:r>
      <w:r w:rsidRPr="00227BEE">
        <w:rPr>
          <w:rFonts w:ascii="Times New Roman" w:hAnsi="Times New Roman" w:cs="Times New Roman"/>
          <w:sz w:val="24"/>
          <w:szCs w:val="24"/>
        </w:rPr>
        <w:t>дка, Крумовград – 383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655</w:t>
      </w:r>
      <w:r w:rsidRPr="00227BEE">
        <w:rPr>
          <w:rFonts w:ascii="Times New Roman" w:hAnsi="Times New Roman" w:cs="Times New Roman"/>
          <w:sz w:val="24"/>
          <w:szCs w:val="24"/>
        </w:rPr>
        <w:t xml:space="preserve"> дка</w:t>
      </w:r>
      <w:r w:rsidRPr="00B73EAA">
        <w:rPr>
          <w:rFonts w:ascii="Times New Roman" w:hAnsi="Times New Roman" w:cs="Times New Roman"/>
          <w:sz w:val="24"/>
          <w:szCs w:val="24"/>
        </w:rPr>
        <w:t>, Кърджали – 227</w:t>
      </w:r>
      <w:r w:rsidRPr="00B73E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3EAA">
        <w:rPr>
          <w:rFonts w:ascii="Times New Roman" w:hAnsi="Times New Roman" w:cs="Times New Roman"/>
          <w:sz w:val="24"/>
          <w:szCs w:val="24"/>
        </w:rPr>
        <w:t>305 дка, Момчилград – 159</w:t>
      </w:r>
      <w:r w:rsidRPr="00B73E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3EAA">
        <w:rPr>
          <w:rFonts w:ascii="Times New Roman" w:hAnsi="Times New Roman" w:cs="Times New Roman"/>
          <w:sz w:val="24"/>
          <w:szCs w:val="24"/>
        </w:rPr>
        <w:t>269 дка и Черноочене – 120</w:t>
      </w:r>
      <w:r w:rsidRPr="00B73E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3EAA">
        <w:rPr>
          <w:rFonts w:ascii="Times New Roman" w:hAnsi="Times New Roman" w:cs="Times New Roman"/>
          <w:sz w:val="24"/>
          <w:szCs w:val="24"/>
        </w:rPr>
        <w:t>59</w:t>
      </w:r>
      <w:r w:rsidRPr="00B73EA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73EAA">
        <w:rPr>
          <w:rFonts w:ascii="Times New Roman" w:hAnsi="Times New Roman" w:cs="Times New Roman"/>
          <w:sz w:val="24"/>
          <w:szCs w:val="24"/>
        </w:rPr>
        <w:t xml:space="preserve"> дка.</w:t>
      </w:r>
      <w:r w:rsidRPr="0022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80" w:rsidRDefault="00255280" w:rsidP="00521B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</w:t>
      </w:r>
    </w:p>
    <w:p w:rsidR="00255280" w:rsidRPr="00227BEE" w:rsidRDefault="00255280" w:rsidP="00294F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За стопанската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–201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7BE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година в област Кърджали с есенници с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а засети 4</w:t>
      </w: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0 дка, от които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00 дка пшеница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85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0</w:t>
      </w:r>
      <w:r w:rsidRPr="0022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7BEE">
        <w:rPr>
          <w:rFonts w:ascii="Times New Roman" w:hAnsi="Times New Roman" w:cs="Times New Roman"/>
          <w:color w:val="000000"/>
          <w:sz w:val="24"/>
          <w:szCs w:val="24"/>
          <w:lang w:val="bg-BG"/>
        </w:rPr>
        <w:t>дка ечемик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В таблици 1 </w:t>
      </w:r>
      <w:r w:rsidRPr="00227BEE">
        <w:rPr>
          <w:rFonts w:ascii="Times New Roman" w:hAnsi="Times New Roman" w:cs="Times New Roman"/>
          <w:color w:val="000000"/>
          <w:sz w:val="24"/>
          <w:szCs w:val="24"/>
          <w:lang w:val="bg-BG"/>
        </w:rPr>
        <w:t>е видно изменението на заетите площи с есенници за последните години:</w:t>
      </w:r>
    </w:p>
    <w:p w:rsidR="00255280" w:rsidRDefault="00255280" w:rsidP="009F6B91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</w:p>
    <w:p w:rsidR="00255280" w:rsidRPr="00227BEE" w:rsidRDefault="00255280" w:rsidP="009F6B91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227B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Таблица 1</w:t>
      </w:r>
    </w:p>
    <w:p w:rsidR="00255280" w:rsidRPr="00227BEE" w:rsidRDefault="00255280" w:rsidP="009F6B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935"/>
        <w:gridCol w:w="934"/>
        <w:gridCol w:w="859"/>
        <w:gridCol w:w="744"/>
        <w:gridCol w:w="750"/>
        <w:gridCol w:w="747"/>
        <w:gridCol w:w="747"/>
        <w:gridCol w:w="747"/>
        <w:gridCol w:w="744"/>
        <w:gridCol w:w="750"/>
      </w:tblGrid>
      <w:tr w:rsidR="00255280" w:rsidRPr="00227BEE">
        <w:tc>
          <w:tcPr>
            <w:tcW w:w="1682" w:type="dxa"/>
            <w:vMerge w:val="restart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4222" w:type="dxa"/>
            <w:gridSpan w:val="5"/>
            <w:vAlign w:val="center"/>
          </w:tcPr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Засети площи пшеница</w:t>
            </w:r>
          </w:p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3735" w:type="dxa"/>
            <w:gridSpan w:val="5"/>
          </w:tcPr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Засети площи ечемик</w:t>
            </w:r>
          </w:p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дка</w:t>
            </w:r>
          </w:p>
        </w:tc>
      </w:tr>
      <w:tr w:rsidR="00255280" w:rsidRPr="00227BEE">
        <w:trPr>
          <w:trHeight w:val="284"/>
        </w:trPr>
        <w:tc>
          <w:tcPr>
            <w:tcW w:w="1682" w:type="dxa"/>
            <w:vMerge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35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2014</w:t>
            </w:r>
          </w:p>
        </w:tc>
        <w:tc>
          <w:tcPr>
            <w:tcW w:w="9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2015</w:t>
            </w:r>
          </w:p>
        </w:tc>
        <w:tc>
          <w:tcPr>
            <w:tcW w:w="85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2016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2017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2018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2014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2015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2016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2017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2018</w:t>
            </w:r>
          </w:p>
        </w:tc>
      </w:tr>
      <w:tr w:rsidR="00255280" w:rsidRPr="00227BEE">
        <w:trPr>
          <w:trHeight w:hRule="exact" w:val="284"/>
        </w:trPr>
        <w:tc>
          <w:tcPr>
            <w:tcW w:w="1682" w:type="dxa"/>
          </w:tcPr>
          <w:p w:rsidR="00255280" w:rsidRPr="00227BEE" w:rsidRDefault="00255280" w:rsidP="00626E13">
            <w:pPr>
              <w:ind w:right="-291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Ардино</w:t>
            </w:r>
          </w:p>
        </w:tc>
        <w:tc>
          <w:tcPr>
            <w:tcW w:w="935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DC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227BEE">
        <w:trPr>
          <w:trHeight w:hRule="exact" w:val="284"/>
        </w:trPr>
        <w:tc>
          <w:tcPr>
            <w:tcW w:w="1682" w:type="dxa"/>
          </w:tcPr>
          <w:p w:rsidR="00255280" w:rsidRPr="00227BEE" w:rsidRDefault="00255280" w:rsidP="00626E13">
            <w:pPr>
              <w:ind w:right="-291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Джебел</w:t>
            </w:r>
          </w:p>
        </w:tc>
        <w:tc>
          <w:tcPr>
            <w:tcW w:w="935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160</w:t>
            </w:r>
          </w:p>
        </w:tc>
        <w:tc>
          <w:tcPr>
            <w:tcW w:w="9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70</w:t>
            </w:r>
          </w:p>
        </w:tc>
        <w:tc>
          <w:tcPr>
            <w:tcW w:w="85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150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DC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170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227BEE">
        <w:trPr>
          <w:trHeight w:hRule="exact" w:val="284"/>
        </w:trPr>
        <w:tc>
          <w:tcPr>
            <w:tcW w:w="1682" w:type="dxa"/>
          </w:tcPr>
          <w:p w:rsidR="00255280" w:rsidRPr="00227BEE" w:rsidRDefault="00255280" w:rsidP="00626E13">
            <w:pPr>
              <w:ind w:right="-291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Кирково</w:t>
            </w:r>
          </w:p>
        </w:tc>
        <w:tc>
          <w:tcPr>
            <w:tcW w:w="935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DC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1A6663">
        <w:trPr>
          <w:trHeight w:hRule="exact" w:val="284"/>
        </w:trPr>
        <w:tc>
          <w:tcPr>
            <w:tcW w:w="1682" w:type="dxa"/>
          </w:tcPr>
          <w:p w:rsidR="00255280" w:rsidRPr="00227BEE" w:rsidRDefault="00255280" w:rsidP="00626E13">
            <w:pPr>
              <w:ind w:right="-291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Крумовград</w:t>
            </w:r>
          </w:p>
        </w:tc>
        <w:tc>
          <w:tcPr>
            <w:tcW w:w="935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2270</w:t>
            </w:r>
          </w:p>
        </w:tc>
        <w:tc>
          <w:tcPr>
            <w:tcW w:w="9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1850</w:t>
            </w:r>
          </w:p>
        </w:tc>
        <w:tc>
          <w:tcPr>
            <w:tcW w:w="85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1500</w:t>
            </w:r>
          </w:p>
        </w:tc>
        <w:tc>
          <w:tcPr>
            <w:tcW w:w="750" w:type="dxa"/>
            <w:vAlign w:val="center"/>
          </w:tcPr>
          <w:p w:rsidR="00255280" w:rsidRPr="001A6663" w:rsidRDefault="00255280" w:rsidP="00DC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1580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480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480</w:t>
            </w:r>
          </w:p>
        </w:tc>
        <w:tc>
          <w:tcPr>
            <w:tcW w:w="747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44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310</w:t>
            </w:r>
          </w:p>
        </w:tc>
        <w:tc>
          <w:tcPr>
            <w:tcW w:w="7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350</w:t>
            </w:r>
          </w:p>
        </w:tc>
      </w:tr>
      <w:tr w:rsidR="00255280" w:rsidRPr="001A6663">
        <w:trPr>
          <w:trHeight w:hRule="exact" w:val="284"/>
        </w:trPr>
        <w:tc>
          <w:tcPr>
            <w:tcW w:w="1682" w:type="dxa"/>
          </w:tcPr>
          <w:p w:rsidR="00255280" w:rsidRPr="00227BEE" w:rsidRDefault="00255280" w:rsidP="00626E13">
            <w:pPr>
              <w:ind w:right="-291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935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2900</w:t>
            </w:r>
          </w:p>
        </w:tc>
        <w:tc>
          <w:tcPr>
            <w:tcW w:w="9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1555</w:t>
            </w:r>
          </w:p>
        </w:tc>
        <w:tc>
          <w:tcPr>
            <w:tcW w:w="859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44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800</w:t>
            </w:r>
          </w:p>
        </w:tc>
        <w:tc>
          <w:tcPr>
            <w:tcW w:w="750" w:type="dxa"/>
            <w:vAlign w:val="center"/>
          </w:tcPr>
          <w:p w:rsidR="00255280" w:rsidRPr="001A6663" w:rsidRDefault="00255280" w:rsidP="00DC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1250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700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210</w:t>
            </w:r>
          </w:p>
        </w:tc>
        <w:tc>
          <w:tcPr>
            <w:tcW w:w="747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44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7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300</w:t>
            </w:r>
          </w:p>
        </w:tc>
      </w:tr>
      <w:tr w:rsidR="00255280" w:rsidRPr="00227BEE">
        <w:trPr>
          <w:trHeight w:hRule="exact" w:val="284"/>
        </w:trPr>
        <w:tc>
          <w:tcPr>
            <w:tcW w:w="1682" w:type="dxa"/>
          </w:tcPr>
          <w:p w:rsidR="00255280" w:rsidRPr="00227BEE" w:rsidRDefault="00255280" w:rsidP="00626E13">
            <w:pPr>
              <w:ind w:right="-291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Момчилград</w:t>
            </w:r>
          </w:p>
        </w:tc>
        <w:tc>
          <w:tcPr>
            <w:tcW w:w="935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35</w:t>
            </w:r>
          </w:p>
        </w:tc>
        <w:tc>
          <w:tcPr>
            <w:tcW w:w="9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9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4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DC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4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1A6663">
        <w:trPr>
          <w:trHeight w:hRule="exact" w:val="284"/>
        </w:trPr>
        <w:tc>
          <w:tcPr>
            <w:tcW w:w="1682" w:type="dxa"/>
          </w:tcPr>
          <w:p w:rsidR="00255280" w:rsidRPr="00227BEE" w:rsidRDefault="00255280" w:rsidP="00626E13">
            <w:pPr>
              <w:ind w:right="-291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Черноочене</w:t>
            </w:r>
          </w:p>
        </w:tc>
        <w:tc>
          <w:tcPr>
            <w:tcW w:w="935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1900</w:t>
            </w:r>
          </w:p>
        </w:tc>
        <w:tc>
          <w:tcPr>
            <w:tcW w:w="9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1500</w:t>
            </w:r>
          </w:p>
        </w:tc>
        <w:tc>
          <w:tcPr>
            <w:tcW w:w="859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744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1150</w:t>
            </w:r>
          </w:p>
        </w:tc>
        <w:tc>
          <w:tcPr>
            <w:tcW w:w="750" w:type="dxa"/>
            <w:vAlign w:val="center"/>
          </w:tcPr>
          <w:p w:rsidR="00255280" w:rsidRPr="001A6663" w:rsidRDefault="00255280" w:rsidP="00DC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1000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250</w:t>
            </w:r>
          </w:p>
        </w:tc>
        <w:tc>
          <w:tcPr>
            <w:tcW w:w="747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44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210</w:t>
            </w:r>
          </w:p>
        </w:tc>
        <w:tc>
          <w:tcPr>
            <w:tcW w:w="7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</w:tr>
      <w:tr w:rsidR="00255280" w:rsidRPr="001A6663">
        <w:trPr>
          <w:trHeight w:val="397"/>
        </w:trPr>
        <w:tc>
          <w:tcPr>
            <w:tcW w:w="1682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935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7265</w:t>
            </w:r>
          </w:p>
        </w:tc>
        <w:tc>
          <w:tcPr>
            <w:tcW w:w="9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4975</w:t>
            </w:r>
          </w:p>
        </w:tc>
        <w:tc>
          <w:tcPr>
            <w:tcW w:w="859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5077</w:t>
            </w:r>
          </w:p>
        </w:tc>
        <w:tc>
          <w:tcPr>
            <w:tcW w:w="744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3600</w:t>
            </w:r>
          </w:p>
        </w:tc>
        <w:tc>
          <w:tcPr>
            <w:tcW w:w="7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4000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1430</w:t>
            </w:r>
          </w:p>
        </w:tc>
        <w:tc>
          <w:tcPr>
            <w:tcW w:w="74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1020</w:t>
            </w:r>
          </w:p>
        </w:tc>
        <w:tc>
          <w:tcPr>
            <w:tcW w:w="747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744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720</w:t>
            </w:r>
          </w:p>
        </w:tc>
        <w:tc>
          <w:tcPr>
            <w:tcW w:w="7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850</w:t>
            </w:r>
          </w:p>
        </w:tc>
      </w:tr>
    </w:tbl>
    <w:p w:rsidR="00255280" w:rsidRPr="009F6B91" w:rsidRDefault="00255280" w:rsidP="009F6B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7BEE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От изнесените данн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в таблицата е видно слабо увеличение на заетите площи с есенници </w:t>
      </w:r>
      <w:r w:rsidRPr="00227BE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през стопанската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2017-2018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227BEE">
        <w:rPr>
          <w:rFonts w:ascii="Times New Roman" w:hAnsi="Times New Roman" w:cs="Times New Roman"/>
          <w:color w:val="000000"/>
          <w:sz w:val="24"/>
          <w:szCs w:val="24"/>
          <w:lang w:val="bg-BG"/>
        </w:rPr>
        <w:t>година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255280" w:rsidRPr="003553FB" w:rsidRDefault="00255280" w:rsidP="009F6B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280" w:rsidRPr="00227BEE" w:rsidRDefault="00255280" w:rsidP="009F6B91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Таблица 2- </w:t>
      </w:r>
      <w:r w:rsidRPr="00227BE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пшеница</w:t>
      </w:r>
    </w:p>
    <w:p w:rsidR="00255280" w:rsidRPr="00227BEE" w:rsidRDefault="00255280" w:rsidP="009F6B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083"/>
        <w:gridCol w:w="1134"/>
        <w:gridCol w:w="992"/>
        <w:gridCol w:w="993"/>
        <w:gridCol w:w="850"/>
        <w:gridCol w:w="709"/>
        <w:gridCol w:w="709"/>
        <w:gridCol w:w="850"/>
        <w:gridCol w:w="709"/>
        <w:gridCol w:w="709"/>
      </w:tblGrid>
      <w:tr w:rsidR="00255280" w:rsidRPr="00227BEE">
        <w:tc>
          <w:tcPr>
            <w:tcW w:w="1435" w:type="dxa"/>
            <w:vMerge w:val="restart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5052" w:type="dxa"/>
            <w:gridSpan w:val="5"/>
          </w:tcPr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Производство</w:t>
            </w:r>
          </w:p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686" w:type="dxa"/>
            <w:gridSpan w:val="5"/>
          </w:tcPr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Среден добив</w:t>
            </w:r>
          </w:p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кг/дка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255280" w:rsidRPr="00227BEE">
        <w:trPr>
          <w:trHeight w:val="284"/>
        </w:trPr>
        <w:tc>
          <w:tcPr>
            <w:tcW w:w="1435" w:type="dxa"/>
            <w:vMerge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8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2014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2015</w:t>
            </w:r>
          </w:p>
        </w:tc>
        <w:tc>
          <w:tcPr>
            <w:tcW w:w="992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2016</w:t>
            </w:r>
          </w:p>
        </w:tc>
        <w:tc>
          <w:tcPr>
            <w:tcW w:w="99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2017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2018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2014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2015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2016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2017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2018</w:t>
            </w:r>
          </w:p>
        </w:tc>
      </w:tr>
      <w:tr w:rsidR="00255280" w:rsidRPr="00227BEE">
        <w:trPr>
          <w:trHeight w:val="284"/>
        </w:trPr>
        <w:tc>
          <w:tcPr>
            <w:tcW w:w="1435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Ардино</w:t>
            </w:r>
          </w:p>
        </w:tc>
        <w:tc>
          <w:tcPr>
            <w:tcW w:w="108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9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227BEE">
        <w:trPr>
          <w:trHeight w:val="284"/>
        </w:trPr>
        <w:tc>
          <w:tcPr>
            <w:tcW w:w="1435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Джебел</w:t>
            </w:r>
          </w:p>
        </w:tc>
        <w:tc>
          <w:tcPr>
            <w:tcW w:w="108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32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52,5</w:t>
            </w:r>
          </w:p>
        </w:tc>
        <w:tc>
          <w:tcPr>
            <w:tcW w:w="8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850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350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153</w:t>
            </w:r>
          </w:p>
        </w:tc>
      </w:tr>
      <w:tr w:rsidR="00255280" w:rsidRPr="00227BEE">
        <w:trPr>
          <w:trHeight w:val="284"/>
        </w:trPr>
        <w:tc>
          <w:tcPr>
            <w:tcW w:w="1435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Кирково</w:t>
            </w:r>
          </w:p>
        </w:tc>
        <w:tc>
          <w:tcPr>
            <w:tcW w:w="108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9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227BEE">
        <w:trPr>
          <w:trHeight w:val="284"/>
        </w:trPr>
        <w:tc>
          <w:tcPr>
            <w:tcW w:w="1435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Крумовград</w:t>
            </w:r>
          </w:p>
        </w:tc>
        <w:tc>
          <w:tcPr>
            <w:tcW w:w="108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544.8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370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993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570</w:t>
            </w:r>
          </w:p>
        </w:tc>
        <w:tc>
          <w:tcPr>
            <w:tcW w:w="8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474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240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850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380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300</w:t>
            </w:r>
          </w:p>
        </w:tc>
      </w:tr>
      <w:tr w:rsidR="00255280" w:rsidRPr="00227BEE">
        <w:trPr>
          <w:trHeight w:val="284"/>
        </w:trPr>
        <w:tc>
          <w:tcPr>
            <w:tcW w:w="1435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108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877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450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3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280</w:t>
            </w:r>
          </w:p>
        </w:tc>
        <w:tc>
          <w:tcPr>
            <w:tcW w:w="8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255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310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289</w:t>
            </w:r>
          </w:p>
        </w:tc>
        <w:tc>
          <w:tcPr>
            <w:tcW w:w="850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350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204</w:t>
            </w:r>
          </w:p>
        </w:tc>
      </w:tr>
      <w:tr w:rsidR="00255280" w:rsidRPr="00227BEE">
        <w:trPr>
          <w:trHeight w:val="284"/>
        </w:trPr>
        <w:tc>
          <w:tcPr>
            <w:tcW w:w="1435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Момчилград</w:t>
            </w:r>
          </w:p>
        </w:tc>
        <w:tc>
          <w:tcPr>
            <w:tcW w:w="108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4.2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227BEE">
        <w:trPr>
          <w:trHeight w:val="284"/>
        </w:trPr>
        <w:tc>
          <w:tcPr>
            <w:tcW w:w="1435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Черноочене</w:t>
            </w:r>
          </w:p>
        </w:tc>
        <w:tc>
          <w:tcPr>
            <w:tcW w:w="108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437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350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368</w:t>
            </w:r>
          </w:p>
        </w:tc>
        <w:tc>
          <w:tcPr>
            <w:tcW w:w="8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190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230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233</w:t>
            </w:r>
          </w:p>
        </w:tc>
        <w:tc>
          <w:tcPr>
            <w:tcW w:w="850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320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190</w:t>
            </w:r>
          </w:p>
        </w:tc>
      </w:tr>
      <w:tr w:rsidR="00255280" w:rsidRPr="00227BEE">
        <w:trPr>
          <w:trHeight w:val="397"/>
        </w:trPr>
        <w:tc>
          <w:tcPr>
            <w:tcW w:w="1435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083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1895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1184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993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1270,5</w:t>
            </w:r>
          </w:p>
        </w:tc>
        <w:tc>
          <w:tcPr>
            <w:tcW w:w="850" w:type="dxa"/>
            <w:vAlign w:val="center"/>
          </w:tcPr>
          <w:p w:rsidR="00255280" w:rsidRPr="002121D5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263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238</w:t>
            </w:r>
          </w:p>
        </w:tc>
        <w:tc>
          <w:tcPr>
            <w:tcW w:w="850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353</w:t>
            </w:r>
          </w:p>
        </w:tc>
        <w:tc>
          <w:tcPr>
            <w:tcW w:w="709" w:type="dxa"/>
            <w:vAlign w:val="center"/>
          </w:tcPr>
          <w:p w:rsidR="00255280" w:rsidRPr="002121D5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255280" w:rsidRDefault="00255280" w:rsidP="009F6B91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55280" w:rsidRPr="00227BEE" w:rsidRDefault="00255280" w:rsidP="009F6B91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Таблица 3</w:t>
      </w:r>
      <w:r w:rsidRPr="00227B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- Ечемик</w:t>
      </w:r>
    </w:p>
    <w:p w:rsidR="00255280" w:rsidRPr="00227BEE" w:rsidRDefault="00255280" w:rsidP="009F6B91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134"/>
        <w:gridCol w:w="992"/>
        <w:gridCol w:w="851"/>
        <w:gridCol w:w="850"/>
        <w:gridCol w:w="851"/>
        <w:gridCol w:w="709"/>
        <w:gridCol w:w="850"/>
        <w:gridCol w:w="709"/>
        <w:gridCol w:w="709"/>
      </w:tblGrid>
      <w:tr w:rsidR="00255280" w:rsidRPr="00227BEE">
        <w:tc>
          <w:tcPr>
            <w:tcW w:w="1668" w:type="dxa"/>
            <w:vMerge w:val="restart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4677" w:type="dxa"/>
            <w:gridSpan w:val="5"/>
          </w:tcPr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Производство</w:t>
            </w:r>
          </w:p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тона</w:t>
            </w:r>
          </w:p>
        </w:tc>
        <w:tc>
          <w:tcPr>
            <w:tcW w:w="3828" w:type="dxa"/>
            <w:gridSpan w:val="5"/>
          </w:tcPr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Среден добив</w:t>
            </w:r>
          </w:p>
          <w:p w:rsidR="00255280" w:rsidRPr="00227BEE" w:rsidRDefault="00255280" w:rsidP="00626E13">
            <w:pPr>
              <w:ind w:right="-2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кг/дка</w:t>
            </w:r>
          </w:p>
        </w:tc>
      </w:tr>
      <w:tr w:rsidR="00255280" w:rsidRPr="00227BEE">
        <w:trPr>
          <w:trHeight w:val="284"/>
        </w:trPr>
        <w:tc>
          <w:tcPr>
            <w:tcW w:w="1668" w:type="dxa"/>
            <w:vMerge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2014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2015</w:t>
            </w:r>
          </w:p>
        </w:tc>
        <w:tc>
          <w:tcPr>
            <w:tcW w:w="992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2016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2017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2018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2014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2015</w:t>
            </w:r>
          </w:p>
        </w:tc>
        <w:tc>
          <w:tcPr>
            <w:tcW w:w="850" w:type="dxa"/>
            <w:vAlign w:val="center"/>
          </w:tcPr>
          <w:p w:rsidR="00255280" w:rsidRPr="00626A33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280" w:rsidRPr="00626A33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2017</w:t>
            </w:r>
          </w:p>
        </w:tc>
        <w:tc>
          <w:tcPr>
            <w:tcW w:w="709" w:type="dxa"/>
            <w:vAlign w:val="center"/>
          </w:tcPr>
          <w:p w:rsidR="00255280" w:rsidRPr="002D4F3A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2018</w:t>
            </w:r>
          </w:p>
        </w:tc>
      </w:tr>
      <w:tr w:rsidR="00255280" w:rsidRPr="00227BEE">
        <w:trPr>
          <w:trHeight w:val="284"/>
        </w:trPr>
        <w:tc>
          <w:tcPr>
            <w:tcW w:w="1668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Ардино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227BEE">
        <w:trPr>
          <w:trHeight w:val="284"/>
        </w:trPr>
        <w:tc>
          <w:tcPr>
            <w:tcW w:w="1668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Джебел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8.5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992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170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850" w:type="dxa"/>
            <w:vAlign w:val="center"/>
          </w:tcPr>
          <w:p w:rsidR="00255280" w:rsidRPr="00626A3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626A3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DC3B4C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227BEE">
        <w:trPr>
          <w:trHeight w:val="284"/>
        </w:trPr>
        <w:tc>
          <w:tcPr>
            <w:tcW w:w="1668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Кирково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227BEE">
        <w:trPr>
          <w:trHeight w:val="284"/>
        </w:trPr>
        <w:tc>
          <w:tcPr>
            <w:tcW w:w="1668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Крумовград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120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106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86,8</w:t>
            </w:r>
          </w:p>
        </w:tc>
        <w:tc>
          <w:tcPr>
            <w:tcW w:w="8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70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221</w:t>
            </w:r>
          </w:p>
        </w:tc>
        <w:tc>
          <w:tcPr>
            <w:tcW w:w="850" w:type="dxa"/>
            <w:vAlign w:val="center"/>
          </w:tcPr>
          <w:p w:rsidR="00255280" w:rsidRPr="00626A3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280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</w:tr>
      <w:tr w:rsidR="00255280" w:rsidRPr="00227BEE">
        <w:trPr>
          <w:trHeight w:val="284"/>
        </w:trPr>
        <w:tc>
          <w:tcPr>
            <w:tcW w:w="1668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203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56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58</w:t>
            </w:r>
          </w:p>
        </w:tc>
        <w:tc>
          <w:tcPr>
            <w:tcW w:w="8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75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290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267</w:t>
            </w:r>
          </w:p>
        </w:tc>
        <w:tc>
          <w:tcPr>
            <w:tcW w:w="850" w:type="dxa"/>
            <w:vAlign w:val="center"/>
          </w:tcPr>
          <w:p w:rsidR="00255280" w:rsidRPr="00626A3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290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250</w:t>
            </w:r>
          </w:p>
        </w:tc>
      </w:tr>
      <w:tr w:rsidR="00255280" w:rsidRPr="00227BEE">
        <w:trPr>
          <w:trHeight w:val="284"/>
        </w:trPr>
        <w:tc>
          <w:tcPr>
            <w:tcW w:w="1668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Момчилград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255280" w:rsidRPr="00227BEE">
        <w:trPr>
          <w:trHeight w:val="284"/>
        </w:trPr>
        <w:tc>
          <w:tcPr>
            <w:tcW w:w="1668" w:type="dxa"/>
          </w:tcPr>
          <w:p w:rsidR="00255280" w:rsidRPr="00227BEE" w:rsidRDefault="00255280" w:rsidP="00626E13">
            <w:pPr>
              <w:ind w:right="-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Черноочене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40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37,5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52,5</w:t>
            </w:r>
          </w:p>
        </w:tc>
        <w:tc>
          <w:tcPr>
            <w:tcW w:w="850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36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150</w:t>
            </w:r>
          </w:p>
        </w:tc>
        <w:tc>
          <w:tcPr>
            <w:tcW w:w="850" w:type="dxa"/>
            <w:vAlign w:val="center"/>
          </w:tcPr>
          <w:p w:rsidR="00255280" w:rsidRPr="00626A3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250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62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180</w:t>
            </w:r>
          </w:p>
        </w:tc>
      </w:tr>
      <w:tr w:rsidR="00255280" w:rsidRPr="00227BEE">
        <w:trPr>
          <w:trHeight w:val="397"/>
        </w:trPr>
        <w:tc>
          <w:tcPr>
            <w:tcW w:w="1668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850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371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.5</w:t>
            </w:r>
          </w:p>
        </w:tc>
        <w:tc>
          <w:tcPr>
            <w:tcW w:w="1134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215.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992" w:type="dxa"/>
            <w:vAlign w:val="center"/>
          </w:tcPr>
          <w:p w:rsidR="00255280" w:rsidRPr="003553FB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1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197,3</w:t>
            </w:r>
          </w:p>
        </w:tc>
        <w:tc>
          <w:tcPr>
            <w:tcW w:w="850" w:type="dxa"/>
            <w:vAlign w:val="center"/>
          </w:tcPr>
          <w:p w:rsidR="00255280" w:rsidRPr="002121D5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851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260</w:t>
            </w:r>
          </w:p>
        </w:tc>
        <w:tc>
          <w:tcPr>
            <w:tcW w:w="709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221</w:t>
            </w:r>
          </w:p>
        </w:tc>
        <w:tc>
          <w:tcPr>
            <w:tcW w:w="850" w:type="dxa"/>
            <w:vAlign w:val="center"/>
          </w:tcPr>
          <w:p w:rsidR="00255280" w:rsidRPr="00626A33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09" w:type="dxa"/>
            <w:vAlign w:val="center"/>
          </w:tcPr>
          <w:p w:rsidR="00255280" w:rsidRPr="001A6663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274</w:t>
            </w:r>
          </w:p>
        </w:tc>
        <w:tc>
          <w:tcPr>
            <w:tcW w:w="709" w:type="dxa"/>
            <w:vAlign w:val="center"/>
          </w:tcPr>
          <w:p w:rsidR="00255280" w:rsidRPr="002121D5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55280" w:rsidRDefault="00255280" w:rsidP="009F6B91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55280" w:rsidRPr="00227BEE" w:rsidRDefault="00255280" w:rsidP="009F6B91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55280" w:rsidRPr="00227BEE" w:rsidRDefault="00255280" w:rsidP="009F6B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7BEE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област Кърджали посевната площ с осно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вните пролетни култури през 2018</w:t>
      </w:r>
      <w:r w:rsidRPr="00227BE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г. е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26562</w:t>
      </w:r>
      <w:r w:rsidRPr="00227BEE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дка. В таблица 4</w:t>
      </w:r>
      <w:r w:rsidRPr="00227BE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са изнесени данни за последните пет години:</w:t>
      </w:r>
    </w:p>
    <w:p w:rsidR="00255280" w:rsidRDefault="00255280" w:rsidP="009F6B91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55280" w:rsidRPr="00227BEE" w:rsidRDefault="00255280" w:rsidP="009F6B91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Таблица 4</w:t>
      </w:r>
    </w:p>
    <w:p w:rsidR="00255280" w:rsidRPr="00227BEE" w:rsidRDefault="00255280" w:rsidP="009F6B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95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7"/>
        <w:gridCol w:w="1417"/>
        <w:gridCol w:w="1417"/>
        <w:gridCol w:w="1417"/>
        <w:gridCol w:w="1417"/>
        <w:gridCol w:w="1417"/>
      </w:tblGrid>
      <w:tr w:rsidR="00255280" w:rsidRPr="00227BEE">
        <w:tc>
          <w:tcPr>
            <w:tcW w:w="2477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Култура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Посевна</w:t>
            </w:r>
          </w:p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площ в дка</w:t>
            </w:r>
          </w:p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2014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Посевна</w:t>
            </w:r>
          </w:p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площ в дка</w:t>
            </w:r>
          </w:p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2015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Посевна</w:t>
            </w:r>
          </w:p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площ в дка</w:t>
            </w:r>
          </w:p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2016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Посевна</w:t>
            </w:r>
          </w:p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площ в дка</w:t>
            </w:r>
          </w:p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Посевна</w:t>
            </w:r>
          </w:p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площ в дка</w:t>
            </w:r>
          </w:p>
          <w:p w:rsidR="00255280" w:rsidRPr="00227BEE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2018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г.</w:t>
            </w:r>
          </w:p>
        </w:tc>
      </w:tr>
      <w:tr w:rsidR="00255280" w:rsidRPr="00227BEE">
        <w:trPr>
          <w:trHeight w:val="284"/>
        </w:trPr>
        <w:tc>
          <w:tcPr>
            <w:tcW w:w="2477" w:type="dxa"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1. Картофи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9470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8980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8520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626E13">
            <w:pPr>
              <w:ind w:left="7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8105</w:t>
            </w:r>
          </w:p>
        </w:tc>
      </w:tr>
      <w:tr w:rsidR="00255280" w:rsidRPr="00227BEE">
        <w:trPr>
          <w:trHeight w:val="284"/>
        </w:trPr>
        <w:tc>
          <w:tcPr>
            <w:tcW w:w="2477" w:type="dxa"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2. Царевица за зърно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1160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1250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930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626E13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830</w:t>
            </w:r>
          </w:p>
        </w:tc>
      </w:tr>
      <w:tr w:rsidR="00255280" w:rsidRPr="00227BEE">
        <w:trPr>
          <w:trHeight w:val="284"/>
        </w:trPr>
        <w:tc>
          <w:tcPr>
            <w:tcW w:w="2477" w:type="dxa"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3. Фасул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1190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1070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1150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626E13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1050</w:t>
            </w:r>
          </w:p>
        </w:tc>
      </w:tr>
      <w:tr w:rsidR="00255280" w:rsidRPr="00227BEE">
        <w:trPr>
          <w:trHeight w:val="284"/>
        </w:trPr>
        <w:tc>
          <w:tcPr>
            <w:tcW w:w="2477" w:type="dxa"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4. Масл. слънчоглед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1020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1600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1590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626E13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2550</w:t>
            </w:r>
          </w:p>
        </w:tc>
      </w:tr>
      <w:tr w:rsidR="00255280" w:rsidRPr="00227BEE">
        <w:trPr>
          <w:trHeight w:val="284"/>
        </w:trPr>
        <w:tc>
          <w:tcPr>
            <w:tcW w:w="2477" w:type="dxa"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5. Домати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2390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2640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1780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626E13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1670</w:t>
            </w:r>
          </w:p>
        </w:tc>
      </w:tr>
      <w:tr w:rsidR="00255280" w:rsidRPr="00227BEE">
        <w:trPr>
          <w:trHeight w:val="284"/>
        </w:trPr>
        <w:tc>
          <w:tcPr>
            <w:tcW w:w="2477" w:type="dxa"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6. Пипер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5420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6250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5310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626E13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3600</w:t>
            </w:r>
          </w:p>
        </w:tc>
      </w:tr>
      <w:tr w:rsidR="00255280" w:rsidRPr="00227BEE">
        <w:trPr>
          <w:trHeight w:val="284"/>
        </w:trPr>
        <w:tc>
          <w:tcPr>
            <w:tcW w:w="2477" w:type="dxa"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7. Дини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448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385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593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626E13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227</w:t>
            </w:r>
          </w:p>
        </w:tc>
      </w:tr>
      <w:tr w:rsidR="00255280" w:rsidRPr="00227BEE">
        <w:trPr>
          <w:trHeight w:val="284"/>
        </w:trPr>
        <w:tc>
          <w:tcPr>
            <w:tcW w:w="2477" w:type="dxa"/>
            <w:vAlign w:val="center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8. Пъпеши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253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303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1D3B22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312</w:t>
            </w:r>
          </w:p>
        </w:tc>
        <w:tc>
          <w:tcPr>
            <w:tcW w:w="1417" w:type="dxa"/>
            <w:vAlign w:val="center"/>
          </w:tcPr>
          <w:p w:rsidR="00255280" w:rsidRPr="00227BEE" w:rsidRDefault="00255280" w:rsidP="00626E13">
            <w:pPr>
              <w:ind w:left="7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165</w:t>
            </w:r>
          </w:p>
        </w:tc>
      </w:tr>
      <w:tr w:rsidR="00255280" w:rsidRPr="00227BEE">
        <w:trPr>
          <w:trHeight w:val="284"/>
        </w:trPr>
        <w:tc>
          <w:tcPr>
            <w:tcW w:w="2477" w:type="dxa"/>
            <w:vAlign w:val="center"/>
          </w:tcPr>
          <w:p w:rsidR="00255280" w:rsidRPr="006260A5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9. Ориенталски тютюн</w:t>
            </w:r>
          </w:p>
        </w:tc>
        <w:tc>
          <w:tcPr>
            <w:tcW w:w="1417" w:type="dxa"/>
            <w:vAlign w:val="center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23534</w:t>
            </w:r>
          </w:p>
        </w:tc>
        <w:tc>
          <w:tcPr>
            <w:tcW w:w="1417" w:type="dxa"/>
            <w:vAlign w:val="center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15780</w:t>
            </w:r>
          </w:p>
        </w:tc>
        <w:tc>
          <w:tcPr>
            <w:tcW w:w="1417" w:type="dxa"/>
            <w:vAlign w:val="center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6700</w:t>
            </w:r>
          </w:p>
        </w:tc>
        <w:tc>
          <w:tcPr>
            <w:tcW w:w="1417" w:type="dxa"/>
            <w:vAlign w:val="center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6035</w:t>
            </w:r>
          </w:p>
        </w:tc>
        <w:tc>
          <w:tcPr>
            <w:tcW w:w="1417" w:type="dxa"/>
            <w:vAlign w:val="center"/>
          </w:tcPr>
          <w:p w:rsidR="00255280" w:rsidRPr="006260A5" w:rsidRDefault="00255280" w:rsidP="00626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8365</w:t>
            </w:r>
          </w:p>
        </w:tc>
      </w:tr>
      <w:tr w:rsidR="00255280" w:rsidRPr="00227BEE">
        <w:trPr>
          <w:trHeight w:val="397"/>
        </w:trPr>
        <w:tc>
          <w:tcPr>
            <w:tcW w:w="2477" w:type="dxa"/>
            <w:vAlign w:val="center"/>
          </w:tcPr>
          <w:p w:rsidR="00255280" w:rsidRPr="006260A5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1417" w:type="dxa"/>
            <w:vAlign w:val="center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45465</w:t>
            </w:r>
          </w:p>
        </w:tc>
        <w:tc>
          <w:tcPr>
            <w:tcW w:w="1417" w:type="dxa"/>
            <w:vAlign w:val="center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fldChar w:fldCharType="begin"/>
            </w:r>
            <w:r w:rsidRPr="00626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instrText xml:space="preserve"> =SUM(ABOVE) </w:instrText>
            </w:r>
            <w:r w:rsidRPr="00626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6260A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g-BG"/>
              </w:rPr>
              <w:t>38778</w:t>
            </w:r>
            <w:r w:rsidRPr="00626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28983</w:t>
            </w:r>
          </w:p>
        </w:tc>
        <w:tc>
          <w:tcPr>
            <w:tcW w:w="1417" w:type="dxa"/>
            <w:vAlign w:val="center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26220</w:t>
            </w:r>
          </w:p>
        </w:tc>
        <w:tc>
          <w:tcPr>
            <w:tcW w:w="1417" w:type="dxa"/>
            <w:vAlign w:val="center"/>
          </w:tcPr>
          <w:p w:rsidR="00255280" w:rsidRPr="002121D5" w:rsidRDefault="00255280" w:rsidP="00626E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26562</w:t>
            </w:r>
          </w:p>
        </w:tc>
      </w:tr>
    </w:tbl>
    <w:p w:rsidR="00255280" w:rsidRPr="00B155B8" w:rsidRDefault="00255280" w:rsidP="00E6411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 xml:space="preserve">      </w:t>
      </w:r>
      <w:r w:rsidRPr="00984C08">
        <w:rPr>
          <w:rFonts w:ascii="Times New Roman" w:hAnsi="Times New Roman" w:cs="Times New Roman"/>
          <w:color w:val="000000"/>
          <w:sz w:val="24"/>
          <w:szCs w:val="24"/>
          <w:lang w:val="bg-BG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дно от таблицата е, че през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84C0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год. в област Кърджали площите засети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пролетни култури са увеличени с 342</w:t>
      </w:r>
      <w:r w:rsidRPr="00984C0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дка.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Увеличението е основно при ориенталския тютюн - 2330 дка. Като основна причина са очакванията на хората за продължаване на прилагане на преходна национална помощ за тютюн, както също и възможна промяна в референтния период. Отчитаме 1710 дка намаление на засетите площи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 пипер, както също и при картофите с 415 дка. </w:t>
      </w:r>
      <w:r w:rsidRPr="00984C08">
        <w:rPr>
          <w:rFonts w:ascii="Times New Roman" w:hAnsi="Times New Roman" w:cs="Times New Roman"/>
          <w:color w:val="000000"/>
          <w:sz w:val="24"/>
          <w:szCs w:val="24"/>
          <w:lang w:val="bg-BG"/>
        </w:rPr>
        <w:t>Като основни причини за намаляването на засетите площи са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Pr="00984C0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демографски/ намаляване на жителите по селата, младите хора търсят по-добри алтернативни източници на доходи/, икономически /високи разходи и ниска изкупна цена на произведената продукция/. Възможността на земеделските стопани за участие в схемите по директни плащания, както и по схемите и мерките по ПРСР доведе до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промени в отглежданите култури, както също и преориентиране на стопанствата от </w:t>
      </w:r>
      <w:r w:rsidRPr="00B155B8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растениевъдни към животновъдни дейности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255280" w:rsidRDefault="00255280" w:rsidP="00F203F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55280" w:rsidRPr="00227BEE" w:rsidRDefault="00255280" w:rsidP="00521B7D">
      <w:pPr>
        <w:pStyle w:val="a7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таблица 5</w:t>
      </w:r>
      <w:r w:rsidRPr="00227BEE">
        <w:rPr>
          <w:rFonts w:ascii="Times New Roman" w:hAnsi="Times New Roman" w:cs="Times New Roman"/>
          <w:color w:val="000000"/>
          <w:sz w:val="24"/>
          <w:szCs w:val="24"/>
        </w:rPr>
        <w:t xml:space="preserve"> са изнесени данните за получената продукция от пролетни култури през отчетния период:</w:t>
      </w:r>
    </w:p>
    <w:p w:rsidR="00255280" w:rsidRPr="00227BEE" w:rsidRDefault="00255280" w:rsidP="00EF4D8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55280" w:rsidRDefault="00255280" w:rsidP="00521B7D">
      <w:pPr>
        <w:pStyle w:val="a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5</w:t>
      </w:r>
    </w:p>
    <w:p w:rsidR="00255280" w:rsidRDefault="00255280" w:rsidP="002426F7">
      <w:pPr>
        <w:pStyle w:val="a7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Default="00255280" w:rsidP="002426F7">
      <w:pPr>
        <w:pStyle w:val="a7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Pr="00FE403C" w:rsidRDefault="00255280" w:rsidP="002426F7">
      <w:pPr>
        <w:pStyle w:val="a7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19"/>
        <w:gridCol w:w="2319"/>
        <w:gridCol w:w="2319"/>
      </w:tblGrid>
      <w:tr w:rsidR="00255280" w:rsidRPr="00227BEE">
        <w:tc>
          <w:tcPr>
            <w:tcW w:w="2336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Култура</w:t>
            </w:r>
          </w:p>
        </w:tc>
        <w:tc>
          <w:tcPr>
            <w:tcW w:w="2319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Засадени площи</w:t>
            </w:r>
          </w:p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2319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Получена продукция</w:t>
            </w:r>
          </w:p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тона</w:t>
            </w:r>
          </w:p>
        </w:tc>
        <w:tc>
          <w:tcPr>
            <w:tcW w:w="2319" w:type="dxa"/>
            <w:vAlign w:val="center"/>
          </w:tcPr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Среден добив</w:t>
            </w:r>
          </w:p>
          <w:p w:rsidR="00255280" w:rsidRPr="00227BEE" w:rsidRDefault="00255280" w:rsidP="0062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кг/дка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1. Пипер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01.12.2014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5420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8921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1646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01.12.2015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6250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9575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1532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5960</w:t>
            </w:r>
          </w:p>
        </w:tc>
        <w:tc>
          <w:tcPr>
            <w:tcW w:w="2319" w:type="dxa"/>
          </w:tcPr>
          <w:p w:rsidR="00255280" w:rsidRPr="008B3E0F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01.12.2017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5310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9924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1869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01.12.2018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3600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5544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1540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2. Домати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01.12.2014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2390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1689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707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01.12.2015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2640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2212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838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01.12.2017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1780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2236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1256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01.12.2018 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год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1670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1562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935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3. Картофи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01.12.2014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9470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10190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1076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01.12.2015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8980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8684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967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</w:t>
            </w:r>
          </w:p>
        </w:tc>
        <w:tc>
          <w:tcPr>
            <w:tcW w:w="2319" w:type="dxa"/>
          </w:tcPr>
          <w:p w:rsidR="00255280" w:rsidRPr="00FE403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01.12.2017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8520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10471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1229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01.12.2018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8105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8356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1031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4. Дини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01.12.2014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448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391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873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01.12.2015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385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147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382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01.12.2017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593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448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755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01.12.2018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227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45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198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5. Пъпеши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01.12.2014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253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101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399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01.12.2015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303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88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290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19" w:type="dxa"/>
          </w:tcPr>
          <w:p w:rsidR="00255280" w:rsidRPr="00FE403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01.12.2017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312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99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316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01.12.2018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165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63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380</w:t>
            </w:r>
          </w:p>
        </w:tc>
      </w:tr>
      <w:tr w:rsidR="00255280" w:rsidRPr="00227BEE">
        <w:trPr>
          <w:trHeight w:val="208"/>
        </w:trPr>
        <w:tc>
          <w:tcPr>
            <w:tcW w:w="2336" w:type="dxa"/>
          </w:tcPr>
          <w:p w:rsidR="00255280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6. Тютюн ориент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01.12.2014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23534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2895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123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01.12.2015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15780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1767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112</w:t>
            </w:r>
          </w:p>
        </w:tc>
      </w:tr>
      <w:tr w:rsidR="00255280" w:rsidRPr="00227BEE">
        <w:tc>
          <w:tcPr>
            <w:tcW w:w="2336" w:type="dxa"/>
          </w:tcPr>
          <w:p w:rsidR="00255280" w:rsidRPr="006260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0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6700</w:t>
            </w:r>
          </w:p>
        </w:tc>
        <w:tc>
          <w:tcPr>
            <w:tcW w:w="2319" w:type="dxa"/>
          </w:tcPr>
          <w:p w:rsidR="00255280" w:rsidRPr="006260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771</w:t>
            </w:r>
          </w:p>
        </w:tc>
        <w:tc>
          <w:tcPr>
            <w:tcW w:w="2319" w:type="dxa"/>
          </w:tcPr>
          <w:p w:rsidR="00255280" w:rsidRPr="006260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115</w:t>
            </w:r>
          </w:p>
        </w:tc>
      </w:tr>
      <w:tr w:rsidR="00255280" w:rsidRPr="00227BEE">
        <w:tc>
          <w:tcPr>
            <w:tcW w:w="2336" w:type="dxa"/>
          </w:tcPr>
          <w:p w:rsidR="00255280" w:rsidRPr="006260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0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6035</w:t>
            </w:r>
          </w:p>
        </w:tc>
        <w:tc>
          <w:tcPr>
            <w:tcW w:w="2319" w:type="dxa"/>
          </w:tcPr>
          <w:p w:rsidR="00255280" w:rsidRPr="006260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760</w:t>
            </w:r>
          </w:p>
        </w:tc>
        <w:tc>
          <w:tcPr>
            <w:tcW w:w="2319" w:type="dxa"/>
          </w:tcPr>
          <w:p w:rsidR="00255280" w:rsidRPr="006260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126</w:t>
            </w:r>
          </w:p>
        </w:tc>
      </w:tr>
      <w:tr w:rsidR="00255280" w:rsidRPr="00227BEE">
        <w:tc>
          <w:tcPr>
            <w:tcW w:w="2336" w:type="dxa"/>
          </w:tcPr>
          <w:p w:rsidR="00255280" w:rsidRPr="006260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  <w:r w:rsidRPr="006260A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0A5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8365</w:t>
            </w:r>
          </w:p>
        </w:tc>
        <w:tc>
          <w:tcPr>
            <w:tcW w:w="2319" w:type="dxa"/>
          </w:tcPr>
          <w:p w:rsidR="00255280" w:rsidRPr="006260A5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1196</w:t>
            </w:r>
          </w:p>
        </w:tc>
        <w:tc>
          <w:tcPr>
            <w:tcW w:w="2319" w:type="dxa"/>
          </w:tcPr>
          <w:p w:rsidR="00255280" w:rsidRPr="006260A5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143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7. Фасул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01.12.2014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1190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76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01.12.2015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1070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72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67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319" w:type="dxa"/>
          </w:tcPr>
          <w:p w:rsidR="00255280" w:rsidRPr="009B0B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01.12.2017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930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125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134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01.12.2018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1050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129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123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8. Слънчоглед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01.12.2014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1020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255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250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01.12.2015 год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1600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186</w:t>
            </w:r>
          </w:p>
        </w:tc>
        <w:tc>
          <w:tcPr>
            <w:tcW w:w="2319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116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2319" w:type="dxa"/>
          </w:tcPr>
          <w:p w:rsidR="00255280" w:rsidRPr="009B0BA5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2319" w:type="dxa"/>
          </w:tcPr>
          <w:p w:rsidR="00255280" w:rsidRPr="00626A33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01.12.2017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1590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293</w:t>
            </w:r>
          </w:p>
        </w:tc>
        <w:tc>
          <w:tcPr>
            <w:tcW w:w="2319" w:type="dxa"/>
          </w:tcPr>
          <w:p w:rsidR="00255280" w:rsidRPr="0003326C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184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01.12.2018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2550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395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155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9.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01.12.2014 год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1116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314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281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01.12.2015 год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1250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340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272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1805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542</w:t>
            </w:r>
          </w:p>
        </w:tc>
        <w:tc>
          <w:tcPr>
            <w:tcW w:w="2319" w:type="dxa"/>
          </w:tcPr>
          <w:p w:rsidR="00255280" w:rsidRPr="00227BEE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300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01.12.2017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1F7AA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1150</w:t>
            </w:r>
          </w:p>
        </w:tc>
        <w:tc>
          <w:tcPr>
            <w:tcW w:w="2319" w:type="dxa"/>
          </w:tcPr>
          <w:p w:rsidR="00255280" w:rsidRPr="001F7AA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429</w:t>
            </w:r>
          </w:p>
        </w:tc>
        <w:tc>
          <w:tcPr>
            <w:tcW w:w="2319" w:type="dxa"/>
          </w:tcPr>
          <w:p w:rsidR="00255280" w:rsidRPr="001F7AA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373</w:t>
            </w:r>
          </w:p>
        </w:tc>
      </w:tr>
      <w:tr w:rsidR="00255280" w:rsidRPr="00227BEE">
        <w:tc>
          <w:tcPr>
            <w:tcW w:w="2336" w:type="dxa"/>
          </w:tcPr>
          <w:p w:rsidR="00255280" w:rsidRPr="00227BEE" w:rsidRDefault="00255280" w:rsidP="001D3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01.12.2018</w:t>
            </w:r>
            <w:r w:rsidRPr="00227BE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830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293</w:t>
            </w:r>
          </w:p>
        </w:tc>
        <w:tc>
          <w:tcPr>
            <w:tcW w:w="2319" w:type="dxa"/>
          </w:tcPr>
          <w:p w:rsidR="00255280" w:rsidRPr="0003326C" w:rsidRDefault="00255280" w:rsidP="0062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353</w:t>
            </w:r>
          </w:p>
        </w:tc>
      </w:tr>
    </w:tbl>
    <w:p w:rsidR="00255280" w:rsidRDefault="00255280" w:rsidP="000977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Default="00255280" w:rsidP="000977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Pr="00227BEE" w:rsidRDefault="00255280" w:rsidP="00521B7D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Default="00255280" w:rsidP="00521B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55280" w:rsidRPr="003A209A" w:rsidRDefault="00255280" w:rsidP="00521B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анализ на получените средни добиви могат да се разграничат два фактора, които оказват влияние върху тях:</w:t>
      </w:r>
    </w:p>
    <w:p w:rsidR="00255280" w:rsidRPr="003A209A" w:rsidRDefault="00255280" w:rsidP="00521B7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 климатичен – изминалата стопанска година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 сравнително благоприятна по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тношение на агроекологичния фон;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255280" w:rsidRPr="003A209A" w:rsidRDefault="00255280" w:rsidP="00521B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 култура на земеделие – производителите от областта по финансови причини или от липса на професионализъм, пренебрегват някои от основните моменти – прилагане на правилен сеитбооборот, избор на подходящ сортов състав, система на почвообработка, балансирано торене и т.н., което естествено се отразява на крайния резултат.</w:t>
      </w:r>
    </w:p>
    <w:p w:rsidR="00255280" w:rsidRDefault="00255280" w:rsidP="00294F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В област 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bg-BG"/>
        </w:rPr>
        <w:t>Кърджали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развива екстензивно земеделие - многобройни дребни частни стопанства, които обработват малки по размер площи и произвеждат продукция с висока себестойност. Характерно за производителите от областта е, че работят със собствени средства. 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bg-BG"/>
        </w:rPr>
        <w:t>Липсата на з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емеделски кооперации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bg-BG"/>
        </w:rPr>
        <w:t>, групи производители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арендатори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bg-BG"/>
        </w:rPr>
        <w:t>, както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наличие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bg-BG"/>
        </w:rPr>
        <w:t>то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голям брой наследници на имоти и липса на делби между тях</w:t>
      </w:r>
      <w:r w:rsidRPr="003A209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правят невъзможен процеса по комасация на земеделските земи в регион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255280" w:rsidRPr="001E2C6E" w:rsidRDefault="00255280" w:rsidP="00DB19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През 2018</w:t>
      </w:r>
      <w:r w:rsidRPr="001E2C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г. в жътвата са участвали </w:t>
      </w: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1E2C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C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бр. зърнокомбайни от наличните 30бр. От наличните общо 59 6р сламопреси в областта в кампанията участваха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30</w:t>
      </w:r>
      <w:r w:rsidRPr="001E2C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броя, което прави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51</w:t>
      </w:r>
      <w:r w:rsidRPr="001E2C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%. </w:t>
      </w:r>
    </w:p>
    <w:p w:rsidR="00255280" w:rsidRPr="00227BEE" w:rsidRDefault="00255280" w:rsidP="00DB199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1E2C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 пролетната  кампания са участвали </w:t>
      </w:r>
      <w:r w:rsidRPr="001E2C6E">
        <w:rPr>
          <w:rFonts w:ascii="Times New Roman" w:hAnsi="Times New Roman" w:cs="Times New Roman"/>
          <w:sz w:val="24"/>
          <w:szCs w:val="24"/>
          <w:lang w:val="bg-BG"/>
        </w:rPr>
        <w:t>940</w:t>
      </w:r>
      <w:r w:rsidRPr="001E2C6E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1E2C6E">
        <w:rPr>
          <w:rFonts w:ascii="Times New Roman" w:hAnsi="Times New Roman" w:cs="Times New Roman"/>
          <w:color w:val="000000"/>
          <w:sz w:val="24"/>
          <w:szCs w:val="24"/>
          <w:lang w:val="bg-BG"/>
        </w:rPr>
        <w:t>броя колесни трактори (76% от наличните), тракторни плугове –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526 броя (84</w:t>
      </w:r>
      <w:r w:rsidRPr="001E2C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% 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т наличните), дискови брани – 64 броя (95</w:t>
      </w:r>
      <w:r w:rsidRPr="001E2C6E">
        <w:rPr>
          <w:rFonts w:ascii="Times New Roman" w:hAnsi="Times New Roman" w:cs="Times New Roman"/>
          <w:color w:val="000000"/>
          <w:sz w:val="24"/>
          <w:szCs w:val="24"/>
          <w:lang w:val="bg-BG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наличните), култиватори – 96</w:t>
      </w:r>
      <w:r w:rsidRPr="001E2C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броя, (97% от наличните).</w:t>
      </w:r>
    </w:p>
    <w:p w:rsidR="00255280" w:rsidRDefault="00255280" w:rsidP="00294F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Default="00255280" w:rsidP="00294F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Default="00255280" w:rsidP="00294F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Default="00255280" w:rsidP="00294F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Pr="00DB1995" w:rsidRDefault="00255280" w:rsidP="00294F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Default="00255280" w:rsidP="005B1EB7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През стопанската 2018/2019</w:t>
      </w:r>
      <w:r w:rsidRPr="004D0C76">
        <w:rPr>
          <w:rFonts w:ascii="Times New Roman" w:hAnsi="Times New Roman" w:cs="Times New Roman"/>
          <w:sz w:val="24"/>
          <w:szCs w:val="24"/>
          <w:lang w:val="bg-BG"/>
        </w:rPr>
        <w:t xml:space="preserve"> г. , процедура по създаване на масиви за ползване на земеделски земи и изготвяне на споразумения между собственици и/или ползватели е проведена на територията на </w:t>
      </w:r>
      <w:r w:rsidRPr="004D0C76">
        <w:rPr>
          <w:rFonts w:ascii="Times New Roman" w:hAnsi="Times New Roman" w:cs="Times New Roman"/>
          <w:b/>
          <w:bCs/>
          <w:sz w:val="24"/>
          <w:szCs w:val="24"/>
          <w:lang w:val="bg-BG"/>
        </w:rPr>
        <w:t>3 общин</w:t>
      </w:r>
      <w:r w:rsidRPr="003C475C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община Крумовград, община Кърджали и община Черноочене.</w:t>
      </w:r>
    </w:p>
    <w:p w:rsidR="00255280" w:rsidRPr="00140CBC" w:rsidRDefault="00255280" w:rsidP="005B1E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CBC">
        <w:rPr>
          <w:rFonts w:ascii="Times New Roman" w:hAnsi="Times New Roman" w:cs="Times New Roman"/>
          <w:sz w:val="24"/>
          <w:szCs w:val="24"/>
          <w:lang w:val="bg-BG"/>
        </w:rPr>
        <w:t xml:space="preserve">Проведени са </w:t>
      </w:r>
      <w:r>
        <w:rPr>
          <w:rFonts w:ascii="Times New Roman" w:hAnsi="Times New Roman" w:cs="Times New Roman"/>
          <w:sz w:val="24"/>
          <w:szCs w:val="24"/>
          <w:lang w:val="bg-BG"/>
        </w:rPr>
        <w:t>общо 40</w:t>
      </w:r>
      <w:r w:rsidRPr="00140CBC">
        <w:rPr>
          <w:rFonts w:ascii="Times New Roman" w:hAnsi="Times New Roman" w:cs="Times New Roman"/>
          <w:sz w:val="24"/>
          <w:szCs w:val="24"/>
          <w:lang w:val="bg-BG"/>
        </w:rPr>
        <w:t xml:space="preserve"> бр. заседания на комисиите по чл. 37в, ал. 1 на които са присъствали со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140CBC">
        <w:rPr>
          <w:rFonts w:ascii="Times New Roman" w:hAnsi="Times New Roman" w:cs="Times New Roman"/>
          <w:sz w:val="24"/>
          <w:szCs w:val="24"/>
          <w:lang w:val="bg-BG"/>
        </w:rPr>
        <w:t>ственици, ползватели и други заинтересовани лица. За всяко заседание на комисиите по чл. 37, ал. е със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40CBC">
        <w:rPr>
          <w:rFonts w:ascii="Times New Roman" w:hAnsi="Times New Roman" w:cs="Times New Roman"/>
          <w:sz w:val="24"/>
          <w:szCs w:val="24"/>
          <w:lang w:val="bg-BG"/>
        </w:rPr>
        <w:t xml:space="preserve">авен протокол. </w:t>
      </w:r>
    </w:p>
    <w:p w:rsidR="00255280" w:rsidRDefault="00255280" w:rsidP="005B1E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7C54">
        <w:rPr>
          <w:rFonts w:ascii="Times New Roman" w:hAnsi="Times New Roman" w:cs="Times New Roman"/>
          <w:sz w:val="24"/>
          <w:szCs w:val="24"/>
          <w:lang w:val="bg-BG"/>
        </w:rPr>
        <w:t xml:space="preserve">Желание  за участие в споразумение за заявили </w:t>
      </w:r>
      <w:r w:rsidRPr="00F345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общо 66</w:t>
      </w:r>
      <w:r w:rsidRPr="00F345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34524">
        <w:rPr>
          <w:rFonts w:ascii="Times New Roman" w:hAnsi="Times New Roman" w:cs="Times New Roman"/>
          <w:b/>
          <w:bCs/>
          <w:sz w:val="24"/>
          <w:szCs w:val="24"/>
          <w:lang w:val="bg-BG"/>
        </w:rPr>
        <w:t>бр.</w:t>
      </w:r>
      <w:r w:rsidRPr="00787C5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собственици и/или ползватели</w:t>
      </w:r>
      <w:r w:rsidRPr="00787C5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Сключените доброволни споразумения за ползване са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33</w:t>
      </w:r>
      <w:r w:rsidRPr="002138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бр. </w:t>
      </w:r>
      <w:r w:rsidRPr="00B62B13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обща площ 26027.673 </w:t>
      </w:r>
      <w:r w:rsidRPr="0021389A">
        <w:rPr>
          <w:rFonts w:ascii="Times New Roman" w:hAnsi="Times New Roman" w:cs="Times New Roman"/>
          <w:b/>
          <w:bCs/>
          <w:sz w:val="24"/>
          <w:szCs w:val="24"/>
          <w:lang w:val="bg-BG"/>
        </w:rPr>
        <w:t>дка.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50AA0">
        <w:rPr>
          <w:rFonts w:ascii="Times New Roman" w:hAnsi="Times New Roman" w:cs="Times New Roman"/>
          <w:sz w:val="24"/>
          <w:szCs w:val="24"/>
          <w:lang w:val="bg-BG"/>
        </w:rPr>
        <w:t>Изготвен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50A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687D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687D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на  </w:t>
      </w:r>
      <w:r w:rsidRPr="000D6523">
        <w:rPr>
          <w:rFonts w:ascii="Times New Roman" w:hAnsi="Times New Roman" w:cs="Times New Roman"/>
          <w:sz w:val="24"/>
          <w:szCs w:val="24"/>
          <w:lang w:val="ru-RU"/>
        </w:rPr>
        <w:t>разпределение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6523">
        <w:rPr>
          <w:rFonts w:ascii="Times New Roman" w:hAnsi="Times New Roman" w:cs="Times New Roman"/>
          <w:sz w:val="24"/>
          <w:szCs w:val="24"/>
          <w:lang w:val="ru-RU"/>
        </w:rPr>
        <w:t>масивите за ползване</w:t>
      </w:r>
      <w:r w:rsidRPr="00150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687D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обща площ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469.033</w:t>
      </w:r>
      <w:r w:rsidRPr="00687D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дка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255280" w:rsidRDefault="00255280" w:rsidP="005B1E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територията на област Кърджали</w:t>
      </w:r>
      <w:r w:rsidRPr="006747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 издадени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общо 40</w:t>
      </w:r>
      <w:r w:rsidRPr="0053520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бр. заповеди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реда на чл. 37в, ал. 4 от ЗСПЗЗ. </w:t>
      </w:r>
      <w:r w:rsidRPr="0003452F">
        <w:rPr>
          <w:rFonts w:ascii="Times New Roman" w:hAnsi="Times New Roman" w:cs="Times New Roman"/>
          <w:sz w:val="24"/>
          <w:szCs w:val="24"/>
          <w:lang w:val="bg-BG"/>
        </w:rPr>
        <w:t xml:space="preserve">Площ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включените </w:t>
      </w:r>
      <w:r w:rsidRPr="0003452F">
        <w:rPr>
          <w:rFonts w:ascii="Times New Roman" w:hAnsi="Times New Roman" w:cs="Times New Roman"/>
          <w:sz w:val="24"/>
          <w:szCs w:val="24"/>
          <w:lang w:val="bg-BG"/>
        </w:rPr>
        <w:t>имоти по чл. 37в, ал.3, т.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3452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общо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26496.706</w:t>
      </w:r>
      <w:r w:rsidRPr="0003452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дка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255280" w:rsidRPr="00A43CE0" w:rsidRDefault="00255280" w:rsidP="005B1E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3CE0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чл.3, ал. 4 от Устройствения правилник на областните дирекции „Земеделие“, чл. 37в, ал. 4 от ЗСПЗЗ, във връзка с чл. 37в, ал. 16 от ЗСПЗЗ и изтекъл едномесечен срок за приемане на решение от Общински съвет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A43CE0">
        <w:rPr>
          <w:rFonts w:ascii="Times New Roman" w:hAnsi="Times New Roman" w:cs="Times New Roman"/>
          <w:sz w:val="24"/>
          <w:szCs w:val="24"/>
          <w:lang w:val="bg-BG"/>
        </w:rPr>
        <w:t xml:space="preserve"> Черноочене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искане на директора на ОД „Земеделие“ за предоставяне за ползване на имотите – полски пътища, включени в заповедта са издадени заповеди за 12 землища на територията на община Черноочене.</w:t>
      </w:r>
    </w:p>
    <w:p w:rsidR="00255280" w:rsidRDefault="00255280" w:rsidP="005B1E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Издадени са 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03452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бр. заповеди </w:t>
      </w:r>
      <w:r>
        <w:rPr>
          <w:rFonts w:ascii="Times New Roman" w:hAnsi="Times New Roman" w:cs="Times New Roman"/>
          <w:sz w:val="24"/>
          <w:szCs w:val="24"/>
          <w:lang w:val="bg-BG"/>
        </w:rPr>
        <w:t>за прекратяване процедурата изготвяне на споразумения между собственици и/или ползватели за създаване на масиви за ползване на земеделски земи.</w:t>
      </w:r>
    </w:p>
    <w:p w:rsidR="00255280" w:rsidRDefault="00255280" w:rsidP="005B1E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Изготвени са искания до кметовете на съответните общини за п</w:t>
      </w:r>
      <w:r w:rsidRPr="00896CF7">
        <w:rPr>
          <w:rFonts w:ascii="Times New Roman" w:hAnsi="Times New Roman" w:cs="Times New Roman"/>
          <w:sz w:val="24"/>
          <w:szCs w:val="24"/>
          <w:lang w:val="bg-BG"/>
        </w:rPr>
        <w:t>редоставяне на имотите – полски пътища, включени в масивите за ползване по чл.37в, ал.4 от 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5280" w:rsidRDefault="00255280" w:rsidP="00013B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Pr="00097770" w:rsidRDefault="00255280" w:rsidP="00521B7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6C1A91" w:rsidRDefault="00255280" w:rsidP="00521B7D">
      <w:pPr>
        <w:tabs>
          <w:tab w:val="left" w:pos="11070"/>
        </w:tabs>
        <w:ind w:firstLine="72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  <w:r w:rsidRPr="006C1A91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ІІ. ЖИВОТНОВЪДСТВО</w:t>
      </w:r>
    </w:p>
    <w:p w:rsidR="00255280" w:rsidRPr="006C1A91" w:rsidRDefault="00255280" w:rsidP="00521B7D">
      <w:pPr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  <w:lang w:val="bg-BG"/>
        </w:rPr>
      </w:pPr>
    </w:p>
    <w:p w:rsidR="00255280" w:rsidRPr="005B3E96" w:rsidRDefault="00255280" w:rsidP="00521B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ru-RU"/>
        </w:rPr>
        <w:t xml:space="preserve">Животновъдството е основен поминък на 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>земеделските стопани</w:t>
      </w:r>
      <w:r w:rsidRPr="005B3E96">
        <w:rPr>
          <w:rFonts w:ascii="Times New Roman" w:hAnsi="Times New Roman" w:cs="Times New Roman"/>
          <w:sz w:val="24"/>
          <w:szCs w:val="24"/>
          <w:lang w:val="ru-RU"/>
        </w:rPr>
        <w:t xml:space="preserve"> от Кърджалийска област. Отглеждат се предимно крави за мляко и месо, добре развито е и овцевъдството. По брой говеда областта се нарежда на второ място в страната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5280" w:rsidRPr="005B3E96" w:rsidRDefault="00255280" w:rsidP="00521B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област Кърджали към 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>.201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 г. се отглеждат следните видове и брой животни, както и птици по данни, предоставени от общинските служби по земеделие.</w:t>
      </w:r>
    </w:p>
    <w:p w:rsidR="00255280" w:rsidRPr="005B3E96" w:rsidRDefault="00255280" w:rsidP="00521B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Pr="006260A5" w:rsidRDefault="00255280" w:rsidP="00521B7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6260A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Таблица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6</w:t>
      </w:r>
    </w:p>
    <w:p w:rsidR="00255280" w:rsidRPr="006260A5" w:rsidRDefault="00255280" w:rsidP="00521B7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tbl>
      <w:tblPr>
        <w:tblW w:w="95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1010"/>
        <w:gridCol w:w="1255"/>
        <w:gridCol w:w="1276"/>
        <w:gridCol w:w="1134"/>
        <w:gridCol w:w="1276"/>
        <w:gridCol w:w="1197"/>
      </w:tblGrid>
      <w:tr w:rsidR="00255280" w:rsidRPr="006260A5" w:rsidTr="00C8736B">
        <w:tc>
          <w:tcPr>
            <w:tcW w:w="2379" w:type="dxa"/>
          </w:tcPr>
          <w:p w:rsidR="00255280" w:rsidRPr="006260A5" w:rsidRDefault="00255280" w:rsidP="00292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Видове животни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2014г.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2015г.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2016г.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2017</w:t>
            </w: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197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2018</w:t>
            </w: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255280" w:rsidRPr="006260A5" w:rsidTr="00C8736B">
        <w:trPr>
          <w:trHeight w:hRule="exact"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Говеда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51805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51343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69651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71884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68994</w:t>
            </w:r>
          </w:p>
        </w:tc>
      </w:tr>
      <w:tr w:rsidR="00255280" w:rsidRPr="006260A5" w:rsidTr="00C8736B">
        <w:trPr>
          <w:trHeight w:hRule="exact"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т. ч. крави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38224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38210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55720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57500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55195</w:t>
            </w:r>
          </w:p>
        </w:tc>
      </w:tr>
      <w:tr w:rsidR="00255280" w:rsidRPr="006260A5" w:rsidTr="00C8736B">
        <w:trPr>
          <w:trHeight w:hRule="exact"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Овце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94520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80887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96570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90543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87162</w:t>
            </w:r>
          </w:p>
        </w:tc>
      </w:tr>
      <w:tr w:rsidR="00255280" w:rsidRPr="006260A5" w:rsidTr="00C8736B">
        <w:trPr>
          <w:trHeight w:hRule="exact"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т. ч. овце–майки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72028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72032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93000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82 000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78445</w:t>
            </w:r>
          </w:p>
        </w:tc>
      </w:tr>
      <w:tr w:rsidR="00255280" w:rsidRPr="006260A5" w:rsidTr="00C8736B">
        <w:trPr>
          <w:trHeight w:hRule="exact"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Кози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6466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5554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7458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7250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7188</w:t>
            </w:r>
          </w:p>
        </w:tc>
      </w:tr>
      <w:tr w:rsidR="00255280" w:rsidRPr="006260A5" w:rsidTr="00C8736B">
        <w:trPr>
          <w:trHeight w:hRule="exact"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т. ч. кози–майки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4611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4594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6800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6500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6550</w:t>
            </w:r>
          </w:p>
        </w:tc>
      </w:tr>
      <w:tr w:rsidR="00255280" w:rsidRPr="006260A5" w:rsidTr="00C8736B">
        <w:trPr>
          <w:trHeight w:hRule="exact"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Свине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55280" w:rsidRPr="006260A5" w:rsidTr="00C8736B">
        <w:trPr>
          <w:trHeight w:hRule="exact"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т. ч. свине–майки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55280" w:rsidRPr="006260A5" w:rsidTr="00C8736B">
        <w:trPr>
          <w:trHeight w:hRule="exact"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 Птици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хил. 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260.5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260,8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286,00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177, 000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285.00</w:t>
            </w:r>
          </w:p>
        </w:tc>
      </w:tr>
      <w:tr w:rsidR="00255280" w:rsidRPr="006260A5" w:rsidTr="00C8736B">
        <w:tc>
          <w:tcPr>
            <w:tcW w:w="2379" w:type="dxa"/>
          </w:tcPr>
          <w:p w:rsidR="00255280" w:rsidRPr="006260A5" w:rsidRDefault="00255280" w:rsidP="002929D0">
            <w:pPr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т. ч. кокошки–носачки</w:t>
            </w:r>
          </w:p>
        </w:tc>
        <w:tc>
          <w:tcPr>
            <w:tcW w:w="1010" w:type="dxa"/>
            <w:vAlign w:val="bottom"/>
          </w:tcPr>
          <w:p w:rsidR="00255280" w:rsidRPr="006260A5" w:rsidRDefault="00255280" w:rsidP="002929D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хил. бр</w:t>
            </w:r>
          </w:p>
        </w:tc>
        <w:tc>
          <w:tcPr>
            <w:tcW w:w="1255" w:type="dxa"/>
          </w:tcPr>
          <w:p w:rsidR="00255280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245.1</w:t>
            </w:r>
          </w:p>
        </w:tc>
        <w:tc>
          <w:tcPr>
            <w:tcW w:w="1276" w:type="dxa"/>
          </w:tcPr>
          <w:p w:rsidR="00255280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245,3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255280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160,0</w:t>
            </w:r>
          </w:p>
        </w:tc>
        <w:tc>
          <w:tcPr>
            <w:tcW w:w="1197" w:type="dxa"/>
          </w:tcPr>
          <w:p w:rsidR="00255280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280.00</w:t>
            </w:r>
          </w:p>
        </w:tc>
      </w:tr>
      <w:tr w:rsidR="00255280" w:rsidRPr="006260A5" w:rsidTr="00C8736B">
        <w:trPr>
          <w:trHeight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бройлери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хил. 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3.8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55280" w:rsidRPr="006260A5" w:rsidTr="00C8736B">
        <w:trPr>
          <w:trHeight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Зайци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1009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212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1524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2626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2551</w:t>
            </w:r>
          </w:p>
        </w:tc>
      </w:tr>
      <w:tr w:rsidR="00255280" w:rsidRPr="006260A5" w:rsidTr="00C8736B">
        <w:trPr>
          <w:trHeight w:val="550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т. ч. зайкини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1009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212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1524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2626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2551</w:t>
            </w:r>
          </w:p>
        </w:tc>
      </w:tr>
      <w:tr w:rsidR="00255280" w:rsidRPr="006260A5" w:rsidTr="00C8736B">
        <w:trPr>
          <w:trHeight w:val="288"/>
        </w:trPr>
        <w:tc>
          <w:tcPr>
            <w:tcW w:w="2379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 Пчелни семейства</w:t>
            </w:r>
          </w:p>
        </w:tc>
        <w:tc>
          <w:tcPr>
            <w:tcW w:w="1010" w:type="dxa"/>
          </w:tcPr>
          <w:p w:rsidR="00255280" w:rsidRPr="006260A5" w:rsidRDefault="00255280" w:rsidP="0029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55" w:type="dxa"/>
          </w:tcPr>
          <w:p w:rsidR="00255280" w:rsidRPr="006260A5" w:rsidRDefault="00255280" w:rsidP="001D3B2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15644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15603</w:t>
            </w:r>
          </w:p>
        </w:tc>
        <w:tc>
          <w:tcPr>
            <w:tcW w:w="1134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6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16677</w:t>
            </w:r>
          </w:p>
        </w:tc>
        <w:tc>
          <w:tcPr>
            <w:tcW w:w="1276" w:type="dxa"/>
          </w:tcPr>
          <w:p w:rsidR="00255280" w:rsidRPr="006260A5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16000</w:t>
            </w:r>
          </w:p>
        </w:tc>
        <w:tc>
          <w:tcPr>
            <w:tcW w:w="1197" w:type="dxa"/>
          </w:tcPr>
          <w:p w:rsidR="00255280" w:rsidRPr="006260A5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15421</w:t>
            </w:r>
          </w:p>
        </w:tc>
      </w:tr>
    </w:tbl>
    <w:p w:rsidR="00255280" w:rsidRPr="005B3E96" w:rsidRDefault="00255280" w:rsidP="00521B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Pr="005B3E96" w:rsidRDefault="00255280" w:rsidP="005F4DA3">
      <w:pPr>
        <w:ind w:left="-9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712A54" w:rsidP="00E35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178435</wp:posOffset>
            </wp:positionV>
            <wp:extent cx="5701030" cy="3303905"/>
            <wp:effectExtent l="0" t="0" r="4445" b="3810"/>
            <wp:wrapSquare wrapText="right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Pr="005B3E96" w:rsidRDefault="00255280" w:rsidP="008F24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От изнесените данни </w:t>
      </w:r>
      <w:r>
        <w:rPr>
          <w:rFonts w:ascii="Times New Roman" w:hAnsi="Times New Roman" w:cs="Times New Roman"/>
          <w:sz w:val="24"/>
          <w:szCs w:val="24"/>
          <w:lang w:val="bg-BG"/>
        </w:rPr>
        <w:t>през 2018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видно намаление при броя на говедата, в т.ч. крави, при овцете и козите. Схемите и мерките по директни плащания, както също и ПРСР, оказват влияние на броя на  животните.  </w:t>
      </w:r>
    </w:p>
    <w:p w:rsidR="00255280" w:rsidRPr="005B3E96" w:rsidRDefault="00255280" w:rsidP="00521B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bg-BG"/>
        </w:rPr>
        <w:t>Говедовъдст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вото в областта е 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>раздробено. Преобладават стопанствата, в които се отглеждат 1 – 2 кра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ви от смесена порода. Като основна причина за намаляване на броя на говедата 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>са ниските изкупни цени на млякото.</w:t>
      </w:r>
    </w:p>
    <w:p w:rsidR="00255280" w:rsidRPr="0050406C" w:rsidRDefault="00255280" w:rsidP="005040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bg-BG"/>
        </w:rPr>
        <w:t>Овцевъдството в нашия регион е традиционен отрасъл. Има създадени две сдружения на овцевъдите. Проблемите пред отрасъла са високите цени на фуражите и ниските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изкупни цени на живите агнета.</w:t>
      </w:r>
    </w:p>
    <w:p w:rsidR="00255280" w:rsidRPr="005B3E96" w:rsidRDefault="00255280" w:rsidP="00521B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E96">
        <w:rPr>
          <w:rFonts w:ascii="Times New Roman" w:hAnsi="Times New Roman" w:cs="Times New Roman"/>
          <w:sz w:val="24"/>
          <w:szCs w:val="24"/>
          <w:lang w:val="ru-RU"/>
        </w:rPr>
        <w:tab/>
        <w:t>Многобройните дребни фермери работят изолирано един от друг</w:t>
      </w:r>
      <w:r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5B3E96">
        <w:rPr>
          <w:rFonts w:ascii="Times New Roman" w:hAnsi="Times New Roman" w:cs="Times New Roman"/>
          <w:sz w:val="24"/>
          <w:szCs w:val="24"/>
          <w:lang w:val="ru-RU"/>
        </w:rPr>
        <w:t>а този етап не е осъзната необходимостта от обединение на усилията им във фермерски общности за съвместно отстояване на интересите им.</w:t>
      </w:r>
    </w:p>
    <w:p w:rsidR="00255280" w:rsidRPr="0050406C" w:rsidRDefault="00255280" w:rsidP="005040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На територията на областта има създаден областен консултативен съвет по животновъдство. Целите на областния консултативен съвет са:</w:t>
      </w:r>
    </w:p>
    <w:p w:rsidR="00255280" w:rsidRPr="0050406C" w:rsidRDefault="00255280" w:rsidP="0050406C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4"/>
          <w:szCs w:val="24"/>
        </w:rPr>
      </w:pPr>
      <w:r w:rsidRPr="0050406C">
        <w:rPr>
          <w:rFonts w:ascii="Times New Roman" w:hAnsi="Times New Roman" w:cs="Times New Roman"/>
          <w:sz w:val="24"/>
          <w:szCs w:val="24"/>
        </w:rPr>
        <w:t>Проблемите в сектор животновъдство да се решават на областно ниво.</w:t>
      </w:r>
    </w:p>
    <w:p w:rsidR="00255280" w:rsidRPr="0050406C" w:rsidRDefault="00255280" w:rsidP="0050406C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4"/>
          <w:szCs w:val="24"/>
        </w:rPr>
      </w:pPr>
      <w:r w:rsidRPr="0050406C">
        <w:rPr>
          <w:rFonts w:ascii="Times New Roman" w:hAnsi="Times New Roman" w:cs="Times New Roman"/>
          <w:sz w:val="24"/>
          <w:szCs w:val="24"/>
        </w:rPr>
        <w:t>Да се информират животновъдите за новостите в сектора. /отдаването на пасища и мери от ОПФ и ДПФ, схеми и мерки за подпомагане.</w:t>
      </w:r>
    </w:p>
    <w:p w:rsidR="00255280" w:rsidRPr="0050406C" w:rsidRDefault="00255280" w:rsidP="0050406C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4"/>
          <w:szCs w:val="24"/>
        </w:rPr>
      </w:pPr>
      <w:r w:rsidRPr="0050406C">
        <w:rPr>
          <w:rFonts w:ascii="Times New Roman" w:hAnsi="Times New Roman" w:cs="Times New Roman"/>
          <w:sz w:val="24"/>
          <w:szCs w:val="24"/>
        </w:rPr>
        <w:t>Законодателни инициативи предложения.</w:t>
      </w:r>
    </w:p>
    <w:p w:rsidR="00255280" w:rsidRPr="0050406C" w:rsidRDefault="00255280" w:rsidP="00521B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4. </w:t>
      </w:r>
      <w:r w:rsidRPr="0050406C">
        <w:rPr>
          <w:rFonts w:ascii="Times New Roman" w:hAnsi="Times New Roman" w:cs="Times New Roman"/>
          <w:sz w:val="24"/>
          <w:szCs w:val="24"/>
        </w:rPr>
        <w:t>Допълнителни срещи с друг институции / Развъдни организации, изп. Агенция по селекция и репродукция в животновъдството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5280" w:rsidRPr="005B3E96" w:rsidRDefault="00255280" w:rsidP="00521B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5B3E96">
        <w:rPr>
          <w:rFonts w:ascii="Times New Roman" w:hAnsi="Times New Roman" w:cs="Times New Roman"/>
          <w:sz w:val="24"/>
          <w:szCs w:val="24"/>
          <w:lang w:val="ru-RU"/>
        </w:rPr>
        <w:t>Перспективи за развитие на животновъдството:</w:t>
      </w:r>
    </w:p>
    <w:p w:rsidR="00255280" w:rsidRPr="005B3E96" w:rsidRDefault="00255280" w:rsidP="00521B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E96">
        <w:rPr>
          <w:rFonts w:ascii="Times New Roman" w:hAnsi="Times New Roman" w:cs="Times New Roman"/>
          <w:sz w:val="24"/>
          <w:szCs w:val="24"/>
          <w:lang w:val="ru-RU"/>
        </w:rPr>
        <w:t>- осъвременяване на генетичния потенциал в областта с елитни и висококачествени животни;</w:t>
      </w:r>
    </w:p>
    <w:p w:rsidR="00255280" w:rsidRPr="005B3E96" w:rsidRDefault="00255280" w:rsidP="00521B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E96">
        <w:rPr>
          <w:rFonts w:ascii="Times New Roman" w:hAnsi="Times New Roman" w:cs="Times New Roman"/>
          <w:sz w:val="24"/>
          <w:szCs w:val="24"/>
          <w:lang w:val="ru-RU"/>
        </w:rPr>
        <w:t>- уедряване на дребните животновъдни ферми и създаване на пазарно-ориентирани животновъдни стопанства – механизирани, с автоматизирано производство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B3E9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което води до минимални разходи и високо качество на произвежданата продукция;</w:t>
      </w:r>
    </w:p>
    <w:p w:rsidR="00255280" w:rsidRPr="005B3E96" w:rsidRDefault="00255280" w:rsidP="00521B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E96">
        <w:rPr>
          <w:rFonts w:ascii="Times New Roman" w:hAnsi="Times New Roman" w:cs="Times New Roman"/>
          <w:sz w:val="24"/>
          <w:szCs w:val="24"/>
          <w:lang w:val="ru-RU"/>
        </w:rPr>
        <w:t>- обособяване на говедовъдството в оптимални по размер стокови стада, с цел задоволяване със собствени суровини на по-голяма част от преработвателните предприятия в областта и поевтиняване на предлаганата продукция, както и повишаване надеждността на ветеринарно-санитарния контрол и запазване здравето на потребителя;</w:t>
      </w:r>
    </w:p>
    <w:p w:rsidR="00255280" w:rsidRDefault="00255280" w:rsidP="00521B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ru-RU"/>
        </w:rPr>
        <w:t>- приоритетно развитие на овцевъдството, козевъдството и пчеларството, поради наличие на подходящи условия в планинските райони на областта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280" w:rsidRDefault="00255280" w:rsidP="002F463D">
      <w:pPr>
        <w:ind w:right="-8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5280" w:rsidRDefault="00255280" w:rsidP="007C5214">
      <w:pPr>
        <w:ind w:left="71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</w:p>
    <w:p w:rsidR="00255280" w:rsidRPr="006C1A91" w:rsidRDefault="00255280" w:rsidP="007C5214">
      <w:pPr>
        <w:ind w:left="71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  <w:r w:rsidRPr="006C1A91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ІІІ. РЕГИСТРАЦИЯ НА ЗЕМЕДЕЛСКИ СТОПАНИ</w:t>
      </w:r>
    </w:p>
    <w:p w:rsidR="00255280" w:rsidRPr="006C1A91" w:rsidRDefault="00255280" w:rsidP="007C5214">
      <w:pPr>
        <w:ind w:left="1080"/>
        <w:jc w:val="both"/>
        <w:rPr>
          <w:rFonts w:ascii="Times New Roman" w:hAnsi="Times New Roman" w:cs="Times New Roman"/>
          <w:color w:val="00B050"/>
          <w:sz w:val="24"/>
          <w:szCs w:val="24"/>
          <w:highlight w:val="yellow"/>
          <w:lang w:val="bg-BG"/>
        </w:rPr>
      </w:pPr>
    </w:p>
    <w:p w:rsidR="00255280" w:rsidRPr="005B3E96" w:rsidRDefault="00255280" w:rsidP="007C521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2018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г. поддържането на Регистъра на земеделските 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стопани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 обхвана следните дейности:</w:t>
      </w:r>
    </w:p>
    <w:p w:rsidR="00255280" w:rsidRPr="005B3E96" w:rsidRDefault="00255280" w:rsidP="007C521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Набиране и актуализиране на информация за земеделските 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стопани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 и за дейността им с цел подпомагане на земеделието;</w:t>
      </w:r>
    </w:p>
    <w:p w:rsidR="00255280" w:rsidRPr="005B3E96" w:rsidRDefault="00255280" w:rsidP="007C521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bg-BG"/>
        </w:rPr>
        <w:t>Поддържане на информационна система за регистъра на областно и централно ниво;</w:t>
      </w:r>
    </w:p>
    <w:p w:rsidR="00255280" w:rsidRPr="005B3E96" w:rsidRDefault="00255280" w:rsidP="007C521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списък с регистрираните земеделски 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стопани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 на Агенцията по заетостта;</w:t>
      </w:r>
    </w:p>
    <w:p w:rsidR="00255280" w:rsidRPr="005B3E96" w:rsidRDefault="00255280" w:rsidP="007C521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предоставяне на кредити и субсидии от ДФ „Земеделие”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стопаните 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>акту</w:t>
      </w:r>
      <w:r>
        <w:rPr>
          <w:rFonts w:ascii="Times New Roman" w:hAnsi="Times New Roman" w:cs="Times New Roman"/>
          <w:sz w:val="24"/>
          <w:szCs w:val="24"/>
          <w:lang w:val="bg-BG"/>
        </w:rPr>
        <w:t>ализират данните си в Регистъра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, като отразяват всяка промяна, попълвайки анкетни формуляри. </w:t>
      </w:r>
    </w:p>
    <w:p w:rsidR="00255280" w:rsidRPr="005B3E96" w:rsidRDefault="00255280" w:rsidP="007C52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            През отчетният период бе създадена добра организация от ОДЗ Кърджа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 и общинските служби, относно 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уведомяване на всички регистрирани земеделски 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и в областта за предстоящата кампания по пререгистрация. </w:t>
      </w:r>
    </w:p>
    <w:p w:rsidR="00255280" w:rsidRPr="005B3E96" w:rsidRDefault="00255280" w:rsidP="007C521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073C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Регистрираните земеделски 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стопани</w:t>
      </w:r>
      <w:r w:rsidRPr="008A073C">
        <w:rPr>
          <w:rFonts w:ascii="Times New Roman" w:hAnsi="Times New Roman" w:cs="Times New Roman"/>
          <w:sz w:val="24"/>
          <w:szCs w:val="24"/>
          <w:lang w:val="bg-BG"/>
        </w:rPr>
        <w:t xml:space="preserve"> в обл</w:t>
      </w:r>
      <w:r>
        <w:rPr>
          <w:rFonts w:ascii="Times New Roman" w:hAnsi="Times New Roman" w:cs="Times New Roman"/>
          <w:sz w:val="24"/>
          <w:szCs w:val="24"/>
          <w:lang w:val="bg-BG"/>
        </w:rPr>
        <w:t>аст Кърджали през 2018</w:t>
      </w:r>
      <w:r w:rsidRPr="008A073C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са </w:t>
      </w:r>
      <w:r w:rsidRPr="005F4DA3">
        <w:rPr>
          <w:rFonts w:ascii="Times New Roman" w:hAnsi="Times New Roman" w:cs="Times New Roman"/>
          <w:b/>
          <w:bCs/>
          <w:sz w:val="24"/>
          <w:szCs w:val="24"/>
          <w:lang w:val="bg-BG"/>
        </w:rPr>
        <w:t>8527 бр</w:t>
      </w:r>
      <w:r w:rsidRPr="008A073C">
        <w:rPr>
          <w:rFonts w:ascii="Times New Roman" w:hAnsi="Times New Roman" w:cs="Times New Roman"/>
          <w:sz w:val="24"/>
          <w:szCs w:val="24"/>
          <w:lang w:val="bg-BG"/>
        </w:rPr>
        <w:t>., като се наблюдава увеличение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спрямо предходната година с </w:t>
      </w:r>
      <w:r w:rsidRPr="005F4DA3">
        <w:rPr>
          <w:rFonts w:ascii="Times New Roman" w:hAnsi="Times New Roman" w:cs="Times New Roman"/>
          <w:b/>
          <w:bCs/>
          <w:sz w:val="24"/>
          <w:szCs w:val="24"/>
          <w:lang w:val="bg-BG"/>
        </w:rPr>
        <w:t>441 бр.</w:t>
      </w:r>
      <w:r w:rsidRPr="005B3E96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255280" w:rsidRDefault="00255280" w:rsidP="00CB30C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255280" w:rsidRDefault="00255280" w:rsidP="00CB30C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255280" w:rsidRPr="006260A5" w:rsidRDefault="00255280" w:rsidP="00CB30C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6260A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Таблица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7</w:t>
      </w:r>
    </w:p>
    <w:p w:rsidR="00255280" w:rsidRPr="005B3E96" w:rsidRDefault="00255280" w:rsidP="007C521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624"/>
        <w:gridCol w:w="1624"/>
        <w:gridCol w:w="1624"/>
        <w:gridCol w:w="1624"/>
        <w:gridCol w:w="1624"/>
      </w:tblGrid>
      <w:tr w:rsidR="00255280" w:rsidRPr="005B3E96">
        <w:tc>
          <w:tcPr>
            <w:tcW w:w="9743" w:type="dxa"/>
            <w:gridSpan w:val="6"/>
          </w:tcPr>
          <w:p w:rsidR="00255280" w:rsidRPr="00CE48A9" w:rsidRDefault="00255280" w:rsidP="00BE6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E4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Регистрирани  земеделски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стопани</w:t>
            </w:r>
            <w:r w:rsidRPr="00CE4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в област Кърджали</w:t>
            </w:r>
          </w:p>
          <w:p w:rsidR="00255280" w:rsidRPr="00CE48A9" w:rsidRDefault="00255280" w:rsidP="00BE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55280" w:rsidRPr="005B3E96">
        <w:tc>
          <w:tcPr>
            <w:tcW w:w="1623" w:type="dxa"/>
          </w:tcPr>
          <w:p w:rsidR="00255280" w:rsidRPr="00CE48A9" w:rsidRDefault="00255280" w:rsidP="001D3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E48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2013г.</w:t>
            </w:r>
          </w:p>
        </w:tc>
        <w:tc>
          <w:tcPr>
            <w:tcW w:w="1624" w:type="dxa"/>
          </w:tcPr>
          <w:p w:rsidR="00255280" w:rsidRPr="00CE48A9" w:rsidRDefault="00255280" w:rsidP="001D3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E48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2014г.</w:t>
            </w:r>
          </w:p>
        </w:tc>
        <w:tc>
          <w:tcPr>
            <w:tcW w:w="1624" w:type="dxa"/>
          </w:tcPr>
          <w:p w:rsidR="00255280" w:rsidRPr="00CE48A9" w:rsidRDefault="00255280" w:rsidP="001D3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E48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2015г.</w:t>
            </w:r>
          </w:p>
        </w:tc>
        <w:tc>
          <w:tcPr>
            <w:tcW w:w="1624" w:type="dxa"/>
          </w:tcPr>
          <w:p w:rsidR="00255280" w:rsidRPr="00CE48A9" w:rsidRDefault="00255280" w:rsidP="001D3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2016</w:t>
            </w:r>
            <w:r w:rsidRPr="00CE48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624" w:type="dxa"/>
          </w:tcPr>
          <w:p w:rsidR="00255280" w:rsidRPr="00CE48A9" w:rsidRDefault="00255280" w:rsidP="001D3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2017</w:t>
            </w:r>
            <w:r w:rsidRPr="00CE48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624" w:type="dxa"/>
          </w:tcPr>
          <w:p w:rsidR="00255280" w:rsidRPr="00CE48A9" w:rsidRDefault="00255280" w:rsidP="001D3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2018</w:t>
            </w:r>
            <w:r w:rsidRPr="00CE48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255280" w:rsidRPr="005B3E96">
        <w:tc>
          <w:tcPr>
            <w:tcW w:w="1623" w:type="dxa"/>
          </w:tcPr>
          <w:p w:rsidR="00255280" w:rsidRPr="00CE48A9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E4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5024</w:t>
            </w:r>
          </w:p>
        </w:tc>
        <w:tc>
          <w:tcPr>
            <w:tcW w:w="1624" w:type="dxa"/>
          </w:tcPr>
          <w:p w:rsidR="00255280" w:rsidRPr="00CE48A9" w:rsidRDefault="00255280" w:rsidP="001D3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E4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5153</w:t>
            </w:r>
          </w:p>
        </w:tc>
        <w:tc>
          <w:tcPr>
            <w:tcW w:w="1624" w:type="dxa"/>
          </w:tcPr>
          <w:p w:rsidR="00255280" w:rsidRPr="00CE48A9" w:rsidRDefault="00255280" w:rsidP="001D3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E4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7085</w:t>
            </w:r>
          </w:p>
        </w:tc>
        <w:tc>
          <w:tcPr>
            <w:tcW w:w="1624" w:type="dxa"/>
          </w:tcPr>
          <w:p w:rsidR="00255280" w:rsidRPr="004B3F7F" w:rsidRDefault="00255280" w:rsidP="001D3B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7497</w:t>
            </w:r>
          </w:p>
        </w:tc>
        <w:tc>
          <w:tcPr>
            <w:tcW w:w="1624" w:type="dxa"/>
          </w:tcPr>
          <w:p w:rsidR="00255280" w:rsidRPr="00A94414" w:rsidRDefault="00255280" w:rsidP="001D3B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8086</w:t>
            </w:r>
          </w:p>
        </w:tc>
        <w:tc>
          <w:tcPr>
            <w:tcW w:w="1624" w:type="dxa"/>
          </w:tcPr>
          <w:p w:rsidR="00255280" w:rsidRPr="00A94414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8527</w:t>
            </w:r>
          </w:p>
        </w:tc>
      </w:tr>
    </w:tbl>
    <w:p w:rsidR="00255280" w:rsidRDefault="00255280" w:rsidP="00A603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5280" w:rsidRDefault="00255280" w:rsidP="00282B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В таблица 8 е видно разпределението на регистрираните земеделски стопани на територията на област Кърджали:</w:t>
      </w:r>
    </w:p>
    <w:p w:rsidR="00255280" w:rsidRDefault="00255280" w:rsidP="00282B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Pr="006260A5" w:rsidRDefault="00255280" w:rsidP="00282B9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6260A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Таблица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8</w:t>
      </w:r>
    </w:p>
    <w:p w:rsidR="00255280" w:rsidRDefault="00255280" w:rsidP="00A603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8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2316"/>
        <w:gridCol w:w="2126"/>
        <w:gridCol w:w="4252"/>
      </w:tblGrid>
      <w:tr w:rsidR="00255280" w:rsidRPr="00282B96">
        <w:trPr>
          <w:trHeight w:val="90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 xml:space="preserve">№ 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ОСЗ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Бр. землища на територията на общината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5280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 xml:space="preserve">Бр. регистрирани земеделски </w:t>
            </w:r>
            <w:r>
              <w:rPr>
                <w:b/>
                <w:bCs/>
                <w:lang w:val="bg-BG" w:eastAsia="bg-BG"/>
              </w:rPr>
              <w:t>стопан</w:t>
            </w:r>
            <w:r w:rsidRPr="00282B96">
              <w:rPr>
                <w:b/>
                <w:bCs/>
                <w:lang w:val="bg-BG" w:eastAsia="bg-BG"/>
              </w:rPr>
              <w:t xml:space="preserve">и </w:t>
            </w:r>
            <w:r>
              <w:rPr>
                <w:b/>
                <w:bCs/>
                <w:lang w:val="bg-BG" w:eastAsia="bg-BG"/>
              </w:rPr>
              <w:t>Н</w:t>
            </w:r>
            <w:r w:rsidRPr="00282B96">
              <w:rPr>
                <w:b/>
                <w:bCs/>
                <w:lang w:val="bg-BG" w:eastAsia="bg-BG"/>
              </w:rPr>
              <w:t>аредба3/1999</w:t>
            </w:r>
          </w:p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 xml:space="preserve"> 2018</w:t>
            </w:r>
            <w:r w:rsidRPr="00282B96">
              <w:rPr>
                <w:b/>
                <w:bCs/>
                <w:lang w:val="bg-BG" w:eastAsia="bg-BG"/>
              </w:rPr>
              <w:t>г.</w:t>
            </w:r>
          </w:p>
        </w:tc>
      </w:tr>
      <w:tr w:rsidR="00255280" w:rsidRPr="00282B96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Ардино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499</w:t>
            </w:r>
          </w:p>
        </w:tc>
      </w:tr>
      <w:tr w:rsidR="00255280" w:rsidRPr="00282B96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Джебел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DB129C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bg-BG"/>
              </w:rPr>
            </w:pPr>
            <w:r>
              <w:rPr>
                <w:b/>
                <w:bCs/>
                <w:lang w:val="bg-BG" w:eastAsia="bg-BG"/>
              </w:rPr>
              <w:t>4</w:t>
            </w:r>
            <w:r>
              <w:rPr>
                <w:b/>
                <w:bCs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510</w:t>
            </w:r>
          </w:p>
        </w:tc>
      </w:tr>
      <w:tr w:rsidR="00255280" w:rsidRPr="00282B96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Кирково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DB129C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1499</w:t>
            </w:r>
          </w:p>
        </w:tc>
      </w:tr>
      <w:tr w:rsidR="00255280" w:rsidRPr="00282B96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Крумовград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DB129C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1487</w:t>
            </w:r>
          </w:p>
        </w:tc>
      </w:tr>
      <w:tr w:rsidR="00255280" w:rsidRPr="00282B96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Кърджали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DB129C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bg-BG"/>
              </w:rPr>
            </w:pPr>
            <w:r>
              <w:rPr>
                <w:b/>
                <w:bCs/>
                <w:lang w:val="bg-BG" w:eastAsia="bg-BG"/>
              </w:rPr>
              <w:t>11</w:t>
            </w:r>
            <w:r>
              <w:rPr>
                <w:b/>
                <w:bCs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2556</w:t>
            </w:r>
          </w:p>
        </w:tc>
      </w:tr>
      <w:tr w:rsidR="00255280" w:rsidRPr="00282B96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Момчилград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DB129C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bg-BG"/>
              </w:rPr>
            </w:pPr>
            <w:r>
              <w:rPr>
                <w:b/>
                <w:bCs/>
                <w:lang w:val="bg-BG" w:eastAsia="bg-BG"/>
              </w:rPr>
              <w:t>4</w:t>
            </w:r>
            <w:r>
              <w:rPr>
                <w:b/>
                <w:bCs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1313</w:t>
            </w:r>
          </w:p>
        </w:tc>
      </w:tr>
      <w:tr w:rsidR="00255280" w:rsidRPr="00282B96">
        <w:trPr>
          <w:trHeight w:val="2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Черноочене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DB129C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663</w:t>
            </w:r>
          </w:p>
        </w:tc>
      </w:tr>
      <w:tr w:rsidR="00255280" w:rsidRPr="00282B96">
        <w:trPr>
          <w:trHeight w:val="27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bg-BG" w:eastAsia="bg-BG"/>
              </w:rPr>
            </w:pPr>
            <w:r w:rsidRPr="00282B96">
              <w:rPr>
                <w:b/>
                <w:bCs/>
                <w:lang w:val="bg-BG" w:eastAsia="bg-BG"/>
              </w:rPr>
              <w:t>Общо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4</w:t>
            </w:r>
            <w:r>
              <w:rPr>
                <w:b/>
                <w:bCs/>
                <w:lang w:eastAsia="bg-BG"/>
              </w:rPr>
              <w:t>7</w:t>
            </w:r>
            <w:r w:rsidRPr="00282B96">
              <w:rPr>
                <w:b/>
                <w:bCs/>
                <w:lang w:val="bg-BG"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282B96" w:rsidRDefault="00255280" w:rsidP="00282B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8527</w:t>
            </w:r>
          </w:p>
        </w:tc>
      </w:tr>
    </w:tbl>
    <w:p w:rsidR="00255280" w:rsidRPr="00282B96" w:rsidRDefault="00255280" w:rsidP="00A603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5280" w:rsidRDefault="00255280" w:rsidP="00D45B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През периода 01.01.2018г. – 31.12.2018г. са извършена проверки и издадени удостоверения в размер на 3191 бр., по искания на НАП, НОИ, частни и държавни съдебни изпълнителя, съд и др. институции. </w:t>
      </w:r>
    </w:p>
    <w:p w:rsidR="00255280" w:rsidRDefault="00255280" w:rsidP="002D23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2D232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таблица  9 и 10 е представена информация за регистрираните тютюнопроизводители по общини в базата на тютюнопроизводители през 2017г. и 2018г. Видно е увеличение с 1169 бр. тютюнопроизводители.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Като основна причина са очакванията на хората за продължаване на прилагане на преходна национална помощ за тютюн, както също и възможна промяна в референтния период.</w:t>
      </w:r>
    </w:p>
    <w:p w:rsidR="00255280" w:rsidRPr="00F1411E" w:rsidRDefault="00255280" w:rsidP="00B472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D260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Таблица 9</w:t>
      </w:r>
    </w:p>
    <w:p w:rsidR="00255280" w:rsidRDefault="00255280" w:rsidP="0094206D">
      <w:pPr>
        <w:ind w:left="71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62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416"/>
        <w:gridCol w:w="2415"/>
        <w:gridCol w:w="783"/>
        <w:gridCol w:w="1487"/>
        <w:gridCol w:w="2383"/>
      </w:tblGrid>
      <w:tr w:rsidR="00255280" w:rsidRPr="0092105E">
        <w:trPr>
          <w:trHeight w:val="30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</w:t>
            </w: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егистрир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ани тютнопроизводители през 2018</w:t>
            </w: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г. </w:t>
            </w:r>
          </w:p>
        </w:tc>
      </w:tr>
      <w:tr w:rsidR="00255280" w:rsidRPr="0092105E">
        <w:trPr>
          <w:trHeight w:val="30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 базата на тютюнопроизводителите</w:t>
            </w:r>
          </w:p>
        </w:tc>
      </w:tr>
      <w:tr w:rsidR="00255280" w:rsidRPr="0092105E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Област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Община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Брой тютюнопрозводители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имоти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по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Количество 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/дка/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договор/дка/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тютюн по договор/кг/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Ардино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942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220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Джебел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60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8440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Кирково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511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2886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2610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432770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Крумовград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1046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5520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5027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755030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213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0485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Момчилград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106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14960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Черноочене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792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697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4206D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98910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14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3A5B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14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3A5B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1758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3A5B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9577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3A5B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8713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3A5B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1 340 815</w:t>
            </w:r>
          </w:p>
        </w:tc>
      </w:tr>
    </w:tbl>
    <w:p w:rsidR="00255280" w:rsidRPr="0092105E" w:rsidRDefault="00255280" w:rsidP="0094206D">
      <w:pPr>
        <w:ind w:left="71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94206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255280" w:rsidRDefault="00255280" w:rsidP="0094206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255280" w:rsidRPr="006260A5" w:rsidRDefault="00255280" w:rsidP="0094206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6260A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Таблица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10</w:t>
      </w:r>
    </w:p>
    <w:p w:rsidR="00255280" w:rsidRDefault="00255280" w:rsidP="00D260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tbl>
      <w:tblPr>
        <w:tblW w:w="962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416"/>
        <w:gridCol w:w="2415"/>
        <w:gridCol w:w="783"/>
        <w:gridCol w:w="1487"/>
        <w:gridCol w:w="2383"/>
      </w:tblGrid>
      <w:tr w:rsidR="00255280" w:rsidRPr="0092105E">
        <w:trPr>
          <w:trHeight w:val="30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</w:t>
            </w: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егистрирани тют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ю</w:t>
            </w: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нопроизводители през 2017г. </w:t>
            </w:r>
          </w:p>
        </w:tc>
      </w:tr>
      <w:tr w:rsidR="00255280" w:rsidRPr="0092105E">
        <w:trPr>
          <w:trHeight w:val="30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 базата на тютюнопроизводителите</w:t>
            </w:r>
          </w:p>
        </w:tc>
      </w:tr>
      <w:tr w:rsidR="00255280" w:rsidRPr="0092105E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Област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Община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Брой тютюнопро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</w:t>
            </w: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зводители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имоти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по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Количество 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/дка/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договор/дка/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тютюн по договор/кг/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Ардино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Джебел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4050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Кирково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164 480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Крумовград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206 375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15 740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Момчилград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11 650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Черноочене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92105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92105E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81 670</w:t>
            </w:r>
          </w:p>
        </w:tc>
      </w:tr>
      <w:tr w:rsidR="00255280" w:rsidRPr="0092105E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14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14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14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589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14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3549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14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3169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F1411E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14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484 415</w:t>
            </w:r>
          </w:p>
        </w:tc>
      </w:tr>
    </w:tbl>
    <w:p w:rsidR="00255280" w:rsidRDefault="00255280" w:rsidP="00D260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255280" w:rsidRDefault="00255280" w:rsidP="00D260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255280" w:rsidRDefault="00255280" w:rsidP="007C581B">
      <w:pPr>
        <w:ind w:left="71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CC4991" w:rsidRDefault="00255280" w:rsidP="007C581B">
      <w:pPr>
        <w:ind w:left="71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2D2324" w:rsidRDefault="00255280" w:rsidP="007C581B">
      <w:pPr>
        <w:ind w:left="71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  <w:r w:rsidRPr="002D2324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І</w:t>
      </w:r>
      <w:r w:rsidRPr="002D2324">
        <w:rPr>
          <w:rFonts w:ascii="Times New Roman" w:hAnsi="Times New Roman" w:cs="Times New Roman"/>
          <w:b/>
          <w:bCs/>
          <w:color w:val="00B050"/>
          <w:sz w:val="24"/>
          <w:szCs w:val="24"/>
        </w:rPr>
        <w:t>V.</w:t>
      </w:r>
      <w:r w:rsidRPr="002D2324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 xml:space="preserve"> КАМПАНИЯ ПО РЕГИСТРИРАНЕ НА ЗАЯВЛЕНИЯ ПО СХЕМИ И МЕРКИ ЗА ДИРЕКТИ ПЛАЩАНИЯ ПРЕЗ 2018 г.</w:t>
      </w:r>
    </w:p>
    <w:p w:rsidR="00255280" w:rsidRPr="002D2324" w:rsidRDefault="00255280" w:rsidP="00B472EA">
      <w:pPr>
        <w:ind w:firstLine="72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</w:p>
    <w:p w:rsidR="00255280" w:rsidRPr="00E61458" w:rsidRDefault="00255280" w:rsidP="00E61458">
      <w:pPr>
        <w:tabs>
          <w:tab w:val="left" w:pos="9604"/>
        </w:tabs>
        <w:ind w:right="-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1458">
        <w:rPr>
          <w:rFonts w:ascii="Times New Roman" w:hAnsi="Times New Roman" w:cs="Times New Roman"/>
          <w:sz w:val="24"/>
          <w:szCs w:val="24"/>
          <w:lang w:val="bg-BG"/>
        </w:rPr>
        <w:t xml:space="preserve">            От гледна точка на  обезпечение на цялостния процес, относно специалисти, техника и консумативи </w:t>
      </w:r>
      <w:r>
        <w:rPr>
          <w:rFonts w:ascii="Times New Roman" w:hAnsi="Times New Roman" w:cs="Times New Roman"/>
          <w:sz w:val="24"/>
          <w:szCs w:val="24"/>
          <w:lang w:val="bg-BG"/>
        </w:rPr>
        <w:t>за предстоящата кампания б</w:t>
      </w:r>
      <w:r w:rsidRPr="00E61458">
        <w:rPr>
          <w:rFonts w:ascii="Times New Roman" w:hAnsi="Times New Roman" w:cs="Times New Roman"/>
          <w:sz w:val="24"/>
          <w:szCs w:val="24"/>
          <w:lang w:val="bg-BG"/>
        </w:rPr>
        <w:t>е извърш</w:t>
      </w:r>
      <w:r>
        <w:rPr>
          <w:rFonts w:ascii="Times New Roman" w:hAnsi="Times New Roman" w:cs="Times New Roman"/>
          <w:sz w:val="24"/>
          <w:szCs w:val="24"/>
          <w:lang w:val="bg-BG"/>
        </w:rPr>
        <w:t>ено</w:t>
      </w:r>
      <w:r w:rsidRPr="00E61458">
        <w:rPr>
          <w:rFonts w:ascii="Times New Roman" w:hAnsi="Times New Roman" w:cs="Times New Roman"/>
          <w:sz w:val="24"/>
          <w:szCs w:val="24"/>
          <w:lang w:val="bg-BG"/>
        </w:rPr>
        <w:t xml:space="preserve"> следното: </w:t>
      </w:r>
    </w:p>
    <w:p w:rsidR="00255280" w:rsidRPr="00E61458" w:rsidRDefault="00255280" w:rsidP="00E61458">
      <w:pPr>
        <w:numPr>
          <w:ilvl w:val="0"/>
          <w:numId w:val="2"/>
        </w:numPr>
        <w:tabs>
          <w:tab w:val="left" w:pos="9604"/>
        </w:tabs>
        <w:overflowPunct/>
        <w:autoSpaceDE/>
        <w:autoSpaceDN/>
        <w:adjustRightInd/>
        <w:ind w:right="-26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E61458">
        <w:rPr>
          <w:rFonts w:ascii="Times New Roman" w:hAnsi="Times New Roman" w:cs="Times New Roman"/>
          <w:sz w:val="24"/>
          <w:szCs w:val="24"/>
          <w:lang w:val="bg-BG"/>
        </w:rPr>
        <w:t>С оглед на добрата организация във всяка общинска служба се определиха  помещенията за регистрация и подаване на заявление за подпомагане;</w:t>
      </w:r>
    </w:p>
    <w:p w:rsidR="00255280" w:rsidRPr="00E61458" w:rsidRDefault="00255280" w:rsidP="00E61458">
      <w:pPr>
        <w:numPr>
          <w:ilvl w:val="0"/>
          <w:numId w:val="2"/>
        </w:numPr>
        <w:tabs>
          <w:tab w:val="left" w:pos="9604"/>
        </w:tabs>
        <w:overflowPunct/>
        <w:autoSpaceDE/>
        <w:autoSpaceDN/>
        <w:adjustRightInd/>
        <w:ind w:right="-26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E61458">
        <w:rPr>
          <w:rFonts w:ascii="Times New Roman" w:hAnsi="Times New Roman" w:cs="Times New Roman"/>
          <w:sz w:val="24"/>
          <w:szCs w:val="24"/>
          <w:lang w:val="bg-BG"/>
        </w:rPr>
        <w:t>Определиха се също така и служителите, които ще участват в цялостния процес;</w:t>
      </w:r>
    </w:p>
    <w:p w:rsidR="00255280" w:rsidRPr="00E61458" w:rsidRDefault="00255280" w:rsidP="00E61458">
      <w:pPr>
        <w:numPr>
          <w:ilvl w:val="0"/>
          <w:numId w:val="2"/>
        </w:numPr>
        <w:tabs>
          <w:tab w:val="left" w:pos="9604"/>
        </w:tabs>
        <w:overflowPunct/>
        <w:autoSpaceDE/>
        <w:autoSpaceDN/>
        <w:adjustRightInd/>
        <w:ind w:right="-26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извършена профилактика н</w:t>
      </w:r>
      <w:r w:rsidRPr="00E61458">
        <w:rPr>
          <w:rFonts w:ascii="Times New Roman" w:hAnsi="Times New Roman" w:cs="Times New Roman"/>
          <w:sz w:val="24"/>
          <w:szCs w:val="24"/>
          <w:lang w:val="bg-BG"/>
        </w:rPr>
        <w:t>аличната техника бе проверена и подготвена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работа</w:t>
      </w:r>
      <w:r w:rsidRPr="00E6145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55280" w:rsidRPr="00E61458" w:rsidRDefault="00255280" w:rsidP="00E61458">
      <w:pPr>
        <w:numPr>
          <w:ilvl w:val="0"/>
          <w:numId w:val="2"/>
        </w:numPr>
        <w:tabs>
          <w:tab w:val="left" w:pos="9604"/>
        </w:tabs>
        <w:overflowPunct/>
        <w:autoSpaceDE/>
        <w:autoSpaceDN/>
        <w:adjustRightInd/>
        <w:ind w:right="-26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E61458">
        <w:rPr>
          <w:rFonts w:ascii="Times New Roman" w:hAnsi="Times New Roman" w:cs="Times New Roman"/>
          <w:sz w:val="24"/>
          <w:szCs w:val="24"/>
          <w:lang w:val="bg-BG"/>
        </w:rPr>
        <w:t>Осигуриха се необходимите консумативи, съобразно нуждите на всяка ОСЗ;</w:t>
      </w:r>
    </w:p>
    <w:p w:rsidR="00255280" w:rsidRDefault="00255280" w:rsidP="00E61458">
      <w:pPr>
        <w:numPr>
          <w:ilvl w:val="0"/>
          <w:numId w:val="2"/>
        </w:numPr>
        <w:tabs>
          <w:tab w:val="left" w:pos="9604"/>
        </w:tabs>
        <w:overflowPunct/>
        <w:autoSpaceDE/>
        <w:autoSpaceDN/>
        <w:adjustRightInd/>
        <w:ind w:right="-26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E61458">
        <w:rPr>
          <w:rFonts w:ascii="Times New Roman" w:hAnsi="Times New Roman" w:cs="Times New Roman"/>
          <w:sz w:val="24"/>
          <w:szCs w:val="24"/>
          <w:lang w:val="bg-BG"/>
        </w:rPr>
        <w:t>Архивните доси</w:t>
      </w:r>
      <w:r>
        <w:rPr>
          <w:rFonts w:ascii="Times New Roman" w:hAnsi="Times New Roman" w:cs="Times New Roman"/>
          <w:sz w:val="24"/>
          <w:szCs w:val="24"/>
          <w:lang w:val="bg-BG"/>
        </w:rPr>
        <w:t>ета бяха проверени и подготвени;</w:t>
      </w:r>
    </w:p>
    <w:p w:rsidR="00255280" w:rsidRDefault="00255280" w:rsidP="00562C05">
      <w:pPr>
        <w:numPr>
          <w:ilvl w:val="0"/>
          <w:numId w:val="2"/>
        </w:numPr>
        <w:tabs>
          <w:tab w:val="left" w:pos="9604"/>
        </w:tabs>
        <w:overflowPunct/>
        <w:autoSpaceDE/>
        <w:autoSpaceDN/>
        <w:adjustRightInd/>
        <w:ind w:right="-26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Проведоха се опреснителни курсове за работа с ИСАК, а новоназначените служители преминаха успешно курс на обучение, проведен от представители на ОДЗ.</w:t>
      </w:r>
    </w:p>
    <w:p w:rsidR="00255280" w:rsidRDefault="00255280" w:rsidP="009C0F7A">
      <w:pPr>
        <w:tabs>
          <w:tab w:val="left" w:pos="9604"/>
        </w:tabs>
        <w:overflowPunct/>
        <w:autoSpaceDE/>
        <w:autoSpaceDN/>
        <w:adjustRightInd/>
        <w:ind w:left="360" w:right="-26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</w:t>
      </w:r>
      <w:r w:rsidRPr="00517E1D">
        <w:rPr>
          <w:rFonts w:ascii="Times New Roman" w:hAnsi="Times New Roman" w:cs="Times New Roman"/>
          <w:sz w:val="24"/>
          <w:szCs w:val="24"/>
          <w:lang w:val="bg-BG"/>
        </w:rPr>
        <w:t>В област Кърджали Кампания 201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517E1D">
        <w:rPr>
          <w:rFonts w:ascii="Times New Roman" w:hAnsi="Times New Roman" w:cs="Times New Roman"/>
          <w:sz w:val="24"/>
          <w:szCs w:val="24"/>
          <w:lang w:val="bg-BG"/>
        </w:rPr>
        <w:t>г. протече изключително активно. Броят на регистрираните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заявления общо за областта е 15</w:t>
      </w:r>
      <w:r w:rsidRPr="00517E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923</w:t>
      </w:r>
      <w:r w:rsidRPr="00517E1D">
        <w:rPr>
          <w:rFonts w:ascii="Times New Roman" w:hAnsi="Times New Roman" w:cs="Times New Roman"/>
          <w:sz w:val="24"/>
          <w:szCs w:val="24"/>
          <w:lang w:val="bg-BG"/>
        </w:rPr>
        <w:t xml:space="preserve"> бр., което е с </w:t>
      </w:r>
      <w:r>
        <w:rPr>
          <w:rFonts w:ascii="Times New Roman" w:hAnsi="Times New Roman" w:cs="Times New Roman"/>
          <w:sz w:val="24"/>
          <w:szCs w:val="24"/>
          <w:lang w:val="bg-BG"/>
        </w:rPr>
        <w:t>373 заявления по-малко</w:t>
      </w:r>
      <w:r w:rsidRPr="00517E1D">
        <w:rPr>
          <w:rFonts w:ascii="Times New Roman" w:hAnsi="Times New Roman" w:cs="Times New Roman"/>
          <w:sz w:val="24"/>
          <w:szCs w:val="24"/>
          <w:lang w:val="bg-BG"/>
        </w:rPr>
        <w:t xml:space="preserve"> спрямо 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17E1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таблица 11 са посочени приетите заявления по общини.</w:t>
      </w:r>
    </w:p>
    <w:p w:rsidR="00255280" w:rsidRDefault="00255280" w:rsidP="00B155B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255280" w:rsidRPr="00B155B8" w:rsidRDefault="00255280" w:rsidP="00B155B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Таблица 11</w:t>
      </w:r>
    </w:p>
    <w:p w:rsidR="00255280" w:rsidRDefault="00255280" w:rsidP="009C0F7A">
      <w:pPr>
        <w:tabs>
          <w:tab w:val="left" w:pos="9604"/>
        </w:tabs>
        <w:overflowPunct/>
        <w:autoSpaceDE/>
        <w:autoSpaceDN/>
        <w:adjustRightInd/>
        <w:ind w:left="360" w:right="-26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3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3969"/>
      </w:tblGrid>
      <w:tr w:rsidR="00255280" w:rsidRPr="00693227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Община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Бр.приети заявления за подпомагане 2017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Бр.прие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 заявления за подпомагане 2018 г.</w:t>
            </w:r>
          </w:p>
        </w:tc>
      </w:tr>
      <w:tr w:rsidR="00255280" w:rsidRPr="00693227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Ардино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9C0F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</w:tr>
      <w:tr w:rsidR="00255280" w:rsidRPr="00693227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Джебел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9C0F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</w:tr>
      <w:tr w:rsidR="00255280" w:rsidRPr="00693227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Кирково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9C0F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4314</w:t>
            </w:r>
          </w:p>
        </w:tc>
      </w:tr>
      <w:tr w:rsidR="00255280" w:rsidRPr="00693227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Крумовград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9C0F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4165</w:t>
            </w:r>
          </w:p>
        </w:tc>
      </w:tr>
      <w:tr w:rsidR="00255280" w:rsidRPr="00693227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Кърджали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9C0F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2730</w:t>
            </w:r>
          </w:p>
        </w:tc>
      </w:tr>
      <w:tr w:rsidR="00255280" w:rsidRPr="00693227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Момчилград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9C0F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1553</w:t>
            </w:r>
          </w:p>
        </w:tc>
      </w:tr>
      <w:tr w:rsidR="00255280" w:rsidRPr="00693227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Черноочене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9C0F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1644</w:t>
            </w:r>
          </w:p>
        </w:tc>
      </w:tr>
      <w:tr w:rsidR="00255280" w:rsidRPr="00693227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693227" w:rsidRDefault="00255280" w:rsidP="009C0F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69322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 w:rsidP="003A5B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15923</w:t>
            </w:r>
          </w:p>
        </w:tc>
      </w:tr>
    </w:tbl>
    <w:p w:rsidR="00255280" w:rsidRPr="005B3E96" w:rsidRDefault="00255280" w:rsidP="00E43E94">
      <w:pPr>
        <w:tabs>
          <w:tab w:val="left" w:pos="9604"/>
        </w:tabs>
        <w:overflowPunct/>
        <w:autoSpaceDE/>
        <w:autoSpaceDN/>
        <w:adjustRightInd/>
        <w:ind w:right="-26"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E43E94">
      <w:pPr>
        <w:ind w:left="720"/>
        <w:jc w:val="both"/>
        <w:rPr>
          <w:rFonts w:ascii="Times New Roman" w:hAnsi="Times New Roman" w:cs="Times New Roman"/>
          <w:color w:val="00FF00"/>
          <w:sz w:val="24"/>
          <w:szCs w:val="24"/>
          <w:lang w:val="bg-BG"/>
        </w:rPr>
      </w:pPr>
    </w:p>
    <w:p w:rsidR="00255280" w:rsidRDefault="00255280" w:rsidP="009844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В таблица 12 са представени най-често заявяваните култури по схемата за едино плащане на площ:</w:t>
      </w:r>
    </w:p>
    <w:p w:rsidR="00255280" w:rsidRDefault="00255280" w:rsidP="00B155B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255280" w:rsidRPr="00B155B8" w:rsidRDefault="00255280" w:rsidP="00B155B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Таблица 12</w:t>
      </w:r>
    </w:p>
    <w:p w:rsidR="00255280" w:rsidRDefault="00255280" w:rsidP="009844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6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1559"/>
        <w:gridCol w:w="1418"/>
      </w:tblGrid>
      <w:tr w:rsidR="00255280" w:rsidRPr="003B52B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3B52B6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3B52B6">
              <w:rPr>
                <w:b/>
                <w:bCs/>
                <w:lang w:val="bg-BG" w:eastAsia="bg-BG"/>
              </w:rPr>
              <w:t>Схема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3B52B6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3B52B6">
              <w:rPr>
                <w:b/>
                <w:bCs/>
                <w:lang w:val="bg-BG" w:eastAsia="bg-BG"/>
              </w:rPr>
              <w:t>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3B52B6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3B52B6">
              <w:rPr>
                <w:b/>
                <w:bCs/>
                <w:lang w:val="bg-BG" w:eastAsia="bg-BG"/>
              </w:rPr>
              <w:t>Площ 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Pr="003B52B6" w:rsidRDefault="00255280" w:rsidP="00BE6A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3B52B6">
              <w:rPr>
                <w:b/>
                <w:bCs/>
                <w:lang w:val="bg-BG" w:eastAsia="bg-BG"/>
              </w:rPr>
              <w:t>Заявл. Бр.</w:t>
            </w:r>
          </w:p>
        </w:tc>
      </w:tr>
      <w:tr w:rsidR="00255280" w:rsidRPr="003B52B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280" w:rsidRDefault="00255280">
            <w:r>
              <w:t>Постоянни или временни пасища за паша на животни (пасища и мери за паша)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12287,03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2071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Ливади за косене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1721,83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1113</w:t>
            </w:r>
          </w:p>
        </w:tc>
      </w:tr>
      <w:tr w:rsidR="00255280" w:rsidRPr="003B52B6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280" w:rsidRDefault="00255280">
            <w:r>
              <w:t>Постоянно затревени площи поддържани в състояние, годно за паша или косене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917,49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498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люцерна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870,18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623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мека пшеница-зимна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351,58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99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ПЛОЩИ С УГАРИ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224,57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109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тютюн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209,69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356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пипер на открито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194,63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248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сливи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154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орехи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155,39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137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слънчоглед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144,71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47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череши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116,28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108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детелина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89,69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28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домати на открито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79,51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81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ечемик-зимен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58,09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32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ябълки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33,16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48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овес - пролетен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30,79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80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царевица за зърно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26,17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72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КАРТОФИ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23,08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105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просо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5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Винени лозя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12</w:t>
            </w:r>
          </w:p>
        </w:tc>
      </w:tr>
      <w:tr w:rsidR="00255280" w:rsidRPr="003B52B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СЕПП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r>
              <w:t>Десертни лозя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80" w:rsidRDefault="00255280">
            <w:pPr>
              <w:jc w:val="right"/>
            </w:pPr>
            <w:r>
              <w:t>26</w:t>
            </w:r>
          </w:p>
        </w:tc>
      </w:tr>
    </w:tbl>
    <w:p w:rsidR="00255280" w:rsidRDefault="00255280" w:rsidP="00E43E94">
      <w:pPr>
        <w:ind w:left="720"/>
        <w:jc w:val="both"/>
        <w:rPr>
          <w:rFonts w:ascii="Times New Roman" w:hAnsi="Times New Roman" w:cs="Times New Roman"/>
          <w:color w:val="00FF00"/>
          <w:sz w:val="24"/>
          <w:szCs w:val="24"/>
          <w:lang w:val="bg-BG"/>
        </w:rPr>
      </w:pPr>
    </w:p>
    <w:p w:rsidR="00255280" w:rsidRDefault="00255280" w:rsidP="009844AF">
      <w:pPr>
        <w:jc w:val="both"/>
        <w:rPr>
          <w:rFonts w:ascii="Times New Roman" w:hAnsi="Times New Roman" w:cs="Times New Roman"/>
          <w:color w:val="00FF00"/>
          <w:sz w:val="24"/>
          <w:szCs w:val="24"/>
          <w:lang w:val="bg-BG"/>
        </w:rPr>
      </w:pPr>
    </w:p>
    <w:p w:rsidR="00255280" w:rsidRDefault="00255280" w:rsidP="009844AF">
      <w:pPr>
        <w:jc w:val="both"/>
        <w:rPr>
          <w:rFonts w:ascii="Times New Roman" w:hAnsi="Times New Roman" w:cs="Times New Roman"/>
          <w:color w:val="00FF00"/>
          <w:sz w:val="24"/>
          <w:szCs w:val="24"/>
          <w:lang w:val="bg-BG"/>
        </w:rPr>
      </w:pPr>
    </w:p>
    <w:p w:rsidR="00255280" w:rsidRDefault="00255280" w:rsidP="009844AF">
      <w:pPr>
        <w:jc w:val="both"/>
        <w:rPr>
          <w:rFonts w:ascii="Times New Roman" w:hAnsi="Times New Roman" w:cs="Times New Roman"/>
          <w:color w:val="00FF00"/>
          <w:sz w:val="24"/>
          <w:szCs w:val="24"/>
          <w:lang w:val="bg-BG"/>
        </w:rPr>
      </w:pPr>
    </w:p>
    <w:p w:rsidR="00255280" w:rsidRDefault="00255280" w:rsidP="009844AF">
      <w:pPr>
        <w:jc w:val="both"/>
        <w:rPr>
          <w:rFonts w:ascii="Times New Roman" w:hAnsi="Times New Roman" w:cs="Times New Roman"/>
          <w:color w:val="00FF00"/>
          <w:sz w:val="24"/>
          <w:szCs w:val="24"/>
          <w:lang w:val="bg-BG"/>
        </w:rPr>
      </w:pPr>
    </w:p>
    <w:p w:rsidR="00255280" w:rsidRDefault="00255280" w:rsidP="009844AF">
      <w:pPr>
        <w:jc w:val="both"/>
        <w:rPr>
          <w:rFonts w:ascii="Times New Roman" w:hAnsi="Times New Roman" w:cs="Times New Roman"/>
          <w:color w:val="00FF00"/>
          <w:sz w:val="24"/>
          <w:szCs w:val="24"/>
          <w:lang w:val="bg-BG"/>
        </w:rPr>
      </w:pPr>
    </w:p>
    <w:p w:rsidR="00255280" w:rsidRPr="00B72AE5" w:rsidRDefault="00255280" w:rsidP="00B155B8">
      <w:pPr>
        <w:overflowPunct/>
        <w:autoSpaceDE/>
        <w:autoSpaceDN/>
        <w:adjustRightInd/>
        <w:ind w:left="710"/>
        <w:jc w:val="both"/>
        <w:textAlignment w:val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  <w:r w:rsidRPr="00B72AE5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V</w:t>
      </w:r>
      <w:r w:rsidRPr="00B72AE5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. АГРАРНО РАЗВИТИЕ</w:t>
      </w:r>
    </w:p>
    <w:p w:rsidR="00255280" w:rsidRPr="009B1933" w:rsidRDefault="00255280" w:rsidP="002F463D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</w:pPr>
    </w:p>
    <w:p w:rsidR="00255280" w:rsidRPr="00844FDE" w:rsidRDefault="00255280" w:rsidP="00844F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7876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изпълнение на Стратегията за развитие на млечното животновъдство и подобряване качеството на суровото краве мляко </w:t>
      </w:r>
      <w:r>
        <w:rPr>
          <w:rFonts w:ascii="Times New Roman" w:hAnsi="Times New Roman" w:cs="Times New Roman"/>
          <w:sz w:val="24"/>
          <w:szCs w:val="24"/>
          <w:lang w:val="bg-BG"/>
        </w:rPr>
        <w:t>в област Кърджали към 18.02.2019</w:t>
      </w:r>
      <w:r w:rsidRPr="00817876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44FDE">
        <w:rPr>
          <w:rFonts w:ascii="Times New Roman" w:hAnsi="Times New Roman" w:cs="Times New Roman"/>
          <w:sz w:val="24"/>
          <w:szCs w:val="24"/>
          <w:lang w:val="bg-BG"/>
        </w:rPr>
        <w:t xml:space="preserve">добрените изкупвачи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сурово краве, овче, козе и биволско мляко съгласно чл.55д, ал.4 от Закона за прилагане на общата организация на пазарите на земеделски продукти на европейския съюз </w:t>
      </w:r>
      <w:r w:rsidRPr="00844FDE">
        <w:rPr>
          <w:rFonts w:ascii="Times New Roman" w:hAnsi="Times New Roman" w:cs="Times New Roman"/>
          <w:sz w:val="24"/>
          <w:szCs w:val="24"/>
          <w:lang w:val="bg-BG"/>
        </w:rPr>
        <w:t xml:space="preserve">в цялата област </w:t>
      </w:r>
      <w:r>
        <w:rPr>
          <w:rFonts w:ascii="Times New Roman" w:hAnsi="Times New Roman" w:cs="Times New Roman"/>
          <w:sz w:val="24"/>
          <w:szCs w:val="24"/>
          <w:lang w:val="bg-BG"/>
        </w:rPr>
        <w:t>са 10 бр. (4</w:t>
      </w:r>
      <w:r w:rsidRPr="00844FDE">
        <w:rPr>
          <w:rFonts w:ascii="Times New Roman" w:hAnsi="Times New Roman" w:cs="Times New Roman"/>
          <w:sz w:val="24"/>
          <w:szCs w:val="24"/>
          <w:lang w:val="bg-BG"/>
        </w:rPr>
        <w:t xml:space="preserve"> бр. в община Ардино, 1 бр. в община Дж</w:t>
      </w:r>
      <w:r>
        <w:rPr>
          <w:rFonts w:ascii="Times New Roman" w:hAnsi="Times New Roman" w:cs="Times New Roman"/>
          <w:sz w:val="24"/>
          <w:szCs w:val="24"/>
          <w:lang w:val="bg-BG"/>
        </w:rPr>
        <w:t>ебел, 1 бр. в община Момчилград, 2 бр. в община Кирково и 1</w:t>
      </w:r>
      <w:r w:rsidRPr="00844FDE">
        <w:rPr>
          <w:rFonts w:ascii="Times New Roman" w:hAnsi="Times New Roman" w:cs="Times New Roman"/>
          <w:sz w:val="24"/>
          <w:szCs w:val="24"/>
          <w:lang w:val="bg-BG"/>
        </w:rPr>
        <w:t xml:space="preserve"> бр. в община Кърджали), млекопреработвате</w:t>
      </w:r>
      <w:r>
        <w:rPr>
          <w:rFonts w:ascii="Times New Roman" w:hAnsi="Times New Roman" w:cs="Times New Roman"/>
          <w:sz w:val="24"/>
          <w:szCs w:val="24"/>
          <w:lang w:val="bg-BG"/>
        </w:rPr>
        <w:t>лните предприятия в региона са 8</w:t>
      </w:r>
      <w:r w:rsidRPr="00844FDE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>
        <w:rPr>
          <w:rFonts w:ascii="Times New Roman" w:hAnsi="Times New Roman" w:cs="Times New Roman"/>
          <w:sz w:val="24"/>
          <w:szCs w:val="24"/>
          <w:lang w:val="bg-BG"/>
        </w:rPr>
        <w:t>, а действащите кланиците са четири</w:t>
      </w:r>
      <w:r w:rsidRPr="00844FD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55280" w:rsidRPr="00844FDE" w:rsidRDefault="00255280" w:rsidP="00844F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4FDE">
        <w:rPr>
          <w:rFonts w:ascii="Times New Roman" w:hAnsi="Times New Roman" w:cs="Times New Roman"/>
          <w:sz w:val="24"/>
          <w:szCs w:val="24"/>
          <w:lang w:val="bg-BG"/>
        </w:rPr>
        <w:t>Сектора на пчеларството се характеризира с повишен интерес от страна на местните пчелари. Създаденото пчеларско дружество “Акация” работи много активно и поддържа тесни контакти с областна дирекция ”Земеделие” гр. Кърджали.</w:t>
      </w:r>
    </w:p>
    <w:p w:rsidR="00255280" w:rsidRPr="00303D9F" w:rsidRDefault="00255280" w:rsidP="00844F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3D9F">
        <w:rPr>
          <w:rFonts w:ascii="Times New Roman" w:hAnsi="Times New Roman" w:cs="Times New Roman"/>
          <w:sz w:val="24"/>
          <w:szCs w:val="24"/>
          <w:lang w:val="bg-BG"/>
        </w:rPr>
        <w:t xml:space="preserve">В ОДЗ Кърджали се поддържа регистър на елитните и племенни пчелни майки и отводки. До настоящия момент 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стопанствата са две – в с. Рът</w:t>
      </w:r>
      <w:r w:rsidRPr="00303D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общ. Джебел </w:t>
      </w:r>
      <w:r w:rsidRPr="00303D9F">
        <w:rPr>
          <w:rFonts w:ascii="Times New Roman" w:hAnsi="Times New Roman" w:cs="Times New Roman"/>
          <w:sz w:val="24"/>
          <w:szCs w:val="24"/>
          <w:lang w:val="bg-BG"/>
        </w:rPr>
        <w:t xml:space="preserve">и с. </w:t>
      </w:r>
      <w:r>
        <w:rPr>
          <w:rFonts w:ascii="Times New Roman" w:hAnsi="Times New Roman" w:cs="Times New Roman"/>
          <w:sz w:val="24"/>
          <w:szCs w:val="24"/>
          <w:lang w:val="bg-BG"/>
        </w:rPr>
        <w:t>Седловина</w:t>
      </w:r>
      <w:r w:rsidRPr="00303D9F">
        <w:rPr>
          <w:rFonts w:ascii="Times New Roman" w:hAnsi="Times New Roman" w:cs="Times New Roman"/>
          <w:sz w:val="24"/>
          <w:szCs w:val="24"/>
          <w:lang w:val="bg-BG"/>
        </w:rPr>
        <w:t>, общ. Кърджали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 брой пчелни семейства – 410</w:t>
      </w:r>
      <w:r w:rsidRPr="00303D9F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Pr="005773CE">
        <w:t xml:space="preserve"> </w:t>
      </w:r>
    </w:p>
    <w:p w:rsidR="00255280" w:rsidRPr="00B72AE5" w:rsidRDefault="00255280" w:rsidP="00194AD0">
      <w:pPr>
        <w:pStyle w:val="TimesNewRoman"/>
        <w:ind w:firstLine="0"/>
        <w:rPr>
          <w:rFonts w:cs="Arial"/>
          <w:lang w:val="en-AU"/>
        </w:rPr>
      </w:pPr>
      <w:r w:rsidRPr="00B72AE5">
        <w:rPr>
          <w:rStyle w:val="FontStyle19"/>
          <w:rFonts w:ascii="Arial" w:hAnsi="Arial" w:cs="Arial"/>
          <w:sz w:val="24"/>
          <w:szCs w:val="24"/>
        </w:rPr>
        <w:t xml:space="preserve">            В изпълнение на заповед № РД09-78/08.02.2018г. на министъра на земеделието и храните, със заповед № РД-11-86/12.03.2018г. </w:t>
      </w:r>
      <w:r w:rsidRPr="00B72AE5">
        <w:rPr>
          <w:rFonts w:cs="Arial"/>
        </w:rPr>
        <w:t xml:space="preserve">на директора на областна дирекция „Земеделие” гр. Кърджали бе назначена областна експертна комисия за провеждане на обследвания на площите със земеделски култури. Комисията </w:t>
      </w:r>
      <w:r w:rsidRPr="00B72AE5">
        <w:rPr>
          <w:rStyle w:val="FontStyle19"/>
          <w:rFonts w:ascii="Arial" w:hAnsi="Arial" w:cs="Arial"/>
          <w:sz w:val="24"/>
          <w:szCs w:val="24"/>
        </w:rPr>
        <w:t xml:space="preserve">извърши пълно обследване - на 100% от заетите площи с есенни култури в землищата на с. Странджево, с. Поточница, с. Морянци, с. Котлари, с. Бряговец общ. Крумовград, с.Миладиново, с. Рудина, с. Сестринско </w:t>
      </w:r>
      <w:r w:rsidRPr="00B72AE5">
        <w:rPr>
          <w:rStyle w:val="FontStyle11"/>
          <w:rFonts w:ascii="Arial" w:hAnsi="Arial" w:cs="Arial"/>
          <w:b w:val="0"/>
          <w:bCs w:val="0"/>
        </w:rPr>
        <w:t>общ. Кърджали, с.Пчеларово, общ. Черноочене. В обследването участие взеха</w:t>
      </w:r>
      <w:r w:rsidRPr="00CC675A">
        <w:rPr>
          <w:rStyle w:val="FontStyle11"/>
          <w:rFonts w:ascii="Arial" w:hAnsi="Arial" w:cs="Arial"/>
          <w:b w:val="0"/>
          <w:bCs w:val="0"/>
        </w:rPr>
        <w:t xml:space="preserve"> </w:t>
      </w:r>
      <w:r w:rsidRPr="00B72AE5">
        <w:rPr>
          <w:rStyle w:val="FontStyle11"/>
          <w:rFonts w:ascii="Arial" w:hAnsi="Arial" w:cs="Arial"/>
          <w:b w:val="0"/>
          <w:bCs w:val="0"/>
        </w:rPr>
        <w:t>представители на ОДЗ Кърджали, ОДВХ-отдел КХ, ОД на ДФЗ-РТИ и</w:t>
      </w:r>
      <w:r w:rsidRPr="00CC675A">
        <w:rPr>
          <w:rStyle w:val="FontStyle11"/>
          <w:rFonts w:ascii="Arial" w:hAnsi="Arial" w:cs="Arial"/>
          <w:b w:val="0"/>
          <w:bCs w:val="0"/>
        </w:rPr>
        <w:t xml:space="preserve"> </w:t>
      </w:r>
      <w:r w:rsidRPr="00B72AE5">
        <w:rPr>
          <w:rStyle w:val="FontStyle11"/>
          <w:rFonts w:ascii="Arial" w:hAnsi="Arial" w:cs="Arial"/>
          <w:b w:val="0"/>
          <w:bCs w:val="0"/>
        </w:rPr>
        <w:t xml:space="preserve">ОСЗ за съответните общини. Обект на обследване са 6 бр. стопанства по предварително  изготвен поименен списък. За всяко наблюдавано стопанства е попълнен отделен наблюдателен лист. </w:t>
      </w:r>
      <w:r w:rsidRPr="00B72AE5">
        <w:rPr>
          <w:rFonts w:cs="Arial"/>
        </w:rPr>
        <w:t xml:space="preserve">Всички посеви в област Кърджали бяха в добро състояние. </w:t>
      </w:r>
    </w:p>
    <w:p w:rsidR="00255280" w:rsidRPr="004C5562" w:rsidRDefault="00255280" w:rsidP="00A13E2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30D1">
        <w:rPr>
          <w:rFonts w:ascii="Times New Roman" w:hAnsi="Times New Roman" w:cs="Times New Roman"/>
          <w:lang w:val="bg-BG"/>
        </w:rPr>
        <w:t xml:space="preserve">           </w:t>
      </w:r>
      <w:r>
        <w:rPr>
          <w:sz w:val="24"/>
          <w:szCs w:val="24"/>
          <w:lang w:val="bg-BG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периода 01.01.2018г. – 31.12.2018</w:t>
      </w:r>
      <w:r w:rsidRPr="004C5562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4C556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бяха постъпили 254</w:t>
      </w:r>
      <w:r w:rsidRPr="004C5562">
        <w:rPr>
          <w:rFonts w:ascii="Times New Roman" w:hAnsi="Times New Roman" w:cs="Times New Roman"/>
          <w:sz w:val="24"/>
          <w:szCs w:val="24"/>
          <w:lang w:val="bg-BG"/>
        </w:rPr>
        <w:t xml:space="preserve"> броя заявления от земеделски стопани </w:t>
      </w:r>
      <w:r>
        <w:rPr>
          <w:rFonts w:ascii="Times New Roman" w:hAnsi="Times New Roman" w:cs="Times New Roman"/>
          <w:sz w:val="24"/>
          <w:szCs w:val="24"/>
          <w:lang w:val="bg-BG"/>
        </w:rPr>
        <w:t>за пропаднали</w:t>
      </w:r>
      <w:r w:rsidRPr="00396E12">
        <w:rPr>
          <w:rFonts w:ascii="Times New Roman" w:hAnsi="Times New Roman" w:cs="Times New Roman"/>
          <w:sz w:val="24"/>
          <w:szCs w:val="24"/>
          <w:lang w:val="bg-BG"/>
        </w:rPr>
        <w:t xml:space="preserve"> на 100% площи засети с </w:t>
      </w:r>
      <w:r w:rsidRPr="00C90819">
        <w:rPr>
          <w:rFonts w:ascii="Times New Roman" w:hAnsi="Times New Roman" w:cs="Times New Roman"/>
          <w:sz w:val="24"/>
          <w:szCs w:val="24"/>
          <w:lang w:val="bg-BG"/>
        </w:rPr>
        <w:t>тютюн, пипер на открито, ябълки, пшеница, сладка царевица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C5562">
        <w:rPr>
          <w:rFonts w:ascii="Times New Roman" w:hAnsi="Times New Roman" w:cs="Times New Roman"/>
          <w:sz w:val="24"/>
          <w:szCs w:val="24"/>
          <w:lang w:val="bg-BG" w:eastAsia="bg-BG"/>
        </w:rPr>
        <w:t>вследствие на</w:t>
      </w:r>
      <w:r w:rsidRPr="004C556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C5562">
        <w:rPr>
          <w:rFonts w:ascii="Times New Roman" w:hAnsi="Times New Roman" w:cs="Times New Roman"/>
          <w:sz w:val="24"/>
          <w:szCs w:val="24"/>
          <w:lang w:val="bg-BG" w:eastAsia="bg-BG"/>
        </w:rPr>
        <w:t>не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благоприятни климатични условия </w:t>
      </w:r>
      <w:r w:rsidRPr="004C5562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„Градушка”.</w:t>
      </w:r>
    </w:p>
    <w:p w:rsidR="00255280" w:rsidRPr="00C90819" w:rsidRDefault="00255280" w:rsidP="00C908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819">
        <w:rPr>
          <w:rFonts w:ascii="Times New Roman" w:hAnsi="Times New Roman" w:cs="Times New Roman"/>
          <w:sz w:val="24"/>
          <w:szCs w:val="24"/>
          <w:lang w:val="bg-BG"/>
        </w:rPr>
        <w:t xml:space="preserve">          Експертна комисия, назначена със заповед </w:t>
      </w:r>
      <w:r w:rsidRPr="00C90819">
        <w:rPr>
          <w:rStyle w:val="FontStyle19"/>
          <w:sz w:val="24"/>
          <w:szCs w:val="24"/>
        </w:rPr>
        <w:t xml:space="preserve">№ </w:t>
      </w:r>
      <w:r w:rsidRPr="00C90819">
        <w:rPr>
          <w:rStyle w:val="FontStyle19"/>
          <w:sz w:val="24"/>
          <w:szCs w:val="24"/>
          <w:lang w:val="bg-BG"/>
        </w:rPr>
        <w:t>РД</w:t>
      </w:r>
      <w:r w:rsidRPr="00C90819">
        <w:rPr>
          <w:rStyle w:val="FontStyle19"/>
          <w:sz w:val="24"/>
          <w:szCs w:val="24"/>
        </w:rPr>
        <w:t>-</w:t>
      </w:r>
      <w:r w:rsidRPr="00C90819">
        <w:rPr>
          <w:rStyle w:val="FontStyle19"/>
          <w:sz w:val="24"/>
          <w:szCs w:val="24"/>
          <w:lang w:val="bg-BG"/>
        </w:rPr>
        <w:t>11-86</w:t>
      </w:r>
      <w:r w:rsidRPr="00C90819">
        <w:rPr>
          <w:rStyle w:val="FontStyle19"/>
          <w:sz w:val="24"/>
          <w:szCs w:val="24"/>
        </w:rPr>
        <w:t>/</w:t>
      </w:r>
      <w:r w:rsidRPr="00C90819">
        <w:rPr>
          <w:rStyle w:val="FontStyle19"/>
          <w:sz w:val="24"/>
          <w:szCs w:val="24"/>
          <w:lang w:val="bg-BG"/>
        </w:rPr>
        <w:t>12</w:t>
      </w:r>
      <w:r w:rsidRPr="00C90819">
        <w:rPr>
          <w:rStyle w:val="FontStyle19"/>
          <w:sz w:val="24"/>
          <w:szCs w:val="24"/>
        </w:rPr>
        <w:t>.0</w:t>
      </w:r>
      <w:r w:rsidRPr="00C90819">
        <w:rPr>
          <w:rStyle w:val="FontStyle19"/>
          <w:sz w:val="24"/>
          <w:szCs w:val="24"/>
          <w:lang w:val="bg-BG"/>
        </w:rPr>
        <w:t>3</w:t>
      </w:r>
      <w:r w:rsidRPr="00C90819">
        <w:rPr>
          <w:rStyle w:val="FontStyle19"/>
          <w:sz w:val="24"/>
          <w:szCs w:val="24"/>
        </w:rPr>
        <w:t>.201</w:t>
      </w:r>
      <w:r w:rsidRPr="00C90819">
        <w:rPr>
          <w:rStyle w:val="FontStyle19"/>
          <w:sz w:val="24"/>
          <w:szCs w:val="24"/>
          <w:lang w:val="bg-BG"/>
        </w:rPr>
        <w:t>8</w:t>
      </w:r>
      <w:r w:rsidRPr="00C90819">
        <w:rPr>
          <w:rStyle w:val="FontStyle19"/>
          <w:sz w:val="24"/>
          <w:szCs w:val="24"/>
        </w:rPr>
        <w:t xml:space="preserve"> г</w:t>
      </w:r>
      <w:r w:rsidRPr="00C90819">
        <w:rPr>
          <w:rStyle w:val="FontStyle19"/>
          <w:sz w:val="24"/>
          <w:szCs w:val="24"/>
          <w:lang w:val="bg-BG"/>
        </w:rPr>
        <w:t>.</w:t>
      </w:r>
      <w:r w:rsidRPr="00C90819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„Земеделие” гр. Кърджали, извърши проверка на място и констатира пропаднали площи в размер на 187,32 ха. За нанесените щети има издадени 50 броя констативни протоколи с размер на пропадналата площ 47,91 ха. и 204 бр. обикновени протоколи с размер на пропадналата площ 139,41 ха.</w:t>
      </w:r>
    </w:p>
    <w:p w:rsidR="00255280" w:rsidRPr="00D740FD" w:rsidRDefault="00255280" w:rsidP="005730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На 04 октомври 2018 година, информацията от констативните протоколи е  обобщена в регистър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,  ведно с доклад е изпратена в дирекция „Растениевъдство и биологично земеделие ”  на МЗХГ.</w:t>
      </w:r>
    </w:p>
    <w:p w:rsidR="00255280" w:rsidRPr="001C5129" w:rsidRDefault="00255280" w:rsidP="008F2D7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lang w:val="bg-BG"/>
        </w:rPr>
        <w:t xml:space="preserve">          </w:t>
      </w:r>
      <w:r w:rsidRPr="001C5129">
        <w:rPr>
          <w:rFonts w:ascii="Times New Roman" w:hAnsi="Times New Roman" w:cs="Times New Roman"/>
          <w:b/>
          <w:bCs/>
          <w:sz w:val="24"/>
          <w:szCs w:val="24"/>
          <w:lang w:val="bg-BG"/>
        </w:rPr>
        <w:t>С изменение на Закона за прилагане на общата организация на пазарите на земеделски продукти на европейския съюз /ЗПООПЗПЕС/ на областните дирекции са вменени  дейности по:</w:t>
      </w:r>
    </w:p>
    <w:p w:rsidR="00255280" w:rsidRDefault="00255280" w:rsidP="008F2D7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ежемесечен прием на декларации за места на съхранение на зърно и на налично количество зърно в тях;</w:t>
      </w:r>
    </w:p>
    <w:p w:rsidR="00255280" w:rsidRDefault="00255280" w:rsidP="008F2D7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 на всяко тримесечие на декларации от земеделските производители за произведеното и наличното зърно по видове, като през периода от юли да септември приемът на декларациите за пшеница е ежемесечен;</w:t>
      </w:r>
    </w:p>
    <w:p w:rsidR="00255280" w:rsidRDefault="00255280" w:rsidP="008F2D7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проверки на обектите за съхранение на зърно и за лицата и на земеделските стопанства за достоверността  на данните, вписани в декларациите;</w:t>
      </w:r>
    </w:p>
    <w:p w:rsidR="00255280" w:rsidRDefault="00255280" w:rsidP="008F2D7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вземане на проби за представително окачествяване на реколтата от пшеница, ечемик, слънчоглед и царевица;</w:t>
      </w:r>
    </w:p>
    <w:p w:rsidR="00255280" w:rsidRDefault="00255280" w:rsidP="008F2D7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водене и съхраняване на бази данни и за лицата, които стопанисват обектите за съхранение на зърно;</w:t>
      </w:r>
    </w:p>
    <w:p w:rsidR="00255280" w:rsidRDefault="00255280" w:rsidP="008F2D7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съставяне на актове при установяване на нарушения.</w:t>
      </w:r>
    </w:p>
    <w:p w:rsidR="00255280" w:rsidRDefault="00255280" w:rsidP="003B32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територията на област Кърджали към 31.12.2018г. има 3 броя регистрирани обекти за съхранение на зърно. Ежемесечно се извършва прием на 3 броя декларации по приложение №2, а на тримесечие в това число за м. юли и август декларации по приложение №3 – 5 броя.</w:t>
      </w:r>
    </w:p>
    <w:p w:rsidR="00255280" w:rsidRPr="009304CE" w:rsidRDefault="00255280" w:rsidP="003B32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Взети и изпратени са проби за национално окачествяване на реколта 2018г., пшеница – 2 бр., ечемик – 1бр. и слънчоглед 1 бр.</w:t>
      </w:r>
    </w:p>
    <w:p w:rsidR="00255280" w:rsidRPr="00C342B0" w:rsidRDefault="00255280" w:rsidP="005730D1">
      <w:pPr>
        <w:jc w:val="both"/>
        <w:rPr>
          <w:lang w:val="bg-BG"/>
        </w:rPr>
      </w:pPr>
    </w:p>
    <w:p w:rsidR="00255280" w:rsidRPr="00F65E22" w:rsidRDefault="00255280" w:rsidP="00336792">
      <w:pPr>
        <w:overflowPunct/>
        <w:autoSpaceDE/>
        <w:autoSpaceDN/>
        <w:adjustRightInd/>
        <w:ind w:left="1080" w:right="-72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B72AE5" w:rsidRDefault="00255280" w:rsidP="00255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  <w:r w:rsidRPr="00B72AE5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 xml:space="preserve">             </w:t>
      </w:r>
      <w:r w:rsidRPr="00B72AE5"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Pr="00B72AE5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І. АГРОСТАТИСТИКА</w:t>
      </w:r>
    </w:p>
    <w:p w:rsidR="00255280" w:rsidRPr="002558F5" w:rsidRDefault="00255280" w:rsidP="002558F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55280" w:rsidRPr="002558F5" w:rsidRDefault="00255280" w:rsidP="002558F5">
      <w:pPr>
        <w:ind w:left="710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  Събиране на статистическа информация</w:t>
      </w:r>
    </w:p>
    <w:p w:rsidR="00255280" w:rsidRPr="002558F5" w:rsidRDefault="00255280" w:rsidP="002558F5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В съответствие с Програмата за провеждане на статистически изследвания през изминалата 201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г., отдел „Агростатистика”  проведе следните наблюдения:</w:t>
      </w:r>
    </w:p>
    <w:p w:rsidR="00255280" w:rsidRPr="002558F5" w:rsidRDefault="00255280" w:rsidP="002558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Pr="002558F5" w:rsidRDefault="00255280" w:rsidP="002558F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Ежемесечни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– при тези наблюдения се работи с всички съществуващи на територията на областта предприятия и 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приключват с годишна анкета: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Дейност на млекопреработвателни предприятия през 201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г.;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Дейност на кланиците за червени меса през 201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</w:t>
      </w:r>
    </w:p>
    <w:p w:rsidR="00255280" w:rsidRPr="002558F5" w:rsidRDefault="00255280" w:rsidP="002558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Pr="002558F5" w:rsidRDefault="00255280" w:rsidP="002558F5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Продуктови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– тези наблюдения се извършват един път в годината на база извадка, подадена от отдел „Агростатистика” към МЗХ: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Използване и заетост на територията на страната през 201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(БАНСИК) –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 общо 91 сегмента 27 бр. са с горска заетост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;</w:t>
      </w:r>
    </w:p>
    <w:p w:rsidR="00255280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Добиви от земеделски култури – реколта 201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 –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основната извадка попадат общо 182 бр. стопанства,  в.ч. стопанства анкетирани от други области са 27 бр.</w:t>
      </w:r>
      <w:r w:rsidRPr="002558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5280" w:rsidRDefault="00255280" w:rsidP="00255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Pr="002558F5" w:rsidRDefault="00255280" w:rsidP="00255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Производство на плодове през 201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 –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стопанствата за анкетиране общо за областта са 170 бр., в.ч. нови стопанства създали овощни насаждения през стопанската 201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en-GB"/>
        </w:rPr>
        <w:t>7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/2018 година стопанства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;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Производство на зеленчуци през 2018 г. –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тук за наблюдение попадат общо 53 бр. стопанства</w:t>
      </w:r>
      <w:r w:rsidRPr="002558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ind w:right="-11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Дейност на предприятията за преработка на плодове и зеленчуци през 2018 г. –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територията на област Кърджали функционира една фирми, занимаващи се с преработвателна дейност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;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Производство на грозде и вино през 2018 г. –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наблюдение попадат общо 33 бр. стопанства</w:t>
      </w:r>
      <w:r w:rsidRPr="002558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Брой на селскостопанските животни към 01.11.201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 –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 основната извадка за наблюдение са попаднали общо </w:t>
      </w:r>
      <w:r w:rsidRPr="002558F5">
        <w:rPr>
          <w:rFonts w:ascii="Times New Roman" w:hAnsi="Times New Roman" w:cs="Times New Roman"/>
          <w:color w:val="000000"/>
          <w:sz w:val="24"/>
          <w:szCs w:val="24"/>
        </w:rPr>
        <w:t>493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стопанства, като </w:t>
      </w:r>
      <w:r w:rsidRPr="002558F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бр. от тях са прекратили дейността си, а 36 броя са нови за стопанска 2017/2018 година.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Птицевъдството в България през 2018 г. –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общо за област Кърджали са анкетирани 81 бр. стопанства, като 8 бр. от тях  са  прекратили дейността си 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;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Пчеларството в България през 201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 -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общо за област Кърджали са анкетирани 38 бр. стопанства</w:t>
      </w: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като 4 бр. от тях са нови</w:t>
      </w:r>
      <w:r w:rsidRPr="00255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280" w:rsidRPr="002558F5" w:rsidRDefault="00255280" w:rsidP="002558F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Годишна земеделска статистика.</w:t>
      </w:r>
    </w:p>
    <w:p w:rsidR="00255280" w:rsidRPr="002558F5" w:rsidRDefault="00255280" w:rsidP="002558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5280" w:rsidRPr="002558F5" w:rsidRDefault="00255280" w:rsidP="002558F5">
      <w:pPr>
        <w:numPr>
          <w:ilvl w:val="0"/>
          <w:numId w:val="4"/>
        </w:numPr>
        <w:tabs>
          <w:tab w:val="left" w:pos="648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Структурни –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през периода не се проведоха структурни  анкети.</w:t>
      </w:r>
    </w:p>
    <w:p w:rsidR="00255280" w:rsidRPr="002558F5" w:rsidRDefault="00255280" w:rsidP="002558F5">
      <w:pPr>
        <w:tabs>
          <w:tab w:val="left" w:pos="6480"/>
        </w:tabs>
        <w:ind w:left="8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55280" w:rsidRPr="002558F5" w:rsidRDefault="00255280" w:rsidP="002558F5">
      <w:pPr>
        <w:numPr>
          <w:ilvl w:val="0"/>
          <w:numId w:val="4"/>
        </w:numPr>
        <w:tabs>
          <w:tab w:val="left" w:pos="648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58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Система на земеделска счетоводна информация – </w:t>
      </w:r>
      <w:r w:rsidRPr="002558F5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През 2018 г. на територията на област Кърджали са наблюдавани и отчетени 112 стопанства, от които 106 с едностранно счетоводство и 6 с двустранно. Всяко едно от одобрените земеделски стопанства е посетено от 2 до 4 пъти през годината с цел осъществяване на контрол на качеството на информацията и отразяването й в „Дневник на стопанина”. Попълнени са съответните формуляри, всички данни са въведени в Системата, отчетени са извършените разходи.</w:t>
      </w:r>
    </w:p>
    <w:p w:rsidR="00255280" w:rsidRDefault="00255280" w:rsidP="002558F5">
      <w:pPr>
        <w:tabs>
          <w:tab w:val="left" w:pos="648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55280" w:rsidRDefault="00255280" w:rsidP="002558F5">
      <w:pPr>
        <w:tabs>
          <w:tab w:val="left" w:pos="648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55280" w:rsidRPr="00212799" w:rsidRDefault="00255280" w:rsidP="000D17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255280" w:rsidRDefault="00255280" w:rsidP="000D176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A74FA2" w:rsidRDefault="00255280" w:rsidP="0049334D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  <w:r w:rsidRPr="00A74FA2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 xml:space="preserve">         </w:t>
      </w:r>
      <w:r w:rsidRPr="00A74F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Pr="00A74FA2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ІІ. РЕГИСТРАЦИЯ И КОНТРОЛ НА ЗЕМЕДЕЛСКА И ГОРСКА ТЕХНИКА</w:t>
      </w:r>
    </w:p>
    <w:p w:rsidR="00255280" w:rsidRPr="00A74FA2" w:rsidRDefault="00255280" w:rsidP="00F4162F">
      <w:pPr>
        <w:jc w:val="both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lang w:val="bg-BG" w:eastAsia="bg-BG"/>
        </w:rPr>
      </w:pPr>
      <w:r w:rsidRPr="00A74FA2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lang w:val="bg-BG" w:eastAsia="bg-BG"/>
        </w:rPr>
        <w:t xml:space="preserve">         </w:t>
      </w:r>
    </w:p>
    <w:p w:rsidR="00255280" w:rsidRDefault="00255280" w:rsidP="002558F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</w:rPr>
        <w:t xml:space="preserve">          </w:t>
      </w:r>
      <w:r w:rsidRPr="001C512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изменение на Закона за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регистрация и контрол на земеделска и горска техника от 01.01.2016г. , в правомощията на ОД „Земеделие” гр. Кърджали са делегирани и дейности по:</w:t>
      </w:r>
    </w:p>
    <w:p w:rsidR="00255280" w:rsidRDefault="00255280" w:rsidP="002558F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регистрация, промяна, прекратяване, както и отчисляване на земеделската и горска техника;</w:t>
      </w:r>
    </w:p>
    <w:p w:rsidR="00255280" w:rsidRDefault="00255280" w:rsidP="002558F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за правоспособността на лицата, които работят с техниката, техническото състояние и безопасността на техниката;</w:t>
      </w:r>
    </w:p>
    <w:p w:rsidR="00255280" w:rsidRDefault="00255280" w:rsidP="002558F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извършване на годишни, сезонни и тематични прегледи на регистрираната техника;</w:t>
      </w:r>
    </w:p>
    <w:p w:rsidR="00255280" w:rsidRDefault="00255280" w:rsidP="002558F5">
      <w:pPr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издаването и подмяната на свидетелствата за правоспособност на територията на областта.</w:t>
      </w:r>
    </w:p>
    <w:p w:rsidR="00255280" w:rsidRPr="00A74FA2" w:rsidRDefault="00255280" w:rsidP="002558F5">
      <w:pPr>
        <w:pStyle w:val="TimesNewRoman"/>
        <w:ind w:firstLine="0"/>
        <w:rPr>
          <w:rFonts w:cs="Arial"/>
        </w:rPr>
      </w:pPr>
      <w:r w:rsidRPr="00A74FA2">
        <w:rPr>
          <w:rFonts w:cs="Arial"/>
        </w:rPr>
        <w:t xml:space="preserve">          В таблица 13 е показана информация за регистрирана по видове техника на територията на област Кърджали, както също и за периода 01.01.201</w:t>
      </w:r>
      <w:r w:rsidRPr="00A74FA2">
        <w:rPr>
          <w:rFonts w:cs="Arial"/>
          <w:lang w:val="en-US"/>
        </w:rPr>
        <w:t>8</w:t>
      </w:r>
      <w:r w:rsidRPr="00A74FA2">
        <w:rPr>
          <w:rFonts w:cs="Arial"/>
        </w:rPr>
        <w:t>г. - 31.12.201</w:t>
      </w:r>
      <w:r w:rsidRPr="00A74FA2">
        <w:rPr>
          <w:rFonts w:cs="Arial"/>
          <w:lang w:val="en-US"/>
        </w:rPr>
        <w:t>8</w:t>
      </w:r>
      <w:r w:rsidRPr="00A74FA2">
        <w:rPr>
          <w:rFonts w:cs="Arial"/>
        </w:rPr>
        <w:t xml:space="preserve">г. в Областна дирекция „Земеделие” – гр. Кърджали: </w:t>
      </w:r>
    </w:p>
    <w:p w:rsidR="00255280" w:rsidRDefault="00255280" w:rsidP="00255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</w:t>
      </w:r>
    </w:p>
    <w:p w:rsidR="00255280" w:rsidRDefault="00255280" w:rsidP="00255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255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5D9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Таблица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3</w:t>
      </w:r>
    </w:p>
    <w:p w:rsidR="00255280" w:rsidRDefault="00255280" w:rsidP="00255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983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678"/>
        <w:gridCol w:w="1397"/>
        <w:gridCol w:w="1397"/>
        <w:gridCol w:w="1397"/>
        <w:gridCol w:w="1266"/>
        <w:gridCol w:w="1283"/>
      </w:tblGrid>
      <w:tr w:rsidR="00255280" w:rsidRPr="00233B0A">
        <w:trPr>
          <w:trHeight w:val="103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№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Вид техника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Регистрирана техника за периода 01.01.201</w:t>
            </w:r>
            <w:r w:rsidRPr="006B4D7B">
              <w:rPr>
                <w:rFonts w:ascii="Times New Roman" w:hAnsi="Times New Roman" w:cs="Times New Roman"/>
                <w:lang w:eastAsia="bg-BG"/>
              </w:rPr>
              <w:t>7</w:t>
            </w:r>
            <w:r w:rsidRPr="006B4D7B">
              <w:rPr>
                <w:rFonts w:ascii="Times New Roman" w:hAnsi="Times New Roman" w:cs="Times New Roman"/>
                <w:lang w:val="bg-BG" w:eastAsia="bg-BG"/>
              </w:rPr>
              <w:t>г.-31.</w:t>
            </w:r>
            <w:r w:rsidRPr="006B4D7B">
              <w:rPr>
                <w:rFonts w:ascii="Times New Roman" w:hAnsi="Times New Roman" w:cs="Times New Roman"/>
                <w:lang w:eastAsia="bg-BG"/>
              </w:rPr>
              <w:t>12</w:t>
            </w:r>
            <w:r w:rsidRPr="006B4D7B">
              <w:rPr>
                <w:rFonts w:ascii="Times New Roman" w:hAnsi="Times New Roman" w:cs="Times New Roman"/>
                <w:lang w:val="bg-BG" w:eastAsia="bg-BG"/>
              </w:rPr>
              <w:t>.201</w:t>
            </w:r>
            <w:r w:rsidRPr="006B4D7B">
              <w:rPr>
                <w:rFonts w:ascii="Times New Roman" w:hAnsi="Times New Roman" w:cs="Times New Roman"/>
                <w:lang w:eastAsia="bg-BG"/>
              </w:rPr>
              <w:t>7</w:t>
            </w:r>
            <w:r w:rsidRPr="006B4D7B">
              <w:rPr>
                <w:rFonts w:ascii="Times New Roman" w:hAnsi="Times New Roman" w:cs="Times New Roman"/>
                <w:lang w:val="bg-BG" w:eastAsia="bg-BG"/>
              </w:rPr>
              <w:t>г.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Регистрирана техника за периода 01.01.201</w:t>
            </w:r>
            <w:r w:rsidRPr="006B4D7B">
              <w:rPr>
                <w:rFonts w:ascii="Times New Roman" w:hAnsi="Times New Roman" w:cs="Times New Roman"/>
                <w:lang w:eastAsia="bg-BG"/>
              </w:rPr>
              <w:t>8</w:t>
            </w:r>
            <w:r w:rsidRPr="006B4D7B">
              <w:rPr>
                <w:rFonts w:ascii="Times New Roman" w:hAnsi="Times New Roman" w:cs="Times New Roman"/>
                <w:lang w:val="bg-BG" w:eastAsia="bg-BG"/>
              </w:rPr>
              <w:t>г.-31.12.201</w:t>
            </w:r>
            <w:r w:rsidRPr="006B4D7B">
              <w:rPr>
                <w:rFonts w:ascii="Times New Roman" w:hAnsi="Times New Roman" w:cs="Times New Roman"/>
                <w:lang w:eastAsia="bg-BG"/>
              </w:rPr>
              <w:t>8</w:t>
            </w:r>
            <w:r w:rsidRPr="006B4D7B">
              <w:rPr>
                <w:rFonts w:ascii="Times New Roman" w:hAnsi="Times New Roman" w:cs="Times New Roman"/>
                <w:lang w:val="bg-BG" w:eastAsia="bg-BG"/>
              </w:rPr>
              <w:t>г.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Регистрирана техника до 31.</w:t>
            </w:r>
            <w:r w:rsidRPr="006B4D7B">
              <w:rPr>
                <w:rFonts w:ascii="Times New Roman" w:hAnsi="Times New Roman" w:cs="Times New Roman"/>
                <w:lang w:eastAsia="bg-BG"/>
              </w:rPr>
              <w:t>12</w:t>
            </w:r>
            <w:r w:rsidRPr="006B4D7B">
              <w:rPr>
                <w:rFonts w:ascii="Times New Roman" w:hAnsi="Times New Roman" w:cs="Times New Roman"/>
                <w:lang w:val="bg-BG" w:eastAsia="bg-BG"/>
              </w:rPr>
              <w:t>.2018г.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Отчислена техника до 31.</w:t>
            </w:r>
            <w:r w:rsidRPr="006B4D7B">
              <w:rPr>
                <w:rFonts w:ascii="Times New Roman" w:hAnsi="Times New Roman" w:cs="Times New Roman"/>
                <w:lang w:eastAsia="bg-BG"/>
              </w:rPr>
              <w:t>12</w:t>
            </w:r>
            <w:r w:rsidRPr="006B4D7B">
              <w:rPr>
                <w:rFonts w:ascii="Times New Roman" w:hAnsi="Times New Roman" w:cs="Times New Roman"/>
                <w:lang w:val="bg-BG" w:eastAsia="bg-BG"/>
              </w:rPr>
              <w:t>.2018г.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Техника</w:t>
            </w:r>
          </w:p>
          <w:p w:rsidR="00255280" w:rsidRPr="006B4D7B" w:rsidRDefault="00255280" w:rsidP="004576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 xml:space="preserve"> с валидна регистрация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280" w:rsidRPr="006B4D7B" w:rsidRDefault="00255280" w:rsidP="008F41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280" w:rsidRPr="006B4D7B" w:rsidRDefault="00255280" w:rsidP="008F41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280" w:rsidRPr="006B4D7B" w:rsidRDefault="00255280" w:rsidP="008F41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280" w:rsidRPr="006B4D7B" w:rsidRDefault="00255280" w:rsidP="008F41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280" w:rsidRPr="006B4D7B" w:rsidRDefault="00255280" w:rsidP="008F41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общо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280" w:rsidRPr="006B4D7B" w:rsidRDefault="00255280" w:rsidP="008F41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общо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280" w:rsidRPr="006B4D7B" w:rsidRDefault="00255280" w:rsidP="008F41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Верижни трактори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62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Колесни трактори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691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Самоходни шасита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51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Друга самоходна техника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164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Тракторни ремаркета: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155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в т.ч.с общо предназначение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133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със спец.предназначение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22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Горска техника/група А/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29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Зърнокомбайни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8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Самоходни силажокомбайни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Други самоходни машини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5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Машини за сеидба и садене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28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Машини за торене и растителна защита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37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Фуражоприбиращи и фуражопреработващи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197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Почвообработващи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778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Сушилни и други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Зърно и семепочистващи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0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Машини за поливане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38</w:t>
            </w:r>
          </w:p>
        </w:tc>
      </w:tr>
      <w:tr w:rsidR="00255280" w:rsidRPr="00233B0A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Горска техника/група В/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</w:rPr>
            </w:pPr>
            <w:r w:rsidRPr="006B4D7B">
              <w:rPr>
                <w:rFonts w:ascii="Times New Roman" w:hAnsi="Times New Roman" w:cs="Times New Roman"/>
              </w:rPr>
              <w:t>321</w:t>
            </w:r>
          </w:p>
        </w:tc>
      </w:tr>
      <w:tr w:rsidR="00255280" w:rsidRPr="00233B0A">
        <w:trPr>
          <w:trHeight w:val="16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lang w:val="bg-BG" w:eastAsia="bg-BG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4576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6B4D7B">
              <w:rPr>
                <w:rFonts w:ascii="Times New Roman" w:hAnsi="Times New Roman" w:cs="Times New Roman"/>
                <w:b/>
                <w:bCs/>
                <w:lang w:val="bg-BG" w:eastAsia="bg-BG"/>
              </w:rPr>
              <w:t>Общ брой техника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280" w:rsidRPr="006B4D7B" w:rsidRDefault="00255280" w:rsidP="006B4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D7B">
              <w:rPr>
                <w:rFonts w:ascii="Times New Roman" w:hAnsi="Times New Roman" w:cs="Times New Roman"/>
                <w:b/>
                <w:bCs/>
              </w:rPr>
              <w:t>218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6B4D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6B4D7B">
              <w:rPr>
                <w:rFonts w:ascii="Times New Roman" w:hAnsi="Times New Roman" w:cs="Times New Roman"/>
                <w:b/>
                <w:bCs/>
                <w:lang w:eastAsia="bg-BG"/>
              </w:rPr>
              <w:t>252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6B4D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6B4D7B">
              <w:rPr>
                <w:rFonts w:ascii="Times New Roman" w:hAnsi="Times New Roman" w:cs="Times New Roman"/>
                <w:b/>
                <w:bCs/>
                <w:lang w:eastAsia="bg-BG"/>
              </w:rPr>
              <w:t>4280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6B4D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6B4D7B">
              <w:rPr>
                <w:rFonts w:ascii="Times New Roman" w:hAnsi="Times New Roman" w:cs="Times New Roman"/>
                <w:b/>
                <w:bCs/>
                <w:lang w:val="bg-BG" w:eastAsia="bg-BG"/>
              </w:rPr>
              <w:t>1</w:t>
            </w:r>
            <w:r w:rsidRPr="006B4D7B">
              <w:rPr>
                <w:rFonts w:ascii="Times New Roman" w:hAnsi="Times New Roman" w:cs="Times New Roman"/>
                <w:b/>
                <w:bCs/>
                <w:lang w:eastAsia="bg-BG"/>
              </w:rPr>
              <w:t>559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280" w:rsidRPr="006B4D7B" w:rsidRDefault="00255280" w:rsidP="006B4D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bookmarkStart w:id="1" w:name="RANGE_H24"/>
            <w:bookmarkEnd w:id="1"/>
            <w:r w:rsidRPr="006B4D7B">
              <w:rPr>
                <w:rFonts w:ascii="Times New Roman" w:hAnsi="Times New Roman" w:cs="Times New Roman"/>
                <w:b/>
                <w:bCs/>
                <w:lang w:eastAsia="bg-BG"/>
              </w:rPr>
              <w:t>2721</w:t>
            </w:r>
          </w:p>
        </w:tc>
      </w:tr>
    </w:tbl>
    <w:p w:rsidR="00255280" w:rsidRPr="00233B0A" w:rsidRDefault="00255280" w:rsidP="00255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</w:p>
    <w:p w:rsidR="00255280" w:rsidRPr="00857C18" w:rsidRDefault="00255280" w:rsidP="00255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През календарната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г. областна дирекция „Земеделие”  извърши годишен технически преглед на 8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броя земеделска и горска техника, с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брой по-малко в сравнение с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55280" w:rsidRDefault="00255280" w:rsidP="00F203FE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F203FE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A74FA2" w:rsidRDefault="00255280" w:rsidP="0049334D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  <w:r w:rsidRPr="00A74FA2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 xml:space="preserve">          </w:t>
      </w:r>
      <w:r w:rsidRPr="00A74F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Pr="00A74FA2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ІІІ</w:t>
      </w:r>
      <w:r w:rsidRPr="00A74FA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</w:t>
      </w:r>
      <w:r w:rsidRPr="00A74FA2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ПОЗЕМЛЕНИ ОТНОШЕНИЯ</w:t>
      </w:r>
    </w:p>
    <w:p w:rsidR="00255280" w:rsidRPr="0088660D" w:rsidRDefault="00255280" w:rsidP="00013B0F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</w:pPr>
    </w:p>
    <w:p w:rsidR="00255280" w:rsidRPr="004E5ADD" w:rsidRDefault="00255280" w:rsidP="00A3015B">
      <w:pPr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Държавният поземлен фонд към 31.12.2018 г.  по данни на Общинските служби по земеделие е </w:t>
      </w:r>
      <w:r w:rsidRPr="004E5ADD">
        <w:rPr>
          <w:rFonts w:ascii="Times New Roman" w:hAnsi="Times New Roman" w:cs="Times New Roman"/>
          <w:sz w:val="24"/>
          <w:szCs w:val="24"/>
          <w:lang w:val="bg-BG"/>
        </w:rPr>
        <w:t xml:space="preserve">183 452.213 дка. По общини разпределението е както следва: Ардино –15 422.650 дка; Джебел – 3 057.611 дка; Кирково – 61 184.539 дка; Крумовград –70 559.113 дка; Кърджали – 12 709.644 дка; Момчилград –13 535.509 дка и Черноочене – 6 983.147 дка. </w:t>
      </w:r>
    </w:p>
    <w:p w:rsidR="00255280" w:rsidRPr="004E5ADD" w:rsidRDefault="00255280" w:rsidP="00A3015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изпълнение на Заповед №</w:t>
      </w:r>
      <w:r w:rsidRPr="004E5ADD">
        <w:rPr>
          <w:rFonts w:ascii="Times New Roman" w:hAnsi="Times New Roman" w:cs="Times New Roman"/>
          <w:sz w:val="24"/>
          <w:szCs w:val="24"/>
          <w:lang w:val="bg-BG"/>
        </w:rPr>
        <w:t>РД 46-177/26.03.2018 г.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министъра на земеделието, храните и горите и на основание чл. 24а, ал. 1 от ЗСПЗЗ и чл. 47ж, ал. 1 от ППЗСПЗЗ се обявиха две тръжни сесии за отдаване под наем или аренда на свободни земеделски земи от ДПФ на територията на област Кърджали за стопанската 2018/2019 г., както следва: </w:t>
      </w:r>
    </w:p>
    <w:p w:rsidR="00255280" w:rsidRPr="004E5ADD" w:rsidRDefault="00255280" w:rsidP="00A3015B">
      <w:pPr>
        <w:numPr>
          <w:ilvl w:val="0"/>
          <w:numId w:val="13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 xml:space="preserve">първа тръжна сесия за дългосрочно отдаване под наем/аренда на земеделски земи от ДПФ за отглеждане на едногодишни полски култури и многогодишни фуражни култури-житни, бобови и техните смески за срок от пет стопански години и за отглеждане на съществуващи трайни насаждения – 2007 бр. имоти, с обща площ 5 647.624 дка, в това число 2004 бр. имоти, с обща площ 5 422.485 дка за отглеждане на едногодишни полски култури и многогодишни фуражни култури-житни, бобови и техните смески за срок от пет стопански години и 3 бр. имоти за 225.139 дка за отглеждане на съществуващи трайни насаждения. </w:t>
      </w:r>
    </w:p>
    <w:p w:rsidR="00255280" w:rsidRPr="004E5ADD" w:rsidRDefault="00255280" w:rsidP="00A3015B">
      <w:pPr>
        <w:numPr>
          <w:ilvl w:val="0"/>
          <w:numId w:val="13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 xml:space="preserve">втора тръжна сесия за дългосрочно отдаване под наем/аренда на земеделски земи от ДПФ за отглеждане на едногодишни полски култури и многогодишни фуражни култури-житни, бобови и техните смески за срок от пет стопански години и за отглеждане на съществуващи трайни насаждения – 1911 бр. имоти, с обща площ 4 916.408 дка, в това число 1909 бр. имоти, с обща площ 4 868.707 дка за отглеждане на едногодишни полски култури и многогодишни фуражни култури-житни, бобови и техните смески за срок от пет стопански години и 2 бр. имоти за 47.701 дка за отглеждане на съществуващи трайни насаждения. </w:t>
      </w:r>
    </w:p>
    <w:p w:rsidR="00255280" w:rsidRPr="004E5ADD" w:rsidRDefault="00255280" w:rsidP="00A3015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Сключените договори от проведените тръжни сесии са 7 бр. за 97 бр. имоти, с обща площ 731.216 дка, в това число за: отглеждане на едногодишни полски култури за срок от пет стопански години – 4 бр. договори за 92 бр. имоти, с обща площ 459,068 дка; за отглеждане на многогодишни фуражни култури-житни, бобови и техните смески за срок от пет стопански години – 2 бр. договори за 4 бр. имоти, с обща площ 31.432 дка и за отглеждане на съществуващи трайни насаждения – 1 бр. договор за 1 бр. имоти, с обща площ 177.438 дка.</w:t>
      </w:r>
    </w:p>
    <w:p w:rsidR="00255280" w:rsidRPr="00B26C57" w:rsidRDefault="00255280" w:rsidP="00A301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C57">
        <w:rPr>
          <w:rFonts w:ascii="Times New Roman" w:hAnsi="Times New Roman" w:cs="Times New Roman"/>
          <w:sz w:val="24"/>
          <w:szCs w:val="24"/>
          <w:lang w:val="bg-BG"/>
        </w:rPr>
        <w:t>Във връзка с прилагане на разпоредбите на чл. 37м,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ал. 1 от Закона за собствеността</w:t>
      </w:r>
      <w:r w:rsidRPr="00B26C57">
        <w:rPr>
          <w:rFonts w:ascii="Times New Roman" w:hAnsi="Times New Roman" w:cs="Times New Roman"/>
          <w:sz w:val="24"/>
          <w:szCs w:val="24"/>
          <w:lang w:val="bg-BG"/>
        </w:rPr>
        <w:t xml:space="preserve"> и ползването на земеделските земи </w:t>
      </w:r>
      <w:r>
        <w:rPr>
          <w:rFonts w:ascii="Times New Roman" w:hAnsi="Times New Roman" w:cs="Times New Roman"/>
          <w:sz w:val="24"/>
          <w:szCs w:val="24"/>
          <w:lang w:val="bg-BG"/>
        </w:rPr>
        <w:t>/ЗСПЗЗ/ със заповед на директора на ОД “Земеделие“ се определи комисия, за извършване на проверката. Комисията провери 203 бр. договори за наем/аренда на пасища, мери и ливади, сключени със 159 бр. земеделски стопани, относно спазени ли са условията на чл. 37и, ал. 1 и ал. 4 от ЗСПЗЗ за ползването им, съобразно броя и вида на регистрираните пасищни селскостопански животни. Спазването на изискванията за притежавани брой и вид животни се установи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 – животновъдни обекти, собственици или ползватели на регистрирани животновъдни обекти и пасищни селскостопански животни в животновъдните обекти. На основание резултатите от проверката се установи, че общо 199 бр. договори, сключени със 155 бр. ползватели отговарят на условията на чл. 37и, ал. 4 от ЗСПЗЗ. Несъответствие с изискванията на чл. 37и, ал. 4 от ЗСПЗЗ бе констатирано за 4 бр. договори за наем/аренда на пасища, мери и ливади от ДПФ. За констатираните несъответствия се предприеха мерки и действия.</w:t>
      </w:r>
    </w:p>
    <w:p w:rsidR="00255280" w:rsidRPr="004E5ADD" w:rsidRDefault="00255280" w:rsidP="00A3015B">
      <w:pPr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изпълнение на дейностите, свързани с процедурата по реда на чл. 37и от Закона за собствеността и ползването на земеделските земи (ЗСПЗЗ) за отдаване под наем или аренда на пасища, мери и ливади от държавния поземлен фонд със </w:t>
      </w:r>
      <w:r w:rsidRPr="004E5ADD">
        <w:rPr>
          <w:rFonts w:ascii="Times New Roman" w:hAnsi="Times New Roman" w:cs="Times New Roman"/>
          <w:caps/>
          <w:sz w:val="24"/>
          <w:szCs w:val="24"/>
          <w:lang w:val="bg-BG"/>
        </w:rPr>
        <w:t>з</w:t>
      </w:r>
      <w:r w:rsidRPr="004E5ADD">
        <w:rPr>
          <w:rFonts w:ascii="Times New Roman" w:hAnsi="Times New Roman" w:cs="Times New Roman"/>
          <w:sz w:val="24"/>
          <w:szCs w:val="24"/>
          <w:lang w:val="bg-BG"/>
        </w:rPr>
        <w:t>аповед №РД 46-135/27.02.2018 г. на министъра на земеделието, храните и горите са определени свободни пасища, мери и ливади за отдаване под наем или аренда за стопанската 2018-2019 г. – общо 5369 бр. имоти с обща площ 52 584.693 дка.</w:t>
      </w:r>
    </w:p>
    <w:p w:rsidR="00255280" w:rsidRPr="004E5ADD" w:rsidRDefault="00255280" w:rsidP="00A3015B">
      <w:pPr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Процедурата по разпределение на пасища, мери и ливадите</w:t>
      </w:r>
      <w:r w:rsidRPr="004E5AD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4E5ADD">
        <w:rPr>
          <w:rFonts w:ascii="Times New Roman" w:hAnsi="Times New Roman" w:cs="Times New Roman"/>
          <w:sz w:val="24"/>
          <w:szCs w:val="24"/>
          <w:lang w:val="bg-BG"/>
        </w:rPr>
        <w:t xml:space="preserve">на собственици или ползватели на животновъдни обекти с пасищни селскостопански животни, регистрирани в Интегрираната </w:t>
      </w:r>
      <w:r w:rsidRPr="004E5ADD">
        <w:rPr>
          <w:rFonts w:ascii="Times New Roman" w:hAnsi="Times New Roman" w:cs="Times New Roman"/>
          <w:sz w:val="24"/>
          <w:szCs w:val="24"/>
          <w:lang w:val="bg-BG"/>
        </w:rPr>
        <w:lastRenderedPageBreak/>
        <w:t>информационна система на БАБХ през стопанската 2018/2019 г., е проведена на територията на 5 бр. общини – Ардино, Крумовград, Кърджали, Момчилград и Черноочене.</w:t>
      </w:r>
    </w:p>
    <w:p w:rsidR="00255280" w:rsidRPr="004E5ADD" w:rsidRDefault="00255280" w:rsidP="00A3015B">
      <w:pPr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 xml:space="preserve">За стопанската 2018/2019 г., комисията към ОД „Земеделие” – Кърджали от постъпили общо 108 подадени заявления за допълнително разпределение на имоти от държавния поземлен фонд е удовлетворила общо 88 заявления и е разпределила общо 1441 бр. имота от ДПФ с обща площ 18 691.645 дка. Съобразно изискванията на чл. 100, ал. 10 от ППЗСПЗЗ се изготви пространствено сечение между разпределените имоти </w:t>
      </w:r>
      <w:r w:rsidRPr="004E5ADD">
        <w:rPr>
          <w:rFonts w:ascii="Times New Roman" w:hAnsi="Times New Roman" w:cs="Times New Roman"/>
          <w:i/>
          <w:iCs/>
          <w:sz w:val="24"/>
          <w:szCs w:val="24"/>
          <w:lang w:val="bg-BG"/>
        </w:rPr>
        <w:t>(от картата на възстановената собственост или от кадастралната карта)</w:t>
      </w:r>
      <w:r w:rsidRPr="004E5ADD">
        <w:rPr>
          <w:rFonts w:ascii="Times New Roman" w:hAnsi="Times New Roman" w:cs="Times New Roman"/>
          <w:sz w:val="24"/>
          <w:szCs w:val="24"/>
          <w:lang w:val="bg-BG"/>
        </w:rPr>
        <w:t xml:space="preserve"> и актуалния специализиран слой "Площи, допустими за подпомагане". </w:t>
      </w:r>
    </w:p>
    <w:p w:rsidR="00255280" w:rsidRPr="004E5ADD" w:rsidRDefault="00255280" w:rsidP="00A3015B">
      <w:pPr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 xml:space="preserve">Сключени са 54 бр. договора за 408 бр. имота с обща площ 4 414.970 дка. </w:t>
      </w:r>
    </w:p>
    <w:p w:rsidR="00255280" w:rsidRPr="004E5ADD" w:rsidRDefault="00255280" w:rsidP="00A3015B">
      <w:pPr>
        <w:widowControl w:val="0"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На основание чл. 37и, ал. 13 от ЗСПЗЗ се обявиха 4968 бр. имоти, с обща площ 48901.248 дка свободни пасища, мери и ливади от държавния поземлен фонд под наем чрез търг, в който се допускаха до участие само собственици на пасищни селскостопански животни, регистрирани в Интегрираната информационна система на БАБХ. Сключени са 19 бр. договори за 329 бр. имоти, с обща площ 6 200.781 дка през месец декември 2018 г.</w:t>
      </w:r>
    </w:p>
    <w:p w:rsidR="00255280" w:rsidRPr="004E5ADD" w:rsidRDefault="00255280" w:rsidP="00A3015B">
      <w:pPr>
        <w:pStyle w:val="af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bg-BG"/>
        </w:rPr>
      </w:pPr>
      <w:r w:rsidRPr="001F7D56">
        <w:rPr>
          <w:rFonts w:ascii="Times New Roman" w:hAnsi="Times New Roman" w:cs="Times New Roman"/>
          <w:color w:val="000000"/>
          <w:lang w:val="bg-BG"/>
        </w:rPr>
        <w:t xml:space="preserve">Сключените и действащите към 31.12.2018 г. договори </w:t>
      </w:r>
      <w:r w:rsidRPr="001F7D56">
        <w:rPr>
          <w:rFonts w:ascii="Times New Roman" w:hAnsi="Times New Roman" w:cs="Times New Roman"/>
          <w:lang w:val="bg-BG"/>
        </w:rPr>
        <w:t>489 бр. за 3686 бр. имоти, с обща площ 37 756.655 дка, в това число за отглеждане на едногодишни полски култури години и многогодишни фуражни култури-житни, бобови и техните смески – 193 бр. договори  за 1997 бр. имоти, с обща площ 9 766.159 дка; за ползване на ПМЛ – 252 бр. договори за 1638 бр. имоти, с обща</w:t>
      </w:r>
      <w:r w:rsidRPr="004E5ADD">
        <w:rPr>
          <w:rFonts w:ascii="Times New Roman" w:hAnsi="Times New Roman" w:cs="Times New Roman"/>
          <w:lang w:val="bg-BG"/>
        </w:rPr>
        <w:t xml:space="preserve"> площ 25 904.988 дка; за създаване на трайни насаждения и отглеждане на съществуващи трайни насаждения мери – 44 бр. договори за 51 бр. имоти, с обща площ 2 085.508 дка.</w:t>
      </w:r>
    </w:p>
    <w:p w:rsidR="00255280" w:rsidRPr="004E5ADD" w:rsidRDefault="00255280" w:rsidP="00A3015B">
      <w:pPr>
        <w:widowControl w:val="0"/>
        <w:overflowPunct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4E5ADD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Общинските служби по земеделие ежегодно извършват не по-малко от две проверки </w:t>
      </w:r>
      <w:r w:rsidRPr="004E5AD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(до 31 май и до 30 ноември)</w:t>
      </w:r>
      <w:r w:rsidRPr="004E5ADD">
        <w:rPr>
          <w:rFonts w:ascii="Times New Roman" w:hAnsi="Times New Roman" w:cs="Times New Roman"/>
          <w:sz w:val="24"/>
          <w:szCs w:val="24"/>
          <w:lang w:eastAsia="bg-BG"/>
        </w:rPr>
        <w:t xml:space="preserve"> на земите от държавния поземлен фонд и информират областните дирекции "Земеделие" за състоянието и ползването им. Проверките се извършват на терен и/или чрез данни от изготвено пространствено сечение между имотите от картата на възстановената собственост (КВС) или от кадастралната карта</w:t>
      </w:r>
      <w:r w:rsidRPr="004E5AD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кадастралните карти </w:t>
      </w:r>
      <w:r w:rsidRPr="004E5ADD">
        <w:rPr>
          <w:rFonts w:ascii="Times New Roman" w:hAnsi="Times New Roman" w:cs="Times New Roman"/>
          <w:sz w:val="24"/>
          <w:szCs w:val="24"/>
          <w:lang w:eastAsia="bg-BG"/>
        </w:rPr>
        <w:t>(КК</w:t>
      </w:r>
      <w:r w:rsidRPr="004E5ADD">
        <w:rPr>
          <w:rFonts w:ascii="Times New Roman" w:hAnsi="Times New Roman" w:cs="Times New Roman"/>
          <w:sz w:val="24"/>
          <w:szCs w:val="24"/>
          <w:lang w:val="bg-BG" w:eastAsia="bg-BG"/>
        </w:rPr>
        <w:t>КР</w:t>
      </w:r>
      <w:r w:rsidRPr="004E5ADD">
        <w:rPr>
          <w:rFonts w:ascii="Times New Roman" w:hAnsi="Times New Roman" w:cs="Times New Roman"/>
          <w:sz w:val="24"/>
          <w:szCs w:val="24"/>
          <w:lang w:eastAsia="bg-BG"/>
        </w:rPr>
        <w:t>) и парцелите, заявени за подпомагане по схеми и мерки за директни плащания на площ.</w:t>
      </w:r>
    </w:p>
    <w:p w:rsidR="00255280" w:rsidRPr="004E5ADD" w:rsidRDefault="00255280" w:rsidP="00A3015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За извършените проверки комисиите към общинските служби съставиха констативни протоколи за установяване състоянието и ползването на всички имоти от ДПФ за всяко землище по Образец №1, съгласно Методиката.</w:t>
      </w:r>
    </w:p>
    <w:p w:rsidR="00255280" w:rsidRPr="004E5ADD" w:rsidRDefault="00255280" w:rsidP="00A3015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Констативните протоколи съдържат данни за всеки имот от КВС или КККР, съгласно регистър на имотите от ДПФ - землище, № на имот, площ, нтп, както и информация за установеното състояние на имота при теренните проверки, съобразно легендата. Относно ползването на имотите като основание са изписани №/датата на документа, както и данни за ползвателя, свободен имот или неправомерно ползване.</w:t>
      </w:r>
    </w:p>
    <w:p w:rsidR="00255280" w:rsidRPr="004E5ADD" w:rsidRDefault="00255280" w:rsidP="00A3015B">
      <w:pPr>
        <w:overflowPunct/>
        <w:autoSpaceDE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От направените проверки се установи, че част от имотите от ДПФ, които по КВС/КККР представляват по нтп: „нива”, „пасища с храсти“, „пасища, мери“ и „ливади“ са се самозалесили и са станали гора по смисъла на чл. 2 от Закона за горите.</w:t>
      </w:r>
      <w:r w:rsidRPr="004E5AD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Освен това имотите с нтп: „други трайни насаждения” и „други селскостопански територии” в действителност са гори в земеделски земи. </w:t>
      </w:r>
    </w:p>
    <w:p w:rsidR="00255280" w:rsidRPr="004E5ADD" w:rsidRDefault="00255280" w:rsidP="00A3015B">
      <w:pPr>
        <w:overflowPunct/>
        <w:autoSpaceDE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горецитираното и на основание заповед №РД 46-305/15.06.2018 г. на министъра на земеделието, храните и горите за възлагане на директора на ОД „Земеделие“ – Кърджали да подава писмено заявление по чл. 83, ал. 9 от Закона за горите до изпълнителния директор на Изпълнителната агенция по горите за включване в горски територии на имотите от ДПФ, за които е констатирано, че представляват негодни за земеделско ползване територии, са изпратени до Изпълнителната агенция, чрез Регионалната дирекция по горите – Кърджали 5 бр. заявления за общо 2255 броя имоти, с обща площ 20 422.217 дка, в това число по общини: Ардино – 1611 бр. за 11 070.053 дка; Джебел – 115 бр. за 644.709 дка; Кърджали – 162 бр. за 2 693.850 дка; Момчилград – 260 бр. за 4 365.063 дка и Черноочене – 107 бр. за 1 648.063 дка. Предстои подаване заявление по чл. 83, ал. 9 от ЗГ и за още 2538 бр. имоти, с обща площ 34 641.063, в това число по общини: Кирково – 1332 бр. за 16 385.495 дка и Крумовград –1206 бр. за 18 255.568 дка.  </w:t>
      </w:r>
    </w:p>
    <w:p w:rsidR="00255280" w:rsidRPr="004E5ADD" w:rsidRDefault="00255280" w:rsidP="00A3015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За земите от ДПФ, предоставени за ползване по реда на чл. 24, ал. 2 и чл. 24б от ЗСПЗЗ, комисията по т. 1.1 от методиката е изготвила констативни протоколи по Образец 3 за установяване състоянието и ползването на земите от ДПФ за всяко землище. От предоставените земеделски земи, както следва в:</w:t>
      </w:r>
    </w:p>
    <w:p w:rsidR="00255280" w:rsidRPr="004E5ADD" w:rsidRDefault="00255280" w:rsidP="00A3015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lastRenderedPageBreak/>
        <w:t>землище гр. Джебел, община Джебел – с нтп: посевна площ 72.394 дка, от тях 9.811 дка се ползват като ливада;</w:t>
      </w:r>
    </w:p>
    <w:p w:rsidR="00255280" w:rsidRPr="004E5ADD" w:rsidRDefault="00255280" w:rsidP="00A3015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землище с. Глухар, община Кърджали – с нтп: нива 141.345 дка, не се използват по предназначение 5.676 дка. Овощната градина с площ 4.900 дка е с установено състояние необработена нива.</w:t>
      </w:r>
    </w:p>
    <w:p w:rsidR="00255280" w:rsidRPr="004E5ADD" w:rsidRDefault="00255280" w:rsidP="00A3015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землище с. Жинзифово, община Кърджали – с нтп: нива 20.027 дка не се обработва.</w:t>
      </w:r>
    </w:p>
    <w:p w:rsidR="00255280" w:rsidRPr="004E5ADD" w:rsidRDefault="00255280" w:rsidP="00A3015B">
      <w:pPr>
        <w:overflowPunct/>
        <w:autoSpaceDE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В резултат от извършените на място проверки по реда на чл. 47, ал. 8 от ППЗСПЗЗ, съгласно констативни протоколи за състоянието и ползването на земите от ДПФ, е установено неизпълнение на задължението за създаване на трайни насаждения в рамките на гратисния период по договори за аренда. Във връзка с това договори за аренда, както следва: Договор №07 от 13.04.2009 г., с арендатор Хюсеин Айдънов Караджов; Договор №13 от 18.05.2010 г., с арендатор Гюлер Сабри Караибрям; Договор №59 от 16.08.2013 г., с арендатор Мюрифе Руфтин Салиф и Договор №63 от 22.04.2013 г., с арендатор Тихомир Йонков Гюдженов са едностранно прекратени и вписани в Службите по вписванията в област Кърджали.</w:t>
      </w:r>
    </w:p>
    <w:p w:rsidR="00255280" w:rsidRPr="004E5ADD" w:rsidRDefault="00255280" w:rsidP="00A3015B">
      <w:pPr>
        <w:overflowPunct/>
        <w:autoSpaceDE/>
        <w:adjustRightInd/>
        <w:ind w:firstLine="72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На основание чл. 24д, ал. 1, т. 1 от ЗСПЗЗ и чл. 114, ал. 1 от ППЗСПЗЗ в изпълнение на 4 бр. заповеди на министъра на земеделието, храните и горите са сключени 4 бр. договори за покупко-продажба на земеделски земи от държавния поземлен фонд за 230.592 дка.</w:t>
      </w:r>
    </w:p>
    <w:p w:rsidR="00255280" w:rsidRPr="004E5ADD" w:rsidRDefault="00255280" w:rsidP="00A3015B">
      <w:pPr>
        <w:pStyle w:val="a7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През отчетния период сключените договори за продажба на земя, частна държавна собственост, прилежаща към сгради и съоръжения на организациите по § 12 от ПЗР на ЗСПЗЗ на основание чл. 27, ал. 6 от ЗСПЗЗ при спазване изискванията на чл. 45а, ал. 2 от ППЗСПЗЗ са 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10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бр. за 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24.844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дка с обща стойност 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53208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лева, от които 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43216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са платени с поименни компенсационни бонове (ПКБ).</w:t>
      </w:r>
    </w:p>
    <w:p w:rsidR="00255280" w:rsidRPr="004E5ADD" w:rsidRDefault="00255280" w:rsidP="00A3015B">
      <w:pPr>
        <w:pStyle w:val="a7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з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>аповед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на директора на ОД „Земеделие“, във връзка с чл. 27, ал. 8 от ЗСПЗЗ  и чл. 56з, ал. 1 от ППЗСПЗЗ 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проведени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тръжн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са сключени договори за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продажба на 1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6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бр.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>имоти с обща площ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70.711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 xml:space="preserve"> дка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167 907 лв.</w:t>
      </w:r>
      <w:r w:rsidRPr="004E5ADD">
        <w:rPr>
          <w:rFonts w:ascii="Times New Roman" w:hAnsi="Times New Roman" w:cs="Times New Roman"/>
          <w:color w:val="000000"/>
          <w:sz w:val="24"/>
          <w:szCs w:val="24"/>
        </w:rPr>
        <w:t>,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ползване, неподлежащи на възстановяване по ЗСПЗЗ.</w:t>
      </w:r>
    </w:p>
    <w:p w:rsidR="00255280" w:rsidRPr="004E5ADD" w:rsidRDefault="00255280" w:rsidP="00A3015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периода януари – декември 2018 година Комисията по чл.17, ал.1, т. 1 от ЗОЗЗ проведе 11 заседания. Разгледани са 49 бр. преписки, от тях 12 бр. за утвърждаване на площадки за 51.921 дка и 35 бр. за промяна на предназначението за 85.827 дка. Постановените такси по чл. 30 от ЗОЗЗ са в размер на 60718.60 лв. Влезлите в сила решения са 35 бр. с площ 108.768 дка. Заплатените такси по чл. 30, ал. 1 от ЗОЗЗ са в размер на 56953.65 лв., а по чл. 30, ал. 2 от ЗОЗЗ са в размер на 1239.03 лв. Преобладаващият вид на обектите разглеждани от Комисията по чл.17, ал. 1, т. 1 от ЗОЗЗ са за жилищно застрояване. </w:t>
      </w:r>
    </w:p>
    <w:p w:rsidR="00255280" w:rsidRPr="004E5ADD" w:rsidRDefault="00255280" w:rsidP="00A3015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основание Наредба за категоризиране на земеделските земи при промяна на тяхното предназначение в ОД “Земеделие” </w:t>
      </w:r>
      <w:r w:rsidRPr="004E5ADD">
        <w:rPr>
          <w:rFonts w:ascii="Times New Roman" w:hAnsi="Times New Roman" w:cs="Times New Roman"/>
          <w:spacing w:val="40"/>
          <w:sz w:val="24"/>
          <w:szCs w:val="24"/>
          <w:lang w:val="bg-BG"/>
        </w:rPr>
        <w:t>–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Кърджали са издадени 30 броя актове за категоризация.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 годината са издадени и 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10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 Актове за установяване на административни нарушения по ЗОЗЗ.</w:t>
      </w:r>
    </w:p>
    <w:p w:rsidR="00255280" w:rsidRPr="004E5ADD" w:rsidRDefault="00255280" w:rsidP="00A3015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Във връзка с прилагане на Наредба №19 от 25 октомври 2012 г. за строителство в земеделски земи без промяна на предназначението им (обн. ДВ. бр. 85 от 6 ноември 2012 г.) на основание чл. 11, ал. 1, т. 4 са издадени 14 бр. положителни становища.</w:t>
      </w:r>
    </w:p>
    <w:p w:rsidR="00255280" w:rsidRPr="004E5ADD" w:rsidRDefault="00255280" w:rsidP="00A3015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ОД “Земеделие”</w:t>
      </w:r>
      <w:r w:rsidRPr="004E5ADD">
        <w:rPr>
          <w:rFonts w:ascii="Times New Roman" w:hAnsi="Times New Roman" w:cs="Times New Roman"/>
          <w:spacing w:val="40"/>
          <w:sz w:val="24"/>
          <w:szCs w:val="24"/>
          <w:lang w:val="bg-BG"/>
        </w:rPr>
        <w:t>–</w:t>
      </w:r>
      <w:r w:rsidRPr="004E5ADD">
        <w:rPr>
          <w:rFonts w:ascii="Times New Roman" w:hAnsi="Times New Roman" w:cs="Times New Roman"/>
          <w:color w:val="000000"/>
          <w:sz w:val="24"/>
          <w:szCs w:val="24"/>
          <w:lang w:val="bg-BG"/>
        </w:rPr>
        <w:t>Кърджали извършва, контрол относно правомерното ползване на възстановената собственост на земи на граждани, на ДПФ, отговаря на постъпили жалби, сигнали и молби в законосъобразния срок, своевременно и точно. Предоставя на гражданите необходимата информация с оглед защита на техните права, информира ги относно възможностите на обжалване в случай на допуснати нарушения.</w:t>
      </w:r>
    </w:p>
    <w:p w:rsidR="00255280" w:rsidRPr="00257063" w:rsidRDefault="00255280" w:rsidP="00A3015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E5ADD">
        <w:rPr>
          <w:rFonts w:ascii="Times New Roman" w:hAnsi="Times New Roman" w:cs="Times New Roman"/>
          <w:sz w:val="24"/>
          <w:szCs w:val="24"/>
          <w:lang w:val="bg-BG"/>
        </w:rPr>
        <w:t>Обслужването на гражданите през отчетната година, свързано с дейностите по ЗСПЗЗ, ЗВСГЗГФ и ЗОЗЗ беше на необходимото ниво и изцяло съобразено с Хартата на клиента.</w:t>
      </w:r>
    </w:p>
    <w:p w:rsidR="00255280" w:rsidRDefault="00255280" w:rsidP="00874B0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874B0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874B0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874B0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874B0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Default="00255280" w:rsidP="00874B0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733F2C" w:rsidRDefault="00255280" w:rsidP="00874B0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7D1874" w:rsidRDefault="00255280" w:rsidP="007C5214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</w:pPr>
      <w:r w:rsidRPr="00A603E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</w:t>
      </w:r>
      <w:r w:rsidRPr="007D1874">
        <w:rPr>
          <w:rFonts w:ascii="Times New Roman" w:hAnsi="Times New Roman" w:cs="Times New Roman"/>
          <w:color w:val="00B050"/>
          <w:sz w:val="24"/>
          <w:szCs w:val="24"/>
          <w:lang w:val="bg-BG"/>
        </w:rPr>
        <w:t xml:space="preserve"> </w:t>
      </w:r>
      <w:r w:rsidRPr="007D1874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І</w:t>
      </w:r>
      <w:r w:rsidRPr="007D1874">
        <w:rPr>
          <w:rFonts w:ascii="Times New Roman" w:hAnsi="Times New Roman" w:cs="Times New Roman"/>
          <w:b/>
          <w:bCs/>
          <w:color w:val="00B050"/>
          <w:sz w:val="24"/>
          <w:szCs w:val="24"/>
        </w:rPr>
        <w:t>X</w:t>
      </w:r>
      <w:r w:rsidRPr="007D1874">
        <w:rPr>
          <w:rFonts w:ascii="Times New Roman" w:hAnsi="Times New Roman" w:cs="Times New Roman"/>
          <w:b/>
          <w:bCs/>
          <w:color w:val="00B050"/>
          <w:sz w:val="24"/>
          <w:szCs w:val="24"/>
          <w:lang w:val="bg-BG"/>
        </w:rPr>
        <w:t>. СТРУКТУРА И ЧИСЛЕНОСТ, В ТОВА ЧИСЛО ПО ОСЗ</w:t>
      </w:r>
    </w:p>
    <w:p w:rsidR="00255280" w:rsidRPr="00A603EF" w:rsidRDefault="00255280" w:rsidP="007C521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6A4115" w:rsidRDefault="00255280" w:rsidP="00744C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>Областна дирекция ”Земеделие” Кърджали е второстепенен разпоредител с бюджетни средства към МЗХ и е с обща численост -  5</w:t>
      </w:r>
      <w:r w:rsidRPr="006A4115">
        <w:rPr>
          <w:rFonts w:ascii="Times New Roman" w:hAnsi="Times New Roman" w:cs="Times New Roman"/>
          <w:sz w:val="24"/>
          <w:szCs w:val="24"/>
        </w:rPr>
        <w:t>7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щатни бройки, от които </w:t>
      </w:r>
      <w:r w:rsidRPr="006A411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. са заети в областната дирекция и 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. - разпределени в седем общински служби по земеделие.  Дейността на дирекцията е обособена в две дирекции, като ръководството се осъществява от директор и главен секретар. </w:t>
      </w:r>
    </w:p>
    <w:p w:rsidR="00255280" w:rsidRPr="006A4115" w:rsidRDefault="00255280" w:rsidP="00744C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Дирекция „Административно-правна, финансово-стопанска дейност и човешки ресурси”: - </w:t>
      </w:r>
      <w:r w:rsidRPr="006A411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бр.</w:t>
      </w:r>
    </w:p>
    <w:p w:rsidR="00255280" w:rsidRPr="006A4115" w:rsidRDefault="00255280" w:rsidP="00744C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sz w:val="24"/>
          <w:szCs w:val="24"/>
          <w:lang w:val="bg-BG"/>
        </w:rPr>
        <w:t>Директор, главен счетоводител.,</w:t>
      </w:r>
      <w:r w:rsidRPr="006A4115">
        <w:rPr>
          <w:rFonts w:ascii="Times New Roman" w:hAnsi="Times New Roman" w:cs="Times New Roman"/>
          <w:sz w:val="24"/>
          <w:szCs w:val="24"/>
        </w:rPr>
        <w:t xml:space="preserve"> 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>старши счетоводител,</w:t>
      </w:r>
      <w:r w:rsidRPr="006A4115">
        <w:rPr>
          <w:rFonts w:ascii="Times New Roman" w:hAnsi="Times New Roman" w:cs="Times New Roman"/>
          <w:sz w:val="24"/>
          <w:szCs w:val="24"/>
        </w:rPr>
        <w:t xml:space="preserve"> 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>старши експерт – 2 бр., и главен юрисконсулт – 1 бр.;</w:t>
      </w:r>
    </w:p>
    <w:p w:rsidR="00255280" w:rsidRPr="006A4115" w:rsidRDefault="00255280" w:rsidP="00744CD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Главна дирекция „Аграрно развитие”: - 11 бр.</w:t>
      </w:r>
    </w:p>
    <w:p w:rsidR="00255280" w:rsidRPr="006A4115" w:rsidRDefault="00255280" w:rsidP="00744C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sz w:val="24"/>
          <w:szCs w:val="24"/>
          <w:lang w:val="bg-BG"/>
        </w:rPr>
        <w:t>Главен директор, главен експерт – 4 бр. главен инспектор – 1 бр., старши инспектор – 1, старши експерт – 3 бр., младши експерт – 1 бр.</w:t>
      </w:r>
    </w:p>
    <w:p w:rsidR="00255280" w:rsidRPr="006A4115" w:rsidRDefault="00255280" w:rsidP="00744CD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Териториални звена „Общински служби по земеделие”:</w:t>
      </w:r>
    </w:p>
    <w:p w:rsidR="00255280" w:rsidRPr="006A4115" w:rsidRDefault="00255280" w:rsidP="00744CD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ОСЗ Ардино – 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>4 бр.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началник, главен експерт – 1 бр., старши експерт – 1 бр. и главен специалист – 1 бр.;.</w:t>
      </w:r>
    </w:p>
    <w:p w:rsidR="00255280" w:rsidRPr="006A4115" w:rsidRDefault="00255280" w:rsidP="00744CD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ОСЗ Джебел – </w:t>
      </w:r>
      <w:r w:rsidRPr="006A411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>., началник, главен експерт – 1 бр., младши експерт – 2 бр;</w:t>
      </w:r>
    </w:p>
    <w:p w:rsidR="00255280" w:rsidRPr="006A4115" w:rsidRDefault="00255280" w:rsidP="00744CD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ОСЗ Кирково – </w:t>
      </w:r>
      <w:r w:rsidRPr="006A411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7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бр.,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началник, старши експерт – 3 бр.,  младши експерт – 1 бр., главен специалист – 2 бр.;</w:t>
      </w:r>
    </w:p>
    <w:p w:rsidR="00255280" w:rsidRPr="006A4115" w:rsidRDefault="00255280" w:rsidP="00744CD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ОСЗ Крумовград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>7 бр.,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началник, главен експерт – 1 бр., старши експерт – 2 бр., младши експерт - 1 бр,  главен специалист – 2 бр.;</w:t>
      </w:r>
    </w:p>
    <w:p w:rsidR="00255280" w:rsidRPr="006A4115" w:rsidRDefault="00255280" w:rsidP="00744CD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ОСЗ Кърджали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>6 бр.,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началник, главен експерт – 1 бр., старши експерт – 1 бр., младши експерти – 3 бр;</w:t>
      </w:r>
    </w:p>
    <w:p w:rsidR="00255280" w:rsidRPr="006A4115" w:rsidRDefault="00255280" w:rsidP="00744CD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ОСЗ Момчилград -</w:t>
      </w:r>
      <w:r w:rsidRPr="006A411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5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бр.,</w:t>
      </w:r>
      <w:r w:rsidRPr="006A411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началник, главен експерт – 1 бр., старши експерт – 1 бр. младши експерт – 1 бр.,  главен специалист – 1 бр.; </w:t>
      </w:r>
    </w:p>
    <w:p w:rsidR="00255280" w:rsidRPr="006A4115" w:rsidRDefault="00255280" w:rsidP="00744CD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6A411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ОСЗ Черноочене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5</w:t>
      </w:r>
      <w:r w:rsidRPr="006A41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бр.,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началник, главен експерт – 1 бр., старши ек</w:t>
      </w:r>
      <w:r>
        <w:rPr>
          <w:rFonts w:ascii="Times New Roman" w:hAnsi="Times New Roman" w:cs="Times New Roman"/>
          <w:sz w:val="24"/>
          <w:szCs w:val="24"/>
          <w:lang w:val="bg-BG"/>
        </w:rPr>
        <w:t>сперт – 1 бр., младши експерт 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115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</w:p>
    <w:p w:rsidR="00255280" w:rsidRDefault="00255280" w:rsidP="00744CD5">
      <w:pPr>
        <w:ind w:left="284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DB0BD1">
      <w:pPr>
        <w:ind w:left="284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ОД „Земеделие” – гр. Кърджали е второстепенен разпоредител с бюджетни средства, поради което се извършва ежедневно осчетоводяване на разходи банка и каса – като оперативна обработка на внесени депозити за участие в търгове и тяхното възстановяване, изплащане на суми по 37в., ал.3, т.2 от ЗСПЗЗ / бели петна/, изготвяне, начисляване и осчетоводяване на работни заплати и хонорари. Извършва се обработка на отпуски, изготвяне на справки, удостоверения и служебни бележки. Изчисляват се суми по сключени договори за аренда за предходни години и наеми ДПФ от проведени търгове през текущата година. Осъществява се проверка и заверка по дейности на КТИ- приходни квитанции, квитанции по Наредба 49. Водят се досиета на всички 57 служители и се обслужват дейности свързани с обработка на молби за отпуск, болнични листове начисляване на заплати и др. </w:t>
      </w:r>
    </w:p>
    <w:p w:rsidR="00255280" w:rsidRDefault="00255280" w:rsidP="00DB0BD1">
      <w:pPr>
        <w:ind w:left="284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01.01.2018г. - 31.12.2018г. постъпилите приходи от наем, аренда са в размер на 487 247 лв,, с 13247 лв. повече от заложените 474 000лв. за финансовата 2018г. Приходите от държавни такси са в размер на </w:t>
      </w:r>
      <w:r w:rsidRPr="0068206D">
        <w:rPr>
          <w:rFonts w:ascii="Times New Roman" w:hAnsi="Times New Roman" w:cs="Times New Roman"/>
          <w:sz w:val="24"/>
          <w:szCs w:val="24"/>
          <w:lang w:val="bg-BG"/>
        </w:rPr>
        <w:t>32434 лв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., което представлява 23,50 % или с 105566 лв. по-малко от заложените. Като основна причина за намаляване на таксите са </w:t>
      </w:r>
      <w:r w:rsidRPr="0068206D">
        <w:rPr>
          <w:rFonts w:ascii="Times New Roman" w:hAnsi="Times New Roman" w:cs="Times New Roman"/>
          <w:sz w:val="24"/>
          <w:szCs w:val="24"/>
          <w:lang w:val="bg-BG"/>
        </w:rPr>
        <w:t>издадени заповеди по реда на § 33, ал.2 от Преходните и Заключителни разпоредби към Закона за изменение и допълнение на Закона за кадастъра и имотния регистър</w:t>
      </w:r>
      <w:r w:rsidRPr="0068206D">
        <w:rPr>
          <w:rFonts w:ascii="Times New Roman" w:hAnsi="Times New Roman" w:cs="Times New Roman"/>
          <w:sz w:val="24"/>
          <w:szCs w:val="24"/>
        </w:rPr>
        <w:t xml:space="preserve"> (</w:t>
      </w:r>
      <w:r w:rsidRPr="0068206D">
        <w:rPr>
          <w:rFonts w:ascii="Times New Roman" w:hAnsi="Times New Roman" w:cs="Times New Roman"/>
          <w:sz w:val="24"/>
          <w:szCs w:val="24"/>
          <w:lang w:val="bg-BG"/>
        </w:rPr>
        <w:t xml:space="preserve"> ПЗР към ЗИД на ЗКИР</w:t>
      </w:r>
      <w:r w:rsidRPr="0068206D">
        <w:rPr>
          <w:rFonts w:ascii="Times New Roman" w:hAnsi="Times New Roman" w:cs="Times New Roman"/>
          <w:sz w:val="24"/>
          <w:szCs w:val="24"/>
        </w:rPr>
        <w:t>)</w:t>
      </w:r>
      <w:r w:rsidRPr="0068206D">
        <w:rPr>
          <w:rFonts w:ascii="Times New Roman" w:hAnsi="Times New Roman" w:cs="Times New Roman"/>
          <w:sz w:val="24"/>
          <w:szCs w:val="24"/>
          <w:lang w:val="bg-BG"/>
        </w:rPr>
        <w:t xml:space="preserve"> за прекратяване на дейността на ОСЗ по поддържане на картата на възстановена собственост (КВС)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Към 31.12.2018г. на територията на област Кърджали има издадени заповеди за 435 бр. землища, към същия период остават 6 бр. землища, за които предстои издаване на заповеди за прекратяване на дейността на ОСЗ по поддръжка на КВС и преминаването на поддръжката към АГКК.  </w:t>
      </w:r>
    </w:p>
    <w:p w:rsidR="00255280" w:rsidRDefault="00255280" w:rsidP="006A4115">
      <w:pPr>
        <w:ind w:left="284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Юрисконсултът в ОД „Земеделие” гр. Кърджали освен процесуалното представителство на Министъра на земеделието, храните и горите и на директора на ОД „Земеделие”, изготвя становища по жалби, молби и сигнали, подпомага и дейността на ГД „АР”, като изготвя становища по преписки, свързани със стопанисването на имотите от ДПФ и имоти от стопански дворове, предложения до МЗХГ за анексиране на договори за аренда и анекси по тях. Прави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искания до службата по вписване за прекратяване на договори за аренда на имоти от ДПФ при не погасяване на задълженията по тях и искания до съда за издаване на заповед по реда на чл. 417 от ГПК с цел принудително събиране на сумите, подават молби до съдия изпълнител за образуване на изпълнителни производства за събиране на сумите от некоректни платци, участват в тръжни процедури по отдаване под наем и аренда на имотите от ДПФ като член на комисии, изготвят протоколи за резултатите от търга и договори.При установяване на ползване без правно основание на имоти от ДПФ, те провеждат административното производство до издаване на индивидуален административен акт по реда на чл. 34, ал. 8 от ЗСПЗЗ за изземване на имота от неправомерния ползвател. Изготвя становища във връзка с издаването на наказателни постановления в изпълнение на ЗРКЗГТ и </w:t>
      </w:r>
      <w:r w:rsidRPr="0016566E">
        <w:rPr>
          <w:rFonts w:ascii="Times New Roman" w:hAnsi="Times New Roman" w:cs="Times New Roman"/>
          <w:sz w:val="24"/>
          <w:szCs w:val="24"/>
          <w:lang w:val="bg-BG"/>
        </w:rPr>
        <w:t>Закона за прилагане на общата организация на пазарите на земеделски продукти на европейския съюз /ЗПООПЗПЕС/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5280" w:rsidRPr="0016566E" w:rsidRDefault="00255280" w:rsidP="006A4115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От началото на 2018г. до момента 31.12.2018г. общият брой на постъпилите преписки</w:t>
      </w:r>
      <w:r>
        <w:rPr>
          <w:rFonts w:ascii="Times New Roman" w:hAnsi="Times New Roman" w:cs="Times New Roman"/>
          <w:sz w:val="24"/>
          <w:szCs w:val="24"/>
        </w:rPr>
        <w:t xml:space="preserve">, писма </w:t>
      </w:r>
      <w:r>
        <w:rPr>
          <w:rFonts w:ascii="Times New Roman" w:hAnsi="Times New Roman" w:cs="Times New Roman"/>
          <w:sz w:val="24"/>
          <w:szCs w:val="24"/>
          <w:lang w:val="bg-BG"/>
        </w:rPr>
        <w:t>и отговорите по тях, регистрирани в деловодната система на в ОД „Земеделие” гр. Кърджали е  8513 бр.</w:t>
      </w:r>
    </w:p>
    <w:p w:rsidR="00255280" w:rsidRPr="006A4115" w:rsidRDefault="00255280" w:rsidP="006A4115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255280" w:rsidRDefault="00255280" w:rsidP="005773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5280" w:rsidRPr="008C0563" w:rsidRDefault="00255280" w:rsidP="005773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5280" w:rsidRPr="00424D4F" w:rsidRDefault="00255280" w:rsidP="002F463D">
      <w:pPr>
        <w:ind w:left="-90" w:firstLine="81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424D4F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ПРЕДЛОЖЕНИЯ И ИДЕИ ЗА ПОДОБРЯВАНЕ РАБОТАТА НА ОД ”ЗЕМЕДЕЛИЕ” КЪРДЖАЛИ</w:t>
      </w:r>
    </w:p>
    <w:p w:rsidR="00255280" w:rsidRPr="00424D4F" w:rsidRDefault="00255280" w:rsidP="002F463D">
      <w:pPr>
        <w:ind w:left="-90" w:firstLine="8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255280" w:rsidRDefault="00255280" w:rsidP="00D967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оглед утвърждаване на областна дирекция “Земеделие” гр. Кърджали като водеща структура в областта на земеделието в процеса на работа се стремим да популяризираме дейността на дирекцията и предлаганите услуги. Целта е повишаване качеството на изпълнение, прозрачност и отговорност в работата, максимална информираност на населението за възможностите, които се откриват в тази област, за ползите, ефективността и преструктурирането на отделни стопанства, чрез засилен контрол да се сведат до минимум грешките и действията с нежелани последици. Това ще постигнем, като:</w:t>
      </w:r>
    </w:p>
    <w:p w:rsidR="00255280" w:rsidRPr="00424D4F" w:rsidRDefault="00255280" w:rsidP="00D967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 з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асил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ролята на експертите в областната дирекция по информационно – методичните и консултантски дейности по прилагане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схемите и 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мерките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директни плащания и 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ПРСР;</w:t>
      </w:r>
    </w:p>
    <w:p w:rsidR="00255280" w:rsidRPr="00424D4F" w:rsidRDefault="00255280" w:rsidP="00D967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 п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оддържа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по-тясна информационно-комуникативна дейност между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пециализираната администрация в областната дирекция и общинските служби в областта;</w:t>
      </w:r>
    </w:p>
    <w:p w:rsidR="00255280" w:rsidRPr="00424D4F" w:rsidRDefault="00255280" w:rsidP="00D967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 разшири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ролята на общинските служби по земеделие в съвместната работа с местната власт;</w:t>
      </w:r>
    </w:p>
    <w:p w:rsidR="00255280" w:rsidRPr="00424D4F" w:rsidRDefault="00255280" w:rsidP="00D967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се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подо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бр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върху ползването на имоти от ДПФ;</w:t>
      </w:r>
    </w:p>
    <w:p w:rsidR="00255280" w:rsidRPr="00424D4F" w:rsidRDefault="00255280" w:rsidP="00D967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служителите на областната дирекция повишават нивото на своите компетентности. </w:t>
      </w:r>
    </w:p>
    <w:p w:rsidR="00255280" w:rsidRPr="00424D4F" w:rsidRDefault="00255280" w:rsidP="00D967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D4F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год. развитието на земеделския отрасъл продълж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ава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условията на реалното ни членство в ЕС. 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>Наред с финансова подкрепа, която получ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ав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>ат българските земеделски производители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като директни плащания, пазарна подкрепа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>и средства за развитие на селските райони, тяхното интегриране в европейския пазар изисква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ше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и продължава да изисква 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>не малко усилия за спазването на добрите и модерни европейски практики, норми и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>стандарти за производството на висококачествена, безопасна за потребителите и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>конкурентноспособна продукция.</w:t>
      </w:r>
    </w:p>
    <w:p w:rsidR="00255280" w:rsidRPr="00424D4F" w:rsidRDefault="00255280" w:rsidP="00D967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Областна дирекция </w:t>
      </w:r>
      <w:r w:rsidRPr="00424D4F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Земеделие” гр. Кърджали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>, като отчита постигнатите резултати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развитието на аграрния отрасъл и има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йки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пред вид, че настоящите реалности изискват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 умело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съчетаване на общата европейска политика с националната, 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 xml:space="preserve">подчинява изцяло своята дейност на 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>определ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ените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приоритети и цели на политиката си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в това число политиката на МЗХ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424D4F">
        <w:rPr>
          <w:rFonts w:ascii="Times New Roman" w:hAnsi="Times New Roman" w:cs="Times New Roman"/>
          <w:sz w:val="24"/>
          <w:szCs w:val="24"/>
          <w:lang w:val="bg-BG"/>
        </w:rPr>
        <w:t>, за осъществяването им п</w:t>
      </w:r>
      <w:r w:rsidRPr="00424D4F">
        <w:rPr>
          <w:rFonts w:ascii="Times New Roman" w:hAnsi="Times New Roman" w:cs="Times New Roman"/>
          <w:sz w:val="24"/>
          <w:szCs w:val="24"/>
          <w:lang w:val="ru-RU"/>
        </w:rPr>
        <w:t xml:space="preserve">рез </w:t>
      </w:r>
      <w:r>
        <w:rPr>
          <w:rFonts w:ascii="Times New Roman" w:hAnsi="Times New Roman" w:cs="Times New Roman"/>
          <w:sz w:val="24"/>
          <w:szCs w:val="24"/>
          <w:lang w:val="ru-RU"/>
        </w:rPr>
        <w:t>новия програмен период.</w:t>
      </w:r>
    </w:p>
    <w:p w:rsidR="00255280" w:rsidRDefault="00255280" w:rsidP="002F463D">
      <w:pPr>
        <w:ind w:left="7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5280" w:rsidRDefault="00255280" w:rsidP="002F463D">
      <w:pPr>
        <w:ind w:left="7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5280" w:rsidRPr="00424D4F" w:rsidRDefault="00255280" w:rsidP="002F463D">
      <w:pPr>
        <w:ind w:left="7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5280" w:rsidRDefault="00255280" w:rsidP="002F463D">
      <w:pPr>
        <w:ind w:left="7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280" w:rsidRPr="00424D4F" w:rsidRDefault="00255280" w:rsidP="002F463D">
      <w:pPr>
        <w:ind w:left="7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24D4F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ОД ”ЗЕМЕДЕЛИЕ” КЪРДЖАЛИ…………………………</w:t>
      </w:r>
    </w:p>
    <w:p w:rsidR="00255280" w:rsidRPr="002F463D" w:rsidRDefault="00255280" w:rsidP="00BC6E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</w:t>
      </w:r>
      <w:r w:rsidRPr="00424D4F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Йорданка Гочева</w:t>
      </w:r>
      <w:r w:rsidRPr="00424D4F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</w:p>
    <w:sectPr w:rsidR="00255280" w:rsidRPr="002F463D" w:rsidSect="00F203FE">
      <w:footerReference w:type="default" r:id="rId15"/>
      <w:headerReference w:type="first" r:id="rId16"/>
      <w:footerReference w:type="first" r:id="rId17"/>
      <w:pgSz w:w="11907" w:h="16840" w:code="9"/>
      <w:pgMar w:top="990" w:right="567" w:bottom="851" w:left="993" w:header="85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87" w:rsidRDefault="00544287">
      <w:r>
        <w:separator/>
      </w:r>
    </w:p>
  </w:endnote>
  <w:endnote w:type="continuationSeparator" w:id="0">
    <w:p w:rsidR="00544287" w:rsidRDefault="0054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80" w:rsidRDefault="00255280" w:rsidP="00973DCE">
    <w:pPr>
      <w:pStyle w:val="a5"/>
      <w:framePr w:wrap="auto" w:vAnchor="text" w:hAnchor="margin" w:xAlign="center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separate"/>
    </w:r>
    <w:r w:rsidR="00712A54">
      <w:rPr>
        <w:rStyle w:val="af5"/>
        <w:rFonts w:cs="Arial"/>
        <w:noProof/>
      </w:rPr>
      <w:t>2</w:t>
    </w:r>
    <w:r>
      <w:rPr>
        <w:rStyle w:val="af5"/>
        <w:rFonts w:cs="Arial"/>
      </w:rPr>
      <w:fldChar w:fldCharType="end"/>
    </w:r>
  </w:p>
  <w:p w:rsidR="00255280" w:rsidRDefault="00255280">
    <w:pPr>
      <w:pStyle w:val="a5"/>
      <w:jc w:val="right"/>
    </w:pPr>
  </w:p>
  <w:p w:rsidR="00255280" w:rsidRDefault="002552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80" w:rsidRDefault="00255280" w:rsidP="0099677F">
    <w:pPr>
      <w:jc w:val="center"/>
      <w:rPr>
        <w:sz w:val="18"/>
        <w:szCs w:val="18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</w:t>
    </w:r>
  </w:p>
  <w:p w:rsidR="00255280" w:rsidRPr="003E2E98" w:rsidRDefault="00255280" w:rsidP="0099677F">
    <w:pPr>
      <w:jc w:val="center"/>
      <w:rPr>
        <w:sz w:val="18"/>
        <w:szCs w:val="18"/>
        <w:lang w:val="ru-RU"/>
      </w:rPr>
    </w:pPr>
    <w:r>
      <w:rPr>
        <w:sz w:val="18"/>
        <w:szCs w:val="18"/>
        <w:lang w:val="bg-BG"/>
      </w:rPr>
      <w:t xml:space="preserve">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>рия” №74, ПК 19</w:t>
    </w:r>
    <w:r w:rsidRPr="003E2E98">
      <w:rPr>
        <w:sz w:val="18"/>
        <w:szCs w:val="18"/>
        <w:lang w:val="ru-RU"/>
      </w:rPr>
      <w:t xml:space="preserve">, </w:t>
    </w:r>
    <w:r>
      <w:rPr>
        <w:sz w:val="18"/>
        <w:szCs w:val="18"/>
        <w:lang w:val="bg-BG"/>
      </w:rPr>
      <w:t>тел./факс 0361-6 2976 /6 2996 /6 5603</w:t>
    </w:r>
    <w:r w:rsidRPr="000B03D9">
      <w:rPr>
        <w:sz w:val="18"/>
        <w:szCs w:val="18"/>
        <w:lang w:val="bg-BG"/>
      </w:rPr>
      <w:t xml:space="preserve"> </w:t>
    </w:r>
  </w:p>
  <w:p w:rsidR="00255280" w:rsidRPr="00025093" w:rsidRDefault="00255280" w:rsidP="0099677F">
    <w:pPr>
      <w:jc w:val="center"/>
      <w:rPr>
        <w:sz w:val="18"/>
        <w:szCs w:val="18"/>
        <w:lang w:val="bg-BG"/>
      </w:rPr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0B03D9">
      <w:rPr>
        <w:sz w:val="18"/>
        <w:szCs w:val="18"/>
        <w:lang w:val="bg-BG"/>
      </w:rPr>
      <w:t xml:space="preserve">: </w:t>
    </w:r>
    <w:r w:rsidRPr="007B50E9">
      <w:rPr>
        <w:sz w:val="18"/>
        <w:szCs w:val="18"/>
      </w:rPr>
      <w:t>Delovod</w:t>
    </w:r>
    <w:r w:rsidRPr="00025093">
      <w:rPr>
        <w:sz w:val="18"/>
        <w:szCs w:val="18"/>
        <w:lang w:val="bg-BG"/>
      </w:rPr>
      <w:t>-</w:t>
    </w:r>
    <w:r w:rsidRPr="007B50E9">
      <w:rPr>
        <w:sz w:val="18"/>
        <w:szCs w:val="18"/>
      </w:rPr>
      <w:t>ODZ</w:t>
    </w:r>
    <w:r w:rsidRPr="00025093">
      <w:rPr>
        <w:sz w:val="18"/>
        <w:szCs w:val="18"/>
        <w:lang w:val="bg-BG"/>
      </w:rPr>
      <w:t>_</w:t>
    </w:r>
    <w:r w:rsidRPr="007B50E9">
      <w:rPr>
        <w:sz w:val="18"/>
        <w:szCs w:val="18"/>
      </w:rPr>
      <w:t>Kj</w:t>
    </w:r>
    <w:r w:rsidRPr="00025093">
      <w:rPr>
        <w:sz w:val="18"/>
        <w:szCs w:val="18"/>
        <w:lang w:val="bg-BG"/>
      </w:rPr>
      <w:t>@</w:t>
    </w:r>
    <w:r w:rsidRPr="007B50E9">
      <w:rPr>
        <w:sz w:val="18"/>
        <w:szCs w:val="18"/>
      </w:rPr>
      <w:t>mbox</w:t>
    </w:r>
    <w:r w:rsidRPr="00025093">
      <w:rPr>
        <w:sz w:val="18"/>
        <w:szCs w:val="18"/>
        <w:lang w:val="bg-BG"/>
      </w:rPr>
      <w:t>.</w:t>
    </w:r>
    <w:r w:rsidRPr="007B50E9">
      <w:rPr>
        <w:sz w:val="18"/>
        <w:szCs w:val="18"/>
      </w:rPr>
      <w:t>contact</w:t>
    </w:r>
    <w:r w:rsidRPr="00025093">
      <w:rPr>
        <w:sz w:val="18"/>
        <w:szCs w:val="18"/>
        <w:lang w:val="bg-BG"/>
      </w:rPr>
      <w:t>.</w:t>
    </w:r>
    <w:r w:rsidRPr="007B50E9">
      <w:rPr>
        <w:sz w:val="18"/>
        <w:szCs w:val="18"/>
      </w:rPr>
      <w:t>bg</w:t>
    </w:r>
  </w:p>
  <w:p w:rsidR="00255280" w:rsidRPr="00376F5E" w:rsidRDefault="00255280" w:rsidP="001F05CE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87" w:rsidRDefault="00544287">
      <w:r>
        <w:separator/>
      </w:r>
    </w:p>
  </w:footnote>
  <w:footnote w:type="continuationSeparator" w:id="0">
    <w:p w:rsidR="00544287" w:rsidRDefault="0054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80" w:rsidRPr="005B69F7" w:rsidRDefault="00712A54" w:rsidP="005B69F7">
    <w:pPr>
      <w:pStyle w:val="2"/>
      <w:rPr>
        <w:rStyle w:val="aa"/>
        <w:rFonts w:cs="Cambria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280" w:rsidRPr="005B69F7" w:rsidRDefault="00712A5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255280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255280" w:rsidRPr="004A4785" w:rsidRDefault="0025528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 w:cs="Helen Bg Condensed"/>
        <w:spacing w:val="40"/>
        <w:sz w:val="26"/>
        <w:szCs w:val="26"/>
      </w:rPr>
      <w:t>Министерство на земеделието,</w:t>
    </w:r>
    <w:r w:rsidRPr="004A4785">
      <w:rPr>
        <w:rFonts w:ascii="Helen Bg Condensed" w:hAnsi="Helen Bg Condensed" w:cs="Helen Bg Condensed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spacing w:val="40"/>
        <w:sz w:val="26"/>
        <w:szCs w:val="26"/>
      </w:rPr>
      <w:t xml:space="preserve"> и горите</w:t>
    </w:r>
  </w:p>
  <w:p w:rsidR="00255280" w:rsidRPr="004A4785" w:rsidRDefault="00712A54" w:rsidP="00E44584">
    <w:pPr>
      <w:ind w:firstLine="1282"/>
      <w:rPr>
        <w:b/>
        <w:bCs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255280" w:rsidRPr="004A4785">
      <w:rPr>
        <w:rFonts w:ascii="Helen Bg Condensed" w:hAnsi="Helen Bg Condensed" w:cs="Helen Bg Condensed"/>
        <w:b/>
        <w:bCs/>
        <w:spacing w:val="40"/>
        <w:sz w:val="26"/>
        <w:szCs w:val="26"/>
        <w:lang w:val="ru-RU"/>
      </w:rPr>
      <w:t xml:space="preserve">Областна дирекция </w:t>
    </w:r>
    <w:r w:rsidR="00255280" w:rsidRPr="004A4785">
      <w:rPr>
        <w:rFonts w:ascii="Helen Bg Condensed" w:hAnsi="Helen Bg Condensed" w:cs="Helen Bg Condensed"/>
        <w:b/>
        <w:bCs/>
        <w:spacing w:val="40"/>
        <w:sz w:val="26"/>
        <w:szCs w:val="26"/>
      </w:rPr>
      <w:t>“</w:t>
    </w:r>
    <w:r w:rsidR="00255280" w:rsidRPr="004A4785">
      <w:rPr>
        <w:rFonts w:ascii="Helen Bg Condensed" w:hAnsi="Helen Bg Condensed" w:cs="Helen Bg Condensed"/>
        <w:b/>
        <w:bCs/>
        <w:spacing w:val="40"/>
        <w:sz w:val="26"/>
        <w:szCs w:val="26"/>
        <w:lang w:val="bg-BG"/>
      </w:rPr>
      <w:t>Земеделие</w:t>
    </w:r>
    <w:r w:rsidR="00255280" w:rsidRPr="004A4785">
      <w:rPr>
        <w:rFonts w:ascii="Helen Bg Condensed" w:hAnsi="Helen Bg Condensed" w:cs="Helen Bg Condensed"/>
        <w:b/>
        <w:bCs/>
        <w:spacing w:val="40"/>
        <w:sz w:val="26"/>
        <w:szCs w:val="26"/>
      </w:rPr>
      <w:t>”</w:t>
    </w:r>
    <w:r w:rsidR="00255280" w:rsidRPr="004A4785">
      <w:rPr>
        <w:rFonts w:ascii="Helen Bg Condensed" w:hAnsi="Helen Bg Condensed" w:cs="Helen Bg Condensed"/>
        <w:b/>
        <w:bCs/>
        <w:spacing w:val="40"/>
        <w:sz w:val="26"/>
        <w:szCs w:val="26"/>
        <w:lang w:val="bg-BG"/>
      </w:rPr>
      <w:t xml:space="preserve"> гр.Кърджали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14A"/>
    <w:multiLevelType w:val="hybridMultilevel"/>
    <w:tmpl w:val="FFF051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335EC"/>
    <w:multiLevelType w:val="hybridMultilevel"/>
    <w:tmpl w:val="D1C27D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5562EB0"/>
    <w:multiLevelType w:val="hybridMultilevel"/>
    <w:tmpl w:val="C49C50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8649E"/>
    <w:multiLevelType w:val="hybridMultilevel"/>
    <w:tmpl w:val="8CB0ADA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0571C"/>
    <w:multiLevelType w:val="hybridMultilevel"/>
    <w:tmpl w:val="30A467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447F"/>
    <w:multiLevelType w:val="hybridMultilevel"/>
    <w:tmpl w:val="0AA84D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11595C"/>
    <w:multiLevelType w:val="hybridMultilevel"/>
    <w:tmpl w:val="E04668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6B3556"/>
    <w:multiLevelType w:val="hybridMultilevel"/>
    <w:tmpl w:val="ABD48E46"/>
    <w:lvl w:ilvl="0" w:tplc="D62E6464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8">
    <w:nsid w:val="58E51E43"/>
    <w:multiLevelType w:val="hybridMultilevel"/>
    <w:tmpl w:val="3E1E4FAC"/>
    <w:lvl w:ilvl="0" w:tplc="0402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5A3C775C"/>
    <w:multiLevelType w:val="hybridMultilevel"/>
    <w:tmpl w:val="A806737C"/>
    <w:lvl w:ilvl="0" w:tplc="0402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</w:rPr>
    </w:lvl>
    <w:lvl w:ilvl="1" w:tplc="E2E06A20">
      <w:start w:val="9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7C7F5EA0"/>
    <w:multiLevelType w:val="multilevel"/>
    <w:tmpl w:val="C48A6B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1">
    <w:nsid w:val="7CF62A82"/>
    <w:multiLevelType w:val="hybridMultilevel"/>
    <w:tmpl w:val="0C14C24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A9"/>
    <w:rsid w:val="0000145B"/>
    <w:rsid w:val="00001579"/>
    <w:rsid w:val="00004AE3"/>
    <w:rsid w:val="00004C03"/>
    <w:rsid w:val="00012549"/>
    <w:rsid w:val="00013B0F"/>
    <w:rsid w:val="0002279B"/>
    <w:rsid w:val="00023762"/>
    <w:rsid w:val="00024C29"/>
    <w:rsid w:val="00025093"/>
    <w:rsid w:val="0003326C"/>
    <w:rsid w:val="000335DD"/>
    <w:rsid w:val="0003377F"/>
    <w:rsid w:val="00034275"/>
    <w:rsid w:val="0003452F"/>
    <w:rsid w:val="00035990"/>
    <w:rsid w:val="000361AB"/>
    <w:rsid w:val="00037B0B"/>
    <w:rsid w:val="00045DAE"/>
    <w:rsid w:val="000477BF"/>
    <w:rsid w:val="000512AE"/>
    <w:rsid w:val="00052342"/>
    <w:rsid w:val="00053407"/>
    <w:rsid w:val="00054645"/>
    <w:rsid w:val="00054CC6"/>
    <w:rsid w:val="00054CEB"/>
    <w:rsid w:val="00055852"/>
    <w:rsid w:val="00055AF1"/>
    <w:rsid w:val="0005609A"/>
    <w:rsid w:val="000600F8"/>
    <w:rsid w:val="0006066A"/>
    <w:rsid w:val="0006350C"/>
    <w:rsid w:val="00067A24"/>
    <w:rsid w:val="000713C0"/>
    <w:rsid w:val="000721C7"/>
    <w:rsid w:val="00072DD6"/>
    <w:rsid w:val="000740FA"/>
    <w:rsid w:val="00075577"/>
    <w:rsid w:val="00077453"/>
    <w:rsid w:val="00077808"/>
    <w:rsid w:val="00084571"/>
    <w:rsid w:val="00094A70"/>
    <w:rsid w:val="00096130"/>
    <w:rsid w:val="00096189"/>
    <w:rsid w:val="00097770"/>
    <w:rsid w:val="000A134A"/>
    <w:rsid w:val="000A3464"/>
    <w:rsid w:val="000A3697"/>
    <w:rsid w:val="000A411D"/>
    <w:rsid w:val="000A5030"/>
    <w:rsid w:val="000A53AE"/>
    <w:rsid w:val="000B03D9"/>
    <w:rsid w:val="000B15B8"/>
    <w:rsid w:val="000B551B"/>
    <w:rsid w:val="000B56D6"/>
    <w:rsid w:val="000C04E6"/>
    <w:rsid w:val="000C5E0A"/>
    <w:rsid w:val="000D0A19"/>
    <w:rsid w:val="000D1769"/>
    <w:rsid w:val="000D1A25"/>
    <w:rsid w:val="000D1AAD"/>
    <w:rsid w:val="000D5963"/>
    <w:rsid w:val="000D6523"/>
    <w:rsid w:val="000E10AE"/>
    <w:rsid w:val="000E5541"/>
    <w:rsid w:val="000E6092"/>
    <w:rsid w:val="000F0880"/>
    <w:rsid w:val="000F3064"/>
    <w:rsid w:val="000F6F37"/>
    <w:rsid w:val="000F7EB8"/>
    <w:rsid w:val="001017E3"/>
    <w:rsid w:val="00103051"/>
    <w:rsid w:val="00103E6B"/>
    <w:rsid w:val="00104539"/>
    <w:rsid w:val="00104542"/>
    <w:rsid w:val="0010613B"/>
    <w:rsid w:val="00110046"/>
    <w:rsid w:val="00116310"/>
    <w:rsid w:val="001204B2"/>
    <w:rsid w:val="001241B5"/>
    <w:rsid w:val="00130396"/>
    <w:rsid w:val="00134076"/>
    <w:rsid w:val="0013430C"/>
    <w:rsid w:val="0013700D"/>
    <w:rsid w:val="00140CBC"/>
    <w:rsid w:val="0014183E"/>
    <w:rsid w:val="00141B6A"/>
    <w:rsid w:val="001428C8"/>
    <w:rsid w:val="00146DF8"/>
    <w:rsid w:val="00150AA0"/>
    <w:rsid w:val="0015124F"/>
    <w:rsid w:val="00152A8A"/>
    <w:rsid w:val="00153E58"/>
    <w:rsid w:val="00157D1E"/>
    <w:rsid w:val="00160BE5"/>
    <w:rsid w:val="00164586"/>
    <w:rsid w:val="0016566E"/>
    <w:rsid w:val="001679B3"/>
    <w:rsid w:val="001745E1"/>
    <w:rsid w:val="00177361"/>
    <w:rsid w:val="00181C6C"/>
    <w:rsid w:val="00181E3C"/>
    <w:rsid w:val="001835B3"/>
    <w:rsid w:val="0018488B"/>
    <w:rsid w:val="00187757"/>
    <w:rsid w:val="00190220"/>
    <w:rsid w:val="00192CB2"/>
    <w:rsid w:val="00194AD0"/>
    <w:rsid w:val="00194DD4"/>
    <w:rsid w:val="001A03EA"/>
    <w:rsid w:val="001A3609"/>
    <w:rsid w:val="001A413F"/>
    <w:rsid w:val="001A6554"/>
    <w:rsid w:val="001A6663"/>
    <w:rsid w:val="001A72FC"/>
    <w:rsid w:val="001A7EDC"/>
    <w:rsid w:val="001B2107"/>
    <w:rsid w:val="001B2C39"/>
    <w:rsid w:val="001B4A56"/>
    <w:rsid w:val="001B4BA5"/>
    <w:rsid w:val="001B65F9"/>
    <w:rsid w:val="001C1EB0"/>
    <w:rsid w:val="001C26BC"/>
    <w:rsid w:val="001C3519"/>
    <w:rsid w:val="001C39AC"/>
    <w:rsid w:val="001C3AC3"/>
    <w:rsid w:val="001C5129"/>
    <w:rsid w:val="001C54E7"/>
    <w:rsid w:val="001D1B49"/>
    <w:rsid w:val="001D20DE"/>
    <w:rsid w:val="001D3B22"/>
    <w:rsid w:val="001E0784"/>
    <w:rsid w:val="001E10FD"/>
    <w:rsid w:val="001E2C6E"/>
    <w:rsid w:val="001E6B5D"/>
    <w:rsid w:val="001E7F15"/>
    <w:rsid w:val="001F048A"/>
    <w:rsid w:val="001F051E"/>
    <w:rsid w:val="001F05CE"/>
    <w:rsid w:val="001F5C24"/>
    <w:rsid w:val="001F600F"/>
    <w:rsid w:val="001F6C98"/>
    <w:rsid w:val="001F7A43"/>
    <w:rsid w:val="001F7AAC"/>
    <w:rsid w:val="001F7D56"/>
    <w:rsid w:val="00201DD3"/>
    <w:rsid w:val="00202CE9"/>
    <w:rsid w:val="00203CAE"/>
    <w:rsid w:val="00203FE8"/>
    <w:rsid w:val="0020653E"/>
    <w:rsid w:val="002121D5"/>
    <w:rsid w:val="00212799"/>
    <w:rsid w:val="0021389A"/>
    <w:rsid w:val="0021419A"/>
    <w:rsid w:val="002202AB"/>
    <w:rsid w:val="00221138"/>
    <w:rsid w:val="00222CE6"/>
    <w:rsid w:val="00225564"/>
    <w:rsid w:val="00227BEE"/>
    <w:rsid w:val="00232F8E"/>
    <w:rsid w:val="00233B0A"/>
    <w:rsid w:val="002349A9"/>
    <w:rsid w:val="002426F7"/>
    <w:rsid w:val="00242A58"/>
    <w:rsid w:val="00243D7B"/>
    <w:rsid w:val="00244020"/>
    <w:rsid w:val="002443A9"/>
    <w:rsid w:val="002460AD"/>
    <w:rsid w:val="00250D9F"/>
    <w:rsid w:val="00253DF9"/>
    <w:rsid w:val="0025496F"/>
    <w:rsid w:val="00255280"/>
    <w:rsid w:val="002558F5"/>
    <w:rsid w:val="00257063"/>
    <w:rsid w:val="002575B3"/>
    <w:rsid w:val="00261A92"/>
    <w:rsid w:val="0026434D"/>
    <w:rsid w:val="00264C5B"/>
    <w:rsid w:val="00266D04"/>
    <w:rsid w:val="00276229"/>
    <w:rsid w:val="00277976"/>
    <w:rsid w:val="00280B45"/>
    <w:rsid w:val="0028145C"/>
    <w:rsid w:val="00282B96"/>
    <w:rsid w:val="002929D0"/>
    <w:rsid w:val="00294F83"/>
    <w:rsid w:val="002A05EE"/>
    <w:rsid w:val="002A1143"/>
    <w:rsid w:val="002A2F51"/>
    <w:rsid w:val="002A35C3"/>
    <w:rsid w:val="002A3A86"/>
    <w:rsid w:val="002A5BD6"/>
    <w:rsid w:val="002A5F60"/>
    <w:rsid w:val="002A7A15"/>
    <w:rsid w:val="002B1389"/>
    <w:rsid w:val="002B1D64"/>
    <w:rsid w:val="002B26C3"/>
    <w:rsid w:val="002B339C"/>
    <w:rsid w:val="002B52AA"/>
    <w:rsid w:val="002B7855"/>
    <w:rsid w:val="002C3A51"/>
    <w:rsid w:val="002C7D80"/>
    <w:rsid w:val="002D1FBA"/>
    <w:rsid w:val="002D2324"/>
    <w:rsid w:val="002D3001"/>
    <w:rsid w:val="002D40DB"/>
    <w:rsid w:val="002D4F3A"/>
    <w:rsid w:val="002D72D8"/>
    <w:rsid w:val="002E1060"/>
    <w:rsid w:val="002E25BD"/>
    <w:rsid w:val="002E25EF"/>
    <w:rsid w:val="002E4129"/>
    <w:rsid w:val="002E7516"/>
    <w:rsid w:val="002E7D0D"/>
    <w:rsid w:val="002E7D1B"/>
    <w:rsid w:val="002E7D4B"/>
    <w:rsid w:val="002F0009"/>
    <w:rsid w:val="002F1D9B"/>
    <w:rsid w:val="002F3B6B"/>
    <w:rsid w:val="002F463D"/>
    <w:rsid w:val="002F68A7"/>
    <w:rsid w:val="0030309F"/>
    <w:rsid w:val="00303D9F"/>
    <w:rsid w:val="00304624"/>
    <w:rsid w:val="00304CD3"/>
    <w:rsid w:val="003123E8"/>
    <w:rsid w:val="003139DC"/>
    <w:rsid w:val="003150BB"/>
    <w:rsid w:val="00315A7E"/>
    <w:rsid w:val="00316276"/>
    <w:rsid w:val="0032007C"/>
    <w:rsid w:val="0032066B"/>
    <w:rsid w:val="003260EE"/>
    <w:rsid w:val="00331122"/>
    <w:rsid w:val="0033127D"/>
    <w:rsid w:val="0033188A"/>
    <w:rsid w:val="003356C0"/>
    <w:rsid w:val="00335F7F"/>
    <w:rsid w:val="00336792"/>
    <w:rsid w:val="003371F9"/>
    <w:rsid w:val="0034374C"/>
    <w:rsid w:val="003460A1"/>
    <w:rsid w:val="00346A0D"/>
    <w:rsid w:val="003529BD"/>
    <w:rsid w:val="00353649"/>
    <w:rsid w:val="003553FB"/>
    <w:rsid w:val="003562FA"/>
    <w:rsid w:val="003566ED"/>
    <w:rsid w:val="00361B88"/>
    <w:rsid w:val="00364509"/>
    <w:rsid w:val="0036552F"/>
    <w:rsid w:val="00366F61"/>
    <w:rsid w:val="00372296"/>
    <w:rsid w:val="00374BF8"/>
    <w:rsid w:val="0037629B"/>
    <w:rsid w:val="0037630A"/>
    <w:rsid w:val="00376A3C"/>
    <w:rsid w:val="00376F5E"/>
    <w:rsid w:val="003833B3"/>
    <w:rsid w:val="00385DEA"/>
    <w:rsid w:val="00392094"/>
    <w:rsid w:val="00393569"/>
    <w:rsid w:val="00396137"/>
    <w:rsid w:val="00396E12"/>
    <w:rsid w:val="003A209A"/>
    <w:rsid w:val="003A3B5A"/>
    <w:rsid w:val="003A5B51"/>
    <w:rsid w:val="003A618F"/>
    <w:rsid w:val="003A68D3"/>
    <w:rsid w:val="003A6AE0"/>
    <w:rsid w:val="003A765F"/>
    <w:rsid w:val="003A789E"/>
    <w:rsid w:val="003B32CB"/>
    <w:rsid w:val="003B45ED"/>
    <w:rsid w:val="003B52B6"/>
    <w:rsid w:val="003B7313"/>
    <w:rsid w:val="003C2FAC"/>
    <w:rsid w:val="003C475C"/>
    <w:rsid w:val="003C4D11"/>
    <w:rsid w:val="003D67C9"/>
    <w:rsid w:val="003E1E3B"/>
    <w:rsid w:val="003E2414"/>
    <w:rsid w:val="003E2E98"/>
    <w:rsid w:val="003E3CBC"/>
    <w:rsid w:val="003E5E2E"/>
    <w:rsid w:val="003E6929"/>
    <w:rsid w:val="003E6F3B"/>
    <w:rsid w:val="003E74BB"/>
    <w:rsid w:val="003F3AC6"/>
    <w:rsid w:val="00404969"/>
    <w:rsid w:val="0040548D"/>
    <w:rsid w:val="00411C35"/>
    <w:rsid w:val="004166D4"/>
    <w:rsid w:val="0042153A"/>
    <w:rsid w:val="00421A5D"/>
    <w:rsid w:val="0042345C"/>
    <w:rsid w:val="004249F9"/>
    <w:rsid w:val="00424D4F"/>
    <w:rsid w:val="00424D5E"/>
    <w:rsid w:val="00425B84"/>
    <w:rsid w:val="0042690B"/>
    <w:rsid w:val="004302EE"/>
    <w:rsid w:val="00430F67"/>
    <w:rsid w:val="004311AA"/>
    <w:rsid w:val="00434615"/>
    <w:rsid w:val="00435BF7"/>
    <w:rsid w:val="00436C4E"/>
    <w:rsid w:val="0043776A"/>
    <w:rsid w:val="00443C68"/>
    <w:rsid w:val="004450DE"/>
    <w:rsid w:val="00445C10"/>
    <w:rsid w:val="00445FEE"/>
    <w:rsid w:val="00446795"/>
    <w:rsid w:val="00447822"/>
    <w:rsid w:val="00450699"/>
    <w:rsid w:val="00452CC0"/>
    <w:rsid w:val="0045497D"/>
    <w:rsid w:val="004576DF"/>
    <w:rsid w:val="00462639"/>
    <w:rsid w:val="00467334"/>
    <w:rsid w:val="004679E9"/>
    <w:rsid w:val="00473F58"/>
    <w:rsid w:val="00474B87"/>
    <w:rsid w:val="004755C7"/>
    <w:rsid w:val="004837B1"/>
    <w:rsid w:val="0049334D"/>
    <w:rsid w:val="00494D94"/>
    <w:rsid w:val="00495762"/>
    <w:rsid w:val="00497912"/>
    <w:rsid w:val="004A21EF"/>
    <w:rsid w:val="004A2808"/>
    <w:rsid w:val="004A4785"/>
    <w:rsid w:val="004A6165"/>
    <w:rsid w:val="004B03BA"/>
    <w:rsid w:val="004B3F7F"/>
    <w:rsid w:val="004B4D86"/>
    <w:rsid w:val="004B4DF1"/>
    <w:rsid w:val="004B58F8"/>
    <w:rsid w:val="004C3144"/>
    <w:rsid w:val="004C32CB"/>
    <w:rsid w:val="004C48F8"/>
    <w:rsid w:val="004C5562"/>
    <w:rsid w:val="004D0C76"/>
    <w:rsid w:val="004D37F0"/>
    <w:rsid w:val="004D7FFA"/>
    <w:rsid w:val="004E21E3"/>
    <w:rsid w:val="004E5ADD"/>
    <w:rsid w:val="004E7A52"/>
    <w:rsid w:val="004F1A91"/>
    <w:rsid w:val="004F25DA"/>
    <w:rsid w:val="004F3BBC"/>
    <w:rsid w:val="004F468E"/>
    <w:rsid w:val="004F6274"/>
    <w:rsid w:val="004F67D7"/>
    <w:rsid w:val="004F6F3F"/>
    <w:rsid w:val="004F765C"/>
    <w:rsid w:val="004F76D2"/>
    <w:rsid w:val="00503B5F"/>
    <w:rsid w:val="0050406C"/>
    <w:rsid w:val="00506CDB"/>
    <w:rsid w:val="00511D6C"/>
    <w:rsid w:val="00514120"/>
    <w:rsid w:val="00517237"/>
    <w:rsid w:val="00517E1D"/>
    <w:rsid w:val="00517E48"/>
    <w:rsid w:val="00520564"/>
    <w:rsid w:val="0052070B"/>
    <w:rsid w:val="00521B7D"/>
    <w:rsid w:val="00522C20"/>
    <w:rsid w:val="00522E19"/>
    <w:rsid w:val="0052348E"/>
    <w:rsid w:val="00523D41"/>
    <w:rsid w:val="005250EA"/>
    <w:rsid w:val="0052516B"/>
    <w:rsid w:val="00525AE5"/>
    <w:rsid w:val="005275DB"/>
    <w:rsid w:val="0052781F"/>
    <w:rsid w:val="005315B1"/>
    <w:rsid w:val="00532F9E"/>
    <w:rsid w:val="00535200"/>
    <w:rsid w:val="00536C94"/>
    <w:rsid w:val="00537AD5"/>
    <w:rsid w:val="00540A5A"/>
    <w:rsid w:val="00541674"/>
    <w:rsid w:val="0054249C"/>
    <w:rsid w:val="00542607"/>
    <w:rsid w:val="00543D65"/>
    <w:rsid w:val="00544287"/>
    <w:rsid w:val="005508DB"/>
    <w:rsid w:val="00550FD2"/>
    <w:rsid w:val="00556D73"/>
    <w:rsid w:val="0055771C"/>
    <w:rsid w:val="00560044"/>
    <w:rsid w:val="00561905"/>
    <w:rsid w:val="00561E95"/>
    <w:rsid w:val="00562C05"/>
    <w:rsid w:val="00564624"/>
    <w:rsid w:val="005650F0"/>
    <w:rsid w:val="00567C4D"/>
    <w:rsid w:val="0057056E"/>
    <w:rsid w:val="005730D1"/>
    <w:rsid w:val="005743AA"/>
    <w:rsid w:val="00574F6C"/>
    <w:rsid w:val="00575F3E"/>
    <w:rsid w:val="0057737A"/>
    <w:rsid w:val="005773CE"/>
    <w:rsid w:val="00582647"/>
    <w:rsid w:val="00583E01"/>
    <w:rsid w:val="0058547F"/>
    <w:rsid w:val="00586581"/>
    <w:rsid w:val="00590BE1"/>
    <w:rsid w:val="00593766"/>
    <w:rsid w:val="005A0A59"/>
    <w:rsid w:val="005A2020"/>
    <w:rsid w:val="005A3A19"/>
    <w:rsid w:val="005A3A87"/>
    <w:rsid w:val="005A3B17"/>
    <w:rsid w:val="005A45AA"/>
    <w:rsid w:val="005A7BEC"/>
    <w:rsid w:val="005B1EB7"/>
    <w:rsid w:val="005B3E96"/>
    <w:rsid w:val="005B5C37"/>
    <w:rsid w:val="005B69F7"/>
    <w:rsid w:val="005C2A24"/>
    <w:rsid w:val="005C401C"/>
    <w:rsid w:val="005C5A52"/>
    <w:rsid w:val="005C6EAB"/>
    <w:rsid w:val="005D268B"/>
    <w:rsid w:val="005D2765"/>
    <w:rsid w:val="005D2A08"/>
    <w:rsid w:val="005D2B3F"/>
    <w:rsid w:val="005D3E11"/>
    <w:rsid w:val="005D7788"/>
    <w:rsid w:val="005E1352"/>
    <w:rsid w:val="005E19DF"/>
    <w:rsid w:val="005E1BD9"/>
    <w:rsid w:val="005E1EDB"/>
    <w:rsid w:val="005F074B"/>
    <w:rsid w:val="005F1C54"/>
    <w:rsid w:val="005F4BA0"/>
    <w:rsid w:val="005F4DA3"/>
    <w:rsid w:val="00600E9B"/>
    <w:rsid w:val="00602A0B"/>
    <w:rsid w:val="006037D4"/>
    <w:rsid w:val="0060444E"/>
    <w:rsid w:val="0060583E"/>
    <w:rsid w:val="00611C7C"/>
    <w:rsid w:val="00612516"/>
    <w:rsid w:val="006143E6"/>
    <w:rsid w:val="00623A19"/>
    <w:rsid w:val="00623DC0"/>
    <w:rsid w:val="0062435E"/>
    <w:rsid w:val="006260A5"/>
    <w:rsid w:val="00626A33"/>
    <w:rsid w:val="00626E13"/>
    <w:rsid w:val="00627A1B"/>
    <w:rsid w:val="0063112D"/>
    <w:rsid w:val="0063461A"/>
    <w:rsid w:val="00636C78"/>
    <w:rsid w:val="0063719B"/>
    <w:rsid w:val="00641056"/>
    <w:rsid w:val="00644290"/>
    <w:rsid w:val="00646218"/>
    <w:rsid w:val="00647308"/>
    <w:rsid w:val="00650F20"/>
    <w:rsid w:val="00651AF5"/>
    <w:rsid w:val="00654317"/>
    <w:rsid w:val="006544C4"/>
    <w:rsid w:val="00655281"/>
    <w:rsid w:val="006561A8"/>
    <w:rsid w:val="006579F5"/>
    <w:rsid w:val="006617EB"/>
    <w:rsid w:val="00663EEB"/>
    <w:rsid w:val="00673668"/>
    <w:rsid w:val="00674726"/>
    <w:rsid w:val="00676070"/>
    <w:rsid w:val="00676649"/>
    <w:rsid w:val="00681C46"/>
    <w:rsid w:val="0068206D"/>
    <w:rsid w:val="00685B80"/>
    <w:rsid w:val="0068708C"/>
    <w:rsid w:val="00687D73"/>
    <w:rsid w:val="00693227"/>
    <w:rsid w:val="006956F2"/>
    <w:rsid w:val="0069600A"/>
    <w:rsid w:val="006A0299"/>
    <w:rsid w:val="006A10AF"/>
    <w:rsid w:val="006A40AC"/>
    <w:rsid w:val="006A4115"/>
    <w:rsid w:val="006A455E"/>
    <w:rsid w:val="006A558C"/>
    <w:rsid w:val="006A5D98"/>
    <w:rsid w:val="006A65FB"/>
    <w:rsid w:val="006B0B9A"/>
    <w:rsid w:val="006B1B53"/>
    <w:rsid w:val="006B4D7B"/>
    <w:rsid w:val="006B6954"/>
    <w:rsid w:val="006C1A91"/>
    <w:rsid w:val="006C7C8C"/>
    <w:rsid w:val="006D2F5B"/>
    <w:rsid w:val="006D6113"/>
    <w:rsid w:val="006D65E8"/>
    <w:rsid w:val="006E136B"/>
    <w:rsid w:val="006E1608"/>
    <w:rsid w:val="006E181E"/>
    <w:rsid w:val="006E2C9C"/>
    <w:rsid w:val="006E4750"/>
    <w:rsid w:val="006E517E"/>
    <w:rsid w:val="006E7E92"/>
    <w:rsid w:val="006F190E"/>
    <w:rsid w:val="00703200"/>
    <w:rsid w:val="00703F62"/>
    <w:rsid w:val="007053E0"/>
    <w:rsid w:val="00706820"/>
    <w:rsid w:val="0071006D"/>
    <w:rsid w:val="0071020D"/>
    <w:rsid w:val="0071162E"/>
    <w:rsid w:val="00712124"/>
    <w:rsid w:val="00712A54"/>
    <w:rsid w:val="00715990"/>
    <w:rsid w:val="00716805"/>
    <w:rsid w:val="007203DB"/>
    <w:rsid w:val="00720F55"/>
    <w:rsid w:val="007225FE"/>
    <w:rsid w:val="007240E7"/>
    <w:rsid w:val="007303D9"/>
    <w:rsid w:val="00731BD4"/>
    <w:rsid w:val="007334FA"/>
    <w:rsid w:val="00733F2C"/>
    <w:rsid w:val="00735898"/>
    <w:rsid w:val="00741BCB"/>
    <w:rsid w:val="00742591"/>
    <w:rsid w:val="00743037"/>
    <w:rsid w:val="00744CD5"/>
    <w:rsid w:val="007463D6"/>
    <w:rsid w:val="00747935"/>
    <w:rsid w:val="00756E7C"/>
    <w:rsid w:val="00757E7A"/>
    <w:rsid w:val="007676BB"/>
    <w:rsid w:val="00774667"/>
    <w:rsid w:val="007806DE"/>
    <w:rsid w:val="00781020"/>
    <w:rsid w:val="0078271B"/>
    <w:rsid w:val="00782BB1"/>
    <w:rsid w:val="00783315"/>
    <w:rsid w:val="00783DBD"/>
    <w:rsid w:val="00786420"/>
    <w:rsid w:val="007865D2"/>
    <w:rsid w:val="007878CA"/>
    <w:rsid w:val="00787C54"/>
    <w:rsid w:val="00792E64"/>
    <w:rsid w:val="00792FEA"/>
    <w:rsid w:val="00795AED"/>
    <w:rsid w:val="00797ECE"/>
    <w:rsid w:val="007A4628"/>
    <w:rsid w:val="007A51F7"/>
    <w:rsid w:val="007A5CEE"/>
    <w:rsid w:val="007A6290"/>
    <w:rsid w:val="007A6AD4"/>
    <w:rsid w:val="007B1B7B"/>
    <w:rsid w:val="007B20FF"/>
    <w:rsid w:val="007B332B"/>
    <w:rsid w:val="007B50E9"/>
    <w:rsid w:val="007B66A3"/>
    <w:rsid w:val="007B72DD"/>
    <w:rsid w:val="007B7524"/>
    <w:rsid w:val="007C0547"/>
    <w:rsid w:val="007C4155"/>
    <w:rsid w:val="007C5214"/>
    <w:rsid w:val="007C581B"/>
    <w:rsid w:val="007D1874"/>
    <w:rsid w:val="007D2AEF"/>
    <w:rsid w:val="007D6978"/>
    <w:rsid w:val="007D6B64"/>
    <w:rsid w:val="007E0EA9"/>
    <w:rsid w:val="007E37E3"/>
    <w:rsid w:val="007E4017"/>
    <w:rsid w:val="007F0845"/>
    <w:rsid w:val="007F278D"/>
    <w:rsid w:val="007F397A"/>
    <w:rsid w:val="007F6BFD"/>
    <w:rsid w:val="0080153C"/>
    <w:rsid w:val="00810728"/>
    <w:rsid w:val="008108FD"/>
    <w:rsid w:val="00811576"/>
    <w:rsid w:val="00811C0C"/>
    <w:rsid w:val="0081403E"/>
    <w:rsid w:val="00817876"/>
    <w:rsid w:val="0082575B"/>
    <w:rsid w:val="00826BD6"/>
    <w:rsid w:val="008301E4"/>
    <w:rsid w:val="00844FDE"/>
    <w:rsid w:val="00845D49"/>
    <w:rsid w:val="008465AA"/>
    <w:rsid w:val="0085348A"/>
    <w:rsid w:val="00857C18"/>
    <w:rsid w:val="0086040A"/>
    <w:rsid w:val="00860957"/>
    <w:rsid w:val="00863FDB"/>
    <w:rsid w:val="00865747"/>
    <w:rsid w:val="00866D9D"/>
    <w:rsid w:val="00874B06"/>
    <w:rsid w:val="00874CB4"/>
    <w:rsid w:val="008777B5"/>
    <w:rsid w:val="0088660D"/>
    <w:rsid w:val="008915AC"/>
    <w:rsid w:val="00892E20"/>
    <w:rsid w:val="008951D5"/>
    <w:rsid w:val="00896CF7"/>
    <w:rsid w:val="00897824"/>
    <w:rsid w:val="008A073C"/>
    <w:rsid w:val="008A447F"/>
    <w:rsid w:val="008A7956"/>
    <w:rsid w:val="008B0206"/>
    <w:rsid w:val="008B1300"/>
    <w:rsid w:val="008B3E0F"/>
    <w:rsid w:val="008B4487"/>
    <w:rsid w:val="008B6E8A"/>
    <w:rsid w:val="008B739D"/>
    <w:rsid w:val="008C052B"/>
    <w:rsid w:val="008C0563"/>
    <w:rsid w:val="008D01F4"/>
    <w:rsid w:val="008D05C5"/>
    <w:rsid w:val="008D52D3"/>
    <w:rsid w:val="008D61DF"/>
    <w:rsid w:val="008D633C"/>
    <w:rsid w:val="008D792B"/>
    <w:rsid w:val="008F129E"/>
    <w:rsid w:val="008F2499"/>
    <w:rsid w:val="008F2D75"/>
    <w:rsid w:val="008F418E"/>
    <w:rsid w:val="008F708B"/>
    <w:rsid w:val="008F77F3"/>
    <w:rsid w:val="009042EB"/>
    <w:rsid w:val="00905E41"/>
    <w:rsid w:val="009073BC"/>
    <w:rsid w:val="0090761E"/>
    <w:rsid w:val="0091258A"/>
    <w:rsid w:val="009138BE"/>
    <w:rsid w:val="00914396"/>
    <w:rsid w:val="00914EB4"/>
    <w:rsid w:val="0092105E"/>
    <w:rsid w:val="00921D35"/>
    <w:rsid w:val="009222FA"/>
    <w:rsid w:val="00923F35"/>
    <w:rsid w:val="009248D9"/>
    <w:rsid w:val="00926111"/>
    <w:rsid w:val="009268E5"/>
    <w:rsid w:val="00927619"/>
    <w:rsid w:val="009304CE"/>
    <w:rsid w:val="009332C2"/>
    <w:rsid w:val="0093599D"/>
    <w:rsid w:val="00936377"/>
    <w:rsid w:val="00936425"/>
    <w:rsid w:val="00937235"/>
    <w:rsid w:val="009401C9"/>
    <w:rsid w:val="00940D63"/>
    <w:rsid w:val="00940E66"/>
    <w:rsid w:val="009410B1"/>
    <w:rsid w:val="0094206D"/>
    <w:rsid w:val="00944809"/>
    <w:rsid w:val="00945073"/>
    <w:rsid w:val="009466B7"/>
    <w:rsid w:val="00946D85"/>
    <w:rsid w:val="0095143C"/>
    <w:rsid w:val="00953AFB"/>
    <w:rsid w:val="0095450A"/>
    <w:rsid w:val="009563AE"/>
    <w:rsid w:val="00957066"/>
    <w:rsid w:val="00960EA9"/>
    <w:rsid w:val="00962709"/>
    <w:rsid w:val="0096352E"/>
    <w:rsid w:val="00965E38"/>
    <w:rsid w:val="00970874"/>
    <w:rsid w:val="00973DCE"/>
    <w:rsid w:val="00974546"/>
    <w:rsid w:val="00974B3B"/>
    <w:rsid w:val="009844AF"/>
    <w:rsid w:val="00984C08"/>
    <w:rsid w:val="00985684"/>
    <w:rsid w:val="00990E3F"/>
    <w:rsid w:val="0099275B"/>
    <w:rsid w:val="0099677F"/>
    <w:rsid w:val="00996976"/>
    <w:rsid w:val="0099736D"/>
    <w:rsid w:val="009977F0"/>
    <w:rsid w:val="009A2FF9"/>
    <w:rsid w:val="009A335E"/>
    <w:rsid w:val="009A49E5"/>
    <w:rsid w:val="009A4B03"/>
    <w:rsid w:val="009A7D0C"/>
    <w:rsid w:val="009B0BA5"/>
    <w:rsid w:val="009B149B"/>
    <w:rsid w:val="009B1933"/>
    <w:rsid w:val="009B249D"/>
    <w:rsid w:val="009B31A1"/>
    <w:rsid w:val="009B4FDC"/>
    <w:rsid w:val="009B5299"/>
    <w:rsid w:val="009B738D"/>
    <w:rsid w:val="009B7F55"/>
    <w:rsid w:val="009C06C5"/>
    <w:rsid w:val="009C0F7A"/>
    <w:rsid w:val="009C6F7C"/>
    <w:rsid w:val="009D06F8"/>
    <w:rsid w:val="009D56CE"/>
    <w:rsid w:val="009D605D"/>
    <w:rsid w:val="009D754A"/>
    <w:rsid w:val="009E1260"/>
    <w:rsid w:val="009E1CB2"/>
    <w:rsid w:val="009E2831"/>
    <w:rsid w:val="009E2DCA"/>
    <w:rsid w:val="009E617D"/>
    <w:rsid w:val="009E68EE"/>
    <w:rsid w:val="009E70FA"/>
    <w:rsid w:val="009E7D8E"/>
    <w:rsid w:val="009E7DC7"/>
    <w:rsid w:val="009F07B6"/>
    <w:rsid w:val="009F3464"/>
    <w:rsid w:val="009F6B91"/>
    <w:rsid w:val="00A079E3"/>
    <w:rsid w:val="00A10B90"/>
    <w:rsid w:val="00A11BBD"/>
    <w:rsid w:val="00A13E2C"/>
    <w:rsid w:val="00A15922"/>
    <w:rsid w:val="00A240B2"/>
    <w:rsid w:val="00A24C5E"/>
    <w:rsid w:val="00A25792"/>
    <w:rsid w:val="00A3015B"/>
    <w:rsid w:val="00A30B50"/>
    <w:rsid w:val="00A32403"/>
    <w:rsid w:val="00A34093"/>
    <w:rsid w:val="00A4154E"/>
    <w:rsid w:val="00A43CE0"/>
    <w:rsid w:val="00A44712"/>
    <w:rsid w:val="00A457AE"/>
    <w:rsid w:val="00A46892"/>
    <w:rsid w:val="00A46D4E"/>
    <w:rsid w:val="00A5124F"/>
    <w:rsid w:val="00A51817"/>
    <w:rsid w:val="00A5699B"/>
    <w:rsid w:val="00A56FB9"/>
    <w:rsid w:val="00A60031"/>
    <w:rsid w:val="00A60311"/>
    <w:rsid w:val="00A60371"/>
    <w:rsid w:val="00A603EF"/>
    <w:rsid w:val="00A62474"/>
    <w:rsid w:val="00A62531"/>
    <w:rsid w:val="00A6253A"/>
    <w:rsid w:val="00A6569C"/>
    <w:rsid w:val="00A7035D"/>
    <w:rsid w:val="00A71450"/>
    <w:rsid w:val="00A7206B"/>
    <w:rsid w:val="00A72F59"/>
    <w:rsid w:val="00A73D6E"/>
    <w:rsid w:val="00A74655"/>
    <w:rsid w:val="00A74FA2"/>
    <w:rsid w:val="00A75F60"/>
    <w:rsid w:val="00A77036"/>
    <w:rsid w:val="00A77B0E"/>
    <w:rsid w:val="00A82EA8"/>
    <w:rsid w:val="00A86B12"/>
    <w:rsid w:val="00A902FA"/>
    <w:rsid w:val="00A9260D"/>
    <w:rsid w:val="00A94414"/>
    <w:rsid w:val="00A949FC"/>
    <w:rsid w:val="00AA4698"/>
    <w:rsid w:val="00AA6453"/>
    <w:rsid w:val="00AB0760"/>
    <w:rsid w:val="00AB16BB"/>
    <w:rsid w:val="00AB4F9A"/>
    <w:rsid w:val="00AB59CB"/>
    <w:rsid w:val="00AC03E1"/>
    <w:rsid w:val="00AC05E2"/>
    <w:rsid w:val="00AC4EA0"/>
    <w:rsid w:val="00AC5E88"/>
    <w:rsid w:val="00AC6CDD"/>
    <w:rsid w:val="00AC79C2"/>
    <w:rsid w:val="00AD0F51"/>
    <w:rsid w:val="00AD13E8"/>
    <w:rsid w:val="00AD1705"/>
    <w:rsid w:val="00AD2151"/>
    <w:rsid w:val="00AD2559"/>
    <w:rsid w:val="00AD5E1A"/>
    <w:rsid w:val="00AD5EBF"/>
    <w:rsid w:val="00AE042F"/>
    <w:rsid w:val="00AE42AE"/>
    <w:rsid w:val="00AE43EE"/>
    <w:rsid w:val="00AE7650"/>
    <w:rsid w:val="00AF0917"/>
    <w:rsid w:val="00AF2DC5"/>
    <w:rsid w:val="00AF3673"/>
    <w:rsid w:val="00AF5555"/>
    <w:rsid w:val="00AF75BA"/>
    <w:rsid w:val="00AF7EB7"/>
    <w:rsid w:val="00B0091C"/>
    <w:rsid w:val="00B00F75"/>
    <w:rsid w:val="00B064C8"/>
    <w:rsid w:val="00B072D5"/>
    <w:rsid w:val="00B1070E"/>
    <w:rsid w:val="00B10CD5"/>
    <w:rsid w:val="00B14401"/>
    <w:rsid w:val="00B155B8"/>
    <w:rsid w:val="00B20356"/>
    <w:rsid w:val="00B25F2B"/>
    <w:rsid w:val="00B26C57"/>
    <w:rsid w:val="00B26F05"/>
    <w:rsid w:val="00B27C4D"/>
    <w:rsid w:val="00B31093"/>
    <w:rsid w:val="00B340A9"/>
    <w:rsid w:val="00B349B5"/>
    <w:rsid w:val="00B34E59"/>
    <w:rsid w:val="00B40DB7"/>
    <w:rsid w:val="00B417D4"/>
    <w:rsid w:val="00B41D90"/>
    <w:rsid w:val="00B472EA"/>
    <w:rsid w:val="00B50C5A"/>
    <w:rsid w:val="00B517E3"/>
    <w:rsid w:val="00B57F86"/>
    <w:rsid w:val="00B60605"/>
    <w:rsid w:val="00B60A6C"/>
    <w:rsid w:val="00B62B13"/>
    <w:rsid w:val="00B63C15"/>
    <w:rsid w:val="00B67221"/>
    <w:rsid w:val="00B67C50"/>
    <w:rsid w:val="00B7129C"/>
    <w:rsid w:val="00B72AE5"/>
    <w:rsid w:val="00B73711"/>
    <w:rsid w:val="00B73EAA"/>
    <w:rsid w:val="00B824B0"/>
    <w:rsid w:val="00B8695E"/>
    <w:rsid w:val="00B915C4"/>
    <w:rsid w:val="00B92B29"/>
    <w:rsid w:val="00B97711"/>
    <w:rsid w:val="00BA6D72"/>
    <w:rsid w:val="00BB140C"/>
    <w:rsid w:val="00BB1DB3"/>
    <w:rsid w:val="00BB3BD7"/>
    <w:rsid w:val="00BB3CAB"/>
    <w:rsid w:val="00BB41AB"/>
    <w:rsid w:val="00BC3C2F"/>
    <w:rsid w:val="00BC4CF7"/>
    <w:rsid w:val="00BC6EDC"/>
    <w:rsid w:val="00BC7566"/>
    <w:rsid w:val="00BC7E8E"/>
    <w:rsid w:val="00BD0331"/>
    <w:rsid w:val="00BD097D"/>
    <w:rsid w:val="00BD23A7"/>
    <w:rsid w:val="00BD4644"/>
    <w:rsid w:val="00BD4BDC"/>
    <w:rsid w:val="00BD5457"/>
    <w:rsid w:val="00BD62ED"/>
    <w:rsid w:val="00BD6334"/>
    <w:rsid w:val="00BD6B2E"/>
    <w:rsid w:val="00BE01B4"/>
    <w:rsid w:val="00BE2ABA"/>
    <w:rsid w:val="00BE5056"/>
    <w:rsid w:val="00BE6AF1"/>
    <w:rsid w:val="00BE7A05"/>
    <w:rsid w:val="00BF27AD"/>
    <w:rsid w:val="00C006B6"/>
    <w:rsid w:val="00C00904"/>
    <w:rsid w:val="00C02136"/>
    <w:rsid w:val="00C03167"/>
    <w:rsid w:val="00C037AA"/>
    <w:rsid w:val="00C06D62"/>
    <w:rsid w:val="00C104B3"/>
    <w:rsid w:val="00C10D1A"/>
    <w:rsid w:val="00C15C09"/>
    <w:rsid w:val="00C20919"/>
    <w:rsid w:val="00C212B9"/>
    <w:rsid w:val="00C2237D"/>
    <w:rsid w:val="00C233DD"/>
    <w:rsid w:val="00C25F60"/>
    <w:rsid w:val="00C26853"/>
    <w:rsid w:val="00C26A54"/>
    <w:rsid w:val="00C26D5B"/>
    <w:rsid w:val="00C2759C"/>
    <w:rsid w:val="00C30E2F"/>
    <w:rsid w:val="00C32103"/>
    <w:rsid w:val="00C342B0"/>
    <w:rsid w:val="00C35424"/>
    <w:rsid w:val="00C455C2"/>
    <w:rsid w:val="00C45AD7"/>
    <w:rsid w:val="00C46212"/>
    <w:rsid w:val="00C473A4"/>
    <w:rsid w:val="00C50D03"/>
    <w:rsid w:val="00C5228F"/>
    <w:rsid w:val="00C52D3C"/>
    <w:rsid w:val="00C56A9C"/>
    <w:rsid w:val="00C601D8"/>
    <w:rsid w:val="00C609B6"/>
    <w:rsid w:val="00C62179"/>
    <w:rsid w:val="00C6280F"/>
    <w:rsid w:val="00C635A0"/>
    <w:rsid w:val="00C63B02"/>
    <w:rsid w:val="00C646D7"/>
    <w:rsid w:val="00C657F2"/>
    <w:rsid w:val="00C65922"/>
    <w:rsid w:val="00C661DA"/>
    <w:rsid w:val="00C738A7"/>
    <w:rsid w:val="00C744FA"/>
    <w:rsid w:val="00C8099A"/>
    <w:rsid w:val="00C866DA"/>
    <w:rsid w:val="00C8736B"/>
    <w:rsid w:val="00C879CA"/>
    <w:rsid w:val="00C87D84"/>
    <w:rsid w:val="00C90266"/>
    <w:rsid w:val="00C90819"/>
    <w:rsid w:val="00C918E1"/>
    <w:rsid w:val="00C92B96"/>
    <w:rsid w:val="00C967BA"/>
    <w:rsid w:val="00C97290"/>
    <w:rsid w:val="00CA1292"/>
    <w:rsid w:val="00CA3258"/>
    <w:rsid w:val="00CA4230"/>
    <w:rsid w:val="00CA4493"/>
    <w:rsid w:val="00CA5DE9"/>
    <w:rsid w:val="00CA7A14"/>
    <w:rsid w:val="00CB121E"/>
    <w:rsid w:val="00CB1620"/>
    <w:rsid w:val="00CB30C6"/>
    <w:rsid w:val="00CB7379"/>
    <w:rsid w:val="00CB764C"/>
    <w:rsid w:val="00CC197E"/>
    <w:rsid w:val="00CC42B2"/>
    <w:rsid w:val="00CC4991"/>
    <w:rsid w:val="00CC675A"/>
    <w:rsid w:val="00CC7610"/>
    <w:rsid w:val="00CD0A12"/>
    <w:rsid w:val="00CD5078"/>
    <w:rsid w:val="00CD6485"/>
    <w:rsid w:val="00CE12A9"/>
    <w:rsid w:val="00CE4548"/>
    <w:rsid w:val="00CE48A9"/>
    <w:rsid w:val="00CF16FD"/>
    <w:rsid w:val="00CF1C7B"/>
    <w:rsid w:val="00CF226D"/>
    <w:rsid w:val="00CF24FA"/>
    <w:rsid w:val="00CF32B4"/>
    <w:rsid w:val="00CF344E"/>
    <w:rsid w:val="00CF459D"/>
    <w:rsid w:val="00CF5627"/>
    <w:rsid w:val="00D0091C"/>
    <w:rsid w:val="00D02958"/>
    <w:rsid w:val="00D04472"/>
    <w:rsid w:val="00D04E79"/>
    <w:rsid w:val="00D06B74"/>
    <w:rsid w:val="00D06DDA"/>
    <w:rsid w:val="00D10389"/>
    <w:rsid w:val="00D10800"/>
    <w:rsid w:val="00D11519"/>
    <w:rsid w:val="00D1424A"/>
    <w:rsid w:val="00D14D77"/>
    <w:rsid w:val="00D152FB"/>
    <w:rsid w:val="00D17558"/>
    <w:rsid w:val="00D21D1F"/>
    <w:rsid w:val="00D2516B"/>
    <w:rsid w:val="00D259F5"/>
    <w:rsid w:val="00D2604C"/>
    <w:rsid w:val="00D30206"/>
    <w:rsid w:val="00D30D7E"/>
    <w:rsid w:val="00D31B49"/>
    <w:rsid w:val="00D33797"/>
    <w:rsid w:val="00D41A99"/>
    <w:rsid w:val="00D41CC9"/>
    <w:rsid w:val="00D450FA"/>
    <w:rsid w:val="00D45BDE"/>
    <w:rsid w:val="00D47F3E"/>
    <w:rsid w:val="00D61650"/>
    <w:rsid w:val="00D61AE4"/>
    <w:rsid w:val="00D637B6"/>
    <w:rsid w:val="00D664C4"/>
    <w:rsid w:val="00D7021E"/>
    <w:rsid w:val="00D740FD"/>
    <w:rsid w:val="00D7472F"/>
    <w:rsid w:val="00D74D9C"/>
    <w:rsid w:val="00D74F7B"/>
    <w:rsid w:val="00D82AED"/>
    <w:rsid w:val="00D83B91"/>
    <w:rsid w:val="00D8498B"/>
    <w:rsid w:val="00D92B77"/>
    <w:rsid w:val="00D960DE"/>
    <w:rsid w:val="00D96370"/>
    <w:rsid w:val="00D967C1"/>
    <w:rsid w:val="00D96A14"/>
    <w:rsid w:val="00DA2BE5"/>
    <w:rsid w:val="00DA4C97"/>
    <w:rsid w:val="00DA5040"/>
    <w:rsid w:val="00DA56F4"/>
    <w:rsid w:val="00DA5B96"/>
    <w:rsid w:val="00DB046A"/>
    <w:rsid w:val="00DB0BD1"/>
    <w:rsid w:val="00DB129C"/>
    <w:rsid w:val="00DB1995"/>
    <w:rsid w:val="00DB2DB8"/>
    <w:rsid w:val="00DB347B"/>
    <w:rsid w:val="00DC0367"/>
    <w:rsid w:val="00DC0F63"/>
    <w:rsid w:val="00DC169F"/>
    <w:rsid w:val="00DC172B"/>
    <w:rsid w:val="00DC25A8"/>
    <w:rsid w:val="00DC2E18"/>
    <w:rsid w:val="00DC3B4C"/>
    <w:rsid w:val="00DC3CEF"/>
    <w:rsid w:val="00DC78EA"/>
    <w:rsid w:val="00DD11B4"/>
    <w:rsid w:val="00DD2B00"/>
    <w:rsid w:val="00DD450F"/>
    <w:rsid w:val="00DD4E8A"/>
    <w:rsid w:val="00DD57E8"/>
    <w:rsid w:val="00DD7F9D"/>
    <w:rsid w:val="00DE3398"/>
    <w:rsid w:val="00DE3812"/>
    <w:rsid w:val="00DE5971"/>
    <w:rsid w:val="00DE6FC8"/>
    <w:rsid w:val="00DF167F"/>
    <w:rsid w:val="00DF3E18"/>
    <w:rsid w:val="00DF714C"/>
    <w:rsid w:val="00DF7FAE"/>
    <w:rsid w:val="00E0514A"/>
    <w:rsid w:val="00E10834"/>
    <w:rsid w:val="00E11B38"/>
    <w:rsid w:val="00E1229E"/>
    <w:rsid w:val="00E1297A"/>
    <w:rsid w:val="00E12DA5"/>
    <w:rsid w:val="00E170D7"/>
    <w:rsid w:val="00E20C0E"/>
    <w:rsid w:val="00E22C27"/>
    <w:rsid w:val="00E22F00"/>
    <w:rsid w:val="00E26423"/>
    <w:rsid w:val="00E32DA8"/>
    <w:rsid w:val="00E3309D"/>
    <w:rsid w:val="00E34BD9"/>
    <w:rsid w:val="00E358FA"/>
    <w:rsid w:val="00E3682E"/>
    <w:rsid w:val="00E42239"/>
    <w:rsid w:val="00E43397"/>
    <w:rsid w:val="00E43E94"/>
    <w:rsid w:val="00E44584"/>
    <w:rsid w:val="00E47EFA"/>
    <w:rsid w:val="00E50CAA"/>
    <w:rsid w:val="00E5762E"/>
    <w:rsid w:val="00E61458"/>
    <w:rsid w:val="00E61B14"/>
    <w:rsid w:val="00E63883"/>
    <w:rsid w:val="00E64118"/>
    <w:rsid w:val="00E67B0E"/>
    <w:rsid w:val="00E71431"/>
    <w:rsid w:val="00E73FE4"/>
    <w:rsid w:val="00E75AFD"/>
    <w:rsid w:val="00E763F7"/>
    <w:rsid w:val="00E76D26"/>
    <w:rsid w:val="00E77628"/>
    <w:rsid w:val="00E77F13"/>
    <w:rsid w:val="00E80A45"/>
    <w:rsid w:val="00E8310E"/>
    <w:rsid w:val="00E83CCF"/>
    <w:rsid w:val="00E91558"/>
    <w:rsid w:val="00E928D5"/>
    <w:rsid w:val="00E961AC"/>
    <w:rsid w:val="00EA0FEF"/>
    <w:rsid w:val="00EA1EAF"/>
    <w:rsid w:val="00EA3B1F"/>
    <w:rsid w:val="00EB1B0F"/>
    <w:rsid w:val="00EB27F7"/>
    <w:rsid w:val="00EB51BC"/>
    <w:rsid w:val="00EC138B"/>
    <w:rsid w:val="00EC66D8"/>
    <w:rsid w:val="00EC6A71"/>
    <w:rsid w:val="00ED27D2"/>
    <w:rsid w:val="00ED56B4"/>
    <w:rsid w:val="00ED7815"/>
    <w:rsid w:val="00EE0617"/>
    <w:rsid w:val="00EE1FAF"/>
    <w:rsid w:val="00EE35E2"/>
    <w:rsid w:val="00EE3E9F"/>
    <w:rsid w:val="00EE7783"/>
    <w:rsid w:val="00EF2F91"/>
    <w:rsid w:val="00EF4D86"/>
    <w:rsid w:val="00EF5355"/>
    <w:rsid w:val="00EF5E7F"/>
    <w:rsid w:val="00EF5FC1"/>
    <w:rsid w:val="00EF6156"/>
    <w:rsid w:val="00EF7034"/>
    <w:rsid w:val="00F00584"/>
    <w:rsid w:val="00F030CC"/>
    <w:rsid w:val="00F05BC4"/>
    <w:rsid w:val="00F05DED"/>
    <w:rsid w:val="00F11C7F"/>
    <w:rsid w:val="00F130FB"/>
    <w:rsid w:val="00F1411E"/>
    <w:rsid w:val="00F14F4B"/>
    <w:rsid w:val="00F170E6"/>
    <w:rsid w:val="00F203FE"/>
    <w:rsid w:val="00F21D5F"/>
    <w:rsid w:val="00F26248"/>
    <w:rsid w:val="00F268F2"/>
    <w:rsid w:val="00F34524"/>
    <w:rsid w:val="00F4162F"/>
    <w:rsid w:val="00F43160"/>
    <w:rsid w:val="00F45C68"/>
    <w:rsid w:val="00F53F1D"/>
    <w:rsid w:val="00F544CA"/>
    <w:rsid w:val="00F612BD"/>
    <w:rsid w:val="00F65E22"/>
    <w:rsid w:val="00F72CF1"/>
    <w:rsid w:val="00F80F78"/>
    <w:rsid w:val="00F81164"/>
    <w:rsid w:val="00F84F6E"/>
    <w:rsid w:val="00F92E09"/>
    <w:rsid w:val="00F93E7A"/>
    <w:rsid w:val="00F95925"/>
    <w:rsid w:val="00FA171F"/>
    <w:rsid w:val="00FA2618"/>
    <w:rsid w:val="00FA4B14"/>
    <w:rsid w:val="00FA70F3"/>
    <w:rsid w:val="00FB169F"/>
    <w:rsid w:val="00FB5D43"/>
    <w:rsid w:val="00FB60C7"/>
    <w:rsid w:val="00FB746C"/>
    <w:rsid w:val="00FB7E8C"/>
    <w:rsid w:val="00FC1259"/>
    <w:rsid w:val="00FC12F4"/>
    <w:rsid w:val="00FC46FC"/>
    <w:rsid w:val="00FD0E4A"/>
    <w:rsid w:val="00FD1F66"/>
    <w:rsid w:val="00FD639F"/>
    <w:rsid w:val="00FE03F9"/>
    <w:rsid w:val="00FE11B8"/>
    <w:rsid w:val="00FE1D9E"/>
    <w:rsid w:val="00FE2521"/>
    <w:rsid w:val="00FE27F3"/>
    <w:rsid w:val="00FE2C7E"/>
    <w:rsid w:val="00FE3E29"/>
    <w:rsid w:val="00FE403C"/>
    <w:rsid w:val="00FE5F5E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463D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8660D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56E7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56E7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56E7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756E7C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756E7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0"/>
    <w:link w:val="6"/>
    <w:uiPriority w:val="99"/>
    <w:locked/>
    <w:rsid w:val="0088660D"/>
    <w:rPr>
      <w:rFonts w:ascii="Calibri" w:hAnsi="Calibri" w:cs="Calibri"/>
      <w:b/>
      <w:bCs/>
      <w:lang w:val="en-US" w:eastAsia="en-US"/>
    </w:rPr>
  </w:style>
  <w:style w:type="paragraph" w:customStyle="1" w:styleId="Char">
    <w:name w:val="Char Знак"/>
    <w:basedOn w:val="a"/>
    <w:uiPriority w:val="99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756E7C"/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32066B"/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uiPriority w:val="99"/>
    <w:rsid w:val="00A86B12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semiHidden/>
    <w:locked/>
    <w:rsid w:val="00756E7C"/>
    <w:rPr>
      <w:rFonts w:ascii="Arial" w:hAnsi="Arial" w:cs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756E7C"/>
    <w:rPr>
      <w:rFonts w:ascii="Arial" w:hAnsi="Arial" w:cs="Arial"/>
      <w:lang w:val="en-US" w:eastAsia="en-US"/>
    </w:rPr>
  </w:style>
  <w:style w:type="character" w:styleId="a9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DB046A"/>
    <w:rPr>
      <w:rFonts w:cs="Times New Roman"/>
      <w:sz w:val="2"/>
      <w:szCs w:val="2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756E7C"/>
    <w:rPr>
      <w:rFonts w:cs="Times New Roman"/>
      <w:sz w:val="2"/>
      <w:szCs w:val="2"/>
      <w:lang w:val="en-US" w:eastAsia="en-US"/>
    </w:rPr>
  </w:style>
  <w:style w:type="paragraph" w:styleId="ad">
    <w:name w:val="List Paragraph"/>
    <w:basedOn w:val="a"/>
    <w:uiPriority w:val="99"/>
    <w:qFormat/>
    <w:rsid w:val="00404969"/>
    <w:pPr>
      <w:ind w:left="720"/>
    </w:pPr>
  </w:style>
  <w:style w:type="paragraph" w:customStyle="1" w:styleId="Style">
    <w:name w:val="Style"/>
    <w:uiPriority w:val="99"/>
    <w:rsid w:val="001F5C24"/>
    <w:pPr>
      <w:autoSpaceDE w:val="0"/>
      <w:autoSpaceDN w:val="0"/>
      <w:adjustRightInd w:val="0"/>
      <w:ind w:left="140" w:right="140" w:firstLine="840"/>
      <w:jc w:val="both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2F463D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756E7C"/>
    <w:rPr>
      <w:rFonts w:ascii="Arial" w:hAnsi="Arial" w:cs="Arial"/>
      <w:lang w:val="en-US" w:eastAsia="en-US"/>
    </w:rPr>
  </w:style>
  <w:style w:type="paragraph" w:styleId="ae">
    <w:name w:val="Title"/>
    <w:basedOn w:val="a"/>
    <w:link w:val="af"/>
    <w:uiPriority w:val="99"/>
    <w:qFormat/>
    <w:rsid w:val="002F463D"/>
    <w:pPr>
      <w:overflowPunct/>
      <w:autoSpaceDE/>
      <w:autoSpaceDN/>
      <w:adjustRightInd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0"/>
    <w:link w:val="ae"/>
    <w:uiPriority w:val="99"/>
    <w:locked/>
    <w:rsid w:val="00756E7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0">
    <w:name w:val="Body Text Indent"/>
    <w:basedOn w:val="a"/>
    <w:link w:val="af1"/>
    <w:uiPriority w:val="99"/>
    <w:rsid w:val="002F463D"/>
    <w:pPr>
      <w:overflowPunct/>
      <w:autoSpaceDE/>
      <w:autoSpaceDN/>
      <w:adjustRightInd/>
      <w:ind w:left="720"/>
      <w:jc w:val="both"/>
      <w:textAlignment w:val="auto"/>
    </w:p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756E7C"/>
    <w:rPr>
      <w:rFonts w:ascii="Arial" w:hAnsi="Arial" w:cs="Arial"/>
      <w:lang w:val="en-US" w:eastAsia="en-US"/>
    </w:rPr>
  </w:style>
  <w:style w:type="paragraph" w:styleId="31">
    <w:name w:val="Body Text Indent 3"/>
    <w:basedOn w:val="a"/>
    <w:link w:val="32"/>
    <w:uiPriority w:val="99"/>
    <w:rsid w:val="002F463D"/>
    <w:pPr>
      <w:overflowPunct/>
      <w:autoSpaceDE/>
      <w:autoSpaceDN/>
      <w:adjustRightInd/>
      <w:ind w:left="-360" w:firstLine="1800"/>
      <w:jc w:val="both"/>
      <w:textAlignment w:val="auto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756E7C"/>
    <w:rPr>
      <w:rFonts w:ascii="Arial" w:hAnsi="Arial" w:cs="Arial"/>
      <w:sz w:val="16"/>
      <w:szCs w:val="16"/>
      <w:lang w:val="en-US" w:eastAsia="en-US"/>
    </w:rPr>
  </w:style>
  <w:style w:type="character" w:styleId="af2">
    <w:name w:val="Strong"/>
    <w:basedOn w:val="a0"/>
    <w:uiPriority w:val="99"/>
    <w:qFormat/>
    <w:rsid w:val="002F463D"/>
    <w:rPr>
      <w:rFonts w:cs="Times New Roman"/>
      <w:b/>
      <w:bCs/>
    </w:rPr>
  </w:style>
  <w:style w:type="paragraph" w:customStyle="1" w:styleId="Char0">
    <w:name w:val="Char Знак Знак Знак"/>
    <w:basedOn w:val="a"/>
    <w:uiPriority w:val="99"/>
    <w:rsid w:val="002F46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table" w:styleId="af3">
    <w:name w:val="Table Grid"/>
    <w:basedOn w:val="a1"/>
    <w:uiPriority w:val="99"/>
    <w:rsid w:val="002F463D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2F46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page number"/>
    <w:basedOn w:val="a0"/>
    <w:uiPriority w:val="99"/>
    <w:rsid w:val="002F463D"/>
    <w:rPr>
      <w:rFonts w:cs="Times New Roman"/>
    </w:rPr>
  </w:style>
  <w:style w:type="paragraph" w:customStyle="1" w:styleId="CharCharChar">
    <w:name w:val="Char Знак Char Char Знак"/>
    <w:basedOn w:val="a"/>
    <w:uiPriority w:val="99"/>
    <w:rsid w:val="002B52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Знак Char Знак"/>
    <w:basedOn w:val="a"/>
    <w:uiPriority w:val="99"/>
    <w:rsid w:val="005773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Char Знак Char"/>
    <w:basedOn w:val="a"/>
    <w:uiPriority w:val="99"/>
    <w:rsid w:val="00F8116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3">
    <w:name w:val="Style3"/>
    <w:basedOn w:val="a"/>
    <w:uiPriority w:val="99"/>
    <w:rsid w:val="00C342B0"/>
    <w:pPr>
      <w:widowControl w:val="0"/>
      <w:overflowPunct/>
      <w:textAlignment w:val="auto"/>
    </w:pPr>
    <w:rPr>
      <w:lang w:val="en-AU"/>
    </w:rPr>
  </w:style>
  <w:style w:type="character" w:customStyle="1" w:styleId="FontStyle11">
    <w:name w:val="Font Style11"/>
    <w:uiPriority w:val="99"/>
    <w:rsid w:val="00C342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C342B0"/>
    <w:rPr>
      <w:rFonts w:ascii="Times New Roman" w:hAnsi="Times New Roman" w:cs="Times New Roman"/>
      <w:sz w:val="22"/>
      <w:szCs w:val="22"/>
    </w:rPr>
  </w:style>
  <w:style w:type="paragraph" w:customStyle="1" w:styleId="1CharChar">
    <w:name w:val="Знак Знак1 Char Char"/>
    <w:basedOn w:val="a"/>
    <w:uiPriority w:val="99"/>
    <w:rsid w:val="00C342B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6">
    <w:name w:val="caption"/>
    <w:basedOn w:val="a"/>
    <w:next w:val="a"/>
    <w:uiPriority w:val="99"/>
    <w:qFormat/>
    <w:locked/>
    <w:rsid w:val="005C6EAB"/>
    <w:rPr>
      <w:b/>
      <w:bCs/>
    </w:rPr>
  </w:style>
  <w:style w:type="paragraph" w:customStyle="1" w:styleId="Style1">
    <w:name w:val="Style1"/>
    <w:basedOn w:val="a"/>
    <w:uiPriority w:val="99"/>
    <w:rsid w:val="0042690B"/>
    <w:pPr>
      <w:widowControl w:val="0"/>
      <w:overflowPunct/>
      <w:textAlignment w:val="auto"/>
    </w:pPr>
    <w:rPr>
      <w:lang w:val="en-AU"/>
    </w:rPr>
  </w:style>
  <w:style w:type="paragraph" w:customStyle="1" w:styleId="TimesNewRoman">
    <w:name w:val="Нормален + Times New Roman"/>
    <w:aliases w:val="12 pt"/>
    <w:basedOn w:val="a"/>
    <w:link w:val="TimesNewRoman0"/>
    <w:uiPriority w:val="99"/>
    <w:rsid w:val="0042690B"/>
    <w:pPr>
      <w:ind w:firstLine="720"/>
      <w:jc w:val="both"/>
    </w:pPr>
    <w:rPr>
      <w:rFonts w:cs="Times New Roman"/>
      <w:sz w:val="24"/>
      <w:szCs w:val="24"/>
      <w:lang w:val="bg-BG"/>
    </w:rPr>
  </w:style>
  <w:style w:type="character" w:customStyle="1" w:styleId="TimesNewRoman0">
    <w:name w:val="Нормален + Times New Roman Знак"/>
    <w:aliases w:val="12 pt Знак"/>
    <w:link w:val="TimesNewRoman"/>
    <w:uiPriority w:val="99"/>
    <w:locked/>
    <w:rsid w:val="0096352E"/>
    <w:rPr>
      <w:rFonts w:cs="Times New Roman"/>
      <w:sz w:val="24"/>
      <w:szCs w:val="24"/>
      <w:lang w:val="bg-BG" w:eastAsia="en-US"/>
    </w:rPr>
  </w:style>
  <w:style w:type="character" w:customStyle="1" w:styleId="61">
    <w:name w:val="Знак Знак6"/>
    <w:uiPriority w:val="99"/>
    <w:semiHidden/>
    <w:locked/>
    <w:rsid w:val="001C54E7"/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2F68A7"/>
    <w:rPr>
      <w:rFonts w:cs="Times New Roman"/>
    </w:rPr>
  </w:style>
  <w:style w:type="paragraph" w:customStyle="1" w:styleId="1CharChar1">
    <w:name w:val="Знак Знак1 Char Char1"/>
    <w:basedOn w:val="a"/>
    <w:uiPriority w:val="99"/>
    <w:rsid w:val="00396E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f7">
    <w:name w:val="FollowedHyperlink"/>
    <w:basedOn w:val="a0"/>
    <w:uiPriority w:val="99"/>
    <w:semiHidden/>
    <w:rsid w:val="0042153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463D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8660D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56E7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56E7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56E7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756E7C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756E7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0"/>
    <w:link w:val="6"/>
    <w:uiPriority w:val="99"/>
    <w:locked/>
    <w:rsid w:val="0088660D"/>
    <w:rPr>
      <w:rFonts w:ascii="Calibri" w:hAnsi="Calibri" w:cs="Calibri"/>
      <w:b/>
      <w:bCs/>
      <w:lang w:val="en-US" w:eastAsia="en-US"/>
    </w:rPr>
  </w:style>
  <w:style w:type="paragraph" w:customStyle="1" w:styleId="Char">
    <w:name w:val="Char Знак"/>
    <w:basedOn w:val="a"/>
    <w:uiPriority w:val="99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756E7C"/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32066B"/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uiPriority w:val="99"/>
    <w:rsid w:val="00A86B12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semiHidden/>
    <w:locked/>
    <w:rsid w:val="00756E7C"/>
    <w:rPr>
      <w:rFonts w:ascii="Arial" w:hAnsi="Arial" w:cs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756E7C"/>
    <w:rPr>
      <w:rFonts w:ascii="Arial" w:hAnsi="Arial" w:cs="Arial"/>
      <w:lang w:val="en-US" w:eastAsia="en-US"/>
    </w:rPr>
  </w:style>
  <w:style w:type="character" w:styleId="a9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DB046A"/>
    <w:rPr>
      <w:rFonts w:cs="Times New Roman"/>
      <w:sz w:val="2"/>
      <w:szCs w:val="2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756E7C"/>
    <w:rPr>
      <w:rFonts w:cs="Times New Roman"/>
      <w:sz w:val="2"/>
      <w:szCs w:val="2"/>
      <w:lang w:val="en-US" w:eastAsia="en-US"/>
    </w:rPr>
  </w:style>
  <w:style w:type="paragraph" w:styleId="ad">
    <w:name w:val="List Paragraph"/>
    <w:basedOn w:val="a"/>
    <w:uiPriority w:val="99"/>
    <w:qFormat/>
    <w:rsid w:val="00404969"/>
    <w:pPr>
      <w:ind w:left="720"/>
    </w:pPr>
  </w:style>
  <w:style w:type="paragraph" w:customStyle="1" w:styleId="Style">
    <w:name w:val="Style"/>
    <w:uiPriority w:val="99"/>
    <w:rsid w:val="001F5C24"/>
    <w:pPr>
      <w:autoSpaceDE w:val="0"/>
      <w:autoSpaceDN w:val="0"/>
      <w:adjustRightInd w:val="0"/>
      <w:ind w:left="140" w:right="140" w:firstLine="840"/>
      <w:jc w:val="both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2F463D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756E7C"/>
    <w:rPr>
      <w:rFonts w:ascii="Arial" w:hAnsi="Arial" w:cs="Arial"/>
      <w:lang w:val="en-US" w:eastAsia="en-US"/>
    </w:rPr>
  </w:style>
  <w:style w:type="paragraph" w:styleId="ae">
    <w:name w:val="Title"/>
    <w:basedOn w:val="a"/>
    <w:link w:val="af"/>
    <w:uiPriority w:val="99"/>
    <w:qFormat/>
    <w:rsid w:val="002F463D"/>
    <w:pPr>
      <w:overflowPunct/>
      <w:autoSpaceDE/>
      <w:autoSpaceDN/>
      <w:adjustRightInd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0"/>
    <w:link w:val="ae"/>
    <w:uiPriority w:val="99"/>
    <w:locked/>
    <w:rsid w:val="00756E7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0">
    <w:name w:val="Body Text Indent"/>
    <w:basedOn w:val="a"/>
    <w:link w:val="af1"/>
    <w:uiPriority w:val="99"/>
    <w:rsid w:val="002F463D"/>
    <w:pPr>
      <w:overflowPunct/>
      <w:autoSpaceDE/>
      <w:autoSpaceDN/>
      <w:adjustRightInd/>
      <w:ind w:left="720"/>
      <w:jc w:val="both"/>
      <w:textAlignment w:val="auto"/>
    </w:p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756E7C"/>
    <w:rPr>
      <w:rFonts w:ascii="Arial" w:hAnsi="Arial" w:cs="Arial"/>
      <w:lang w:val="en-US" w:eastAsia="en-US"/>
    </w:rPr>
  </w:style>
  <w:style w:type="paragraph" w:styleId="31">
    <w:name w:val="Body Text Indent 3"/>
    <w:basedOn w:val="a"/>
    <w:link w:val="32"/>
    <w:uiPriority w:val="99"/>
    <w:rsid w:val="002F463D"/>
    <w:pPr>
      <w:overflowPunct/>
      <w:autoSpaceDE/>
      <w:autoSpaceDN/>
      <w:adjustRightInd/>
      <w:ind w:left="-360" w:firstLine="1800"/>
      <w:jc w:val="both"/>
      <w:textAlignment w:val="auto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756E7C"/>
    <w:rPr>
      <w:rFonts w:ascii="Arial" w:hAnsi="Arial" w:cs="Arial"/>
      <w:sz w:val="16"/>
      <w:szCs w:val="16"/>
      <w:lang w:val="en-US" w:eastAsia="en-US"/>
    </w:rPr>
  </w:style>
  <w:style w:type="character" w:styleId="af2">
    <w:name w:val="Strong"/>
    <w:basedOn w:val="a0"/>
    <w:uiPriority w:val="99"/>
    <w:qFormat/>
    <w:rsid w:val="002F463D"/>
    <w:rPr>
      <w:rFonts w:cs="Times New Roman"/>
      <w:b/>
      <w:bCs/>
    </w:rPr>
  </w:style>
  <w:style w:type="paragraph" w:customStyle="1" w:styleId="Char0">
    <w:name w:val="Char Знак Знак Знак"/>
    <w:basedOn w:val="a"/>
    <w:uiPriority w:val="99"/>
    <w:rsid w:val="002F46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table" w:styleId="af3">
    <w:name w:val="Table Grid"/>
    <w:basedOn w:val="a1"/>
    <w:uiPriority w:val="99"/>
    <w:rsid w:val="002F463D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2F46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page number"/>
    <w:basedOn w:val="a0"/>
    <w:uiPriority w:val="99"/>
    <w:rsid w:val="002F463D"/>
    <w:rPr>
      <w:rFonts w:cs="Times New Roman"/>
    </w:rPr>
  </w:style>
  <w:style w:type="paragraph" w:customStyle="1" w:styleId="CharCharChar">
    <w:name w:val="Char Знак Char Char Знак"/>
    <w:basedOn w:val="a"/>
    <w:uiPriority w:val="99"/>
    <w:rsid w:val="002B52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Знак Char Знак"/>
    <w:basedOn w:val="a"/>
    <w:uiPriority w:val="99"/>
    <w:rsid w:val="005773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Char Знак Char"/>
    <w:basedOn w:val="a"/>
    <w:uiPriority w:val="99"/>
    <w:rsid w:val="00F8116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3">
    <w:name w:val="Style3"/>
    <w:basedOn w:val="a"/>
    <w:uiPriority w:val="99"/>
    <w:rsid w:val="00C342B0"/>
    <w:pPr>
      <w:widowControl w:val="0"/>
      <w:overflowPunct/>
      <w:textAlignment w:val="auto"/>
    </w:pPr>
    <w:rPr>
      <w:lang w:val="en-AU"/>
    </w:rPr>
  </w:style>
  <w:style w:type="character" w:customStyle="1" w:styleId="FontStyle11">
    <w:name w:val="Font Style11"/>
    <w:uiPriority w:val="99"/>
    <w:rsid w:val="00C342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C342B0"/>
    <w:rPr>
      <w:rFonts w:ascii="Times New Roman" w:hAnsi="Times New Roman" w:cs="Times New Roman"/>
      <w:sz w:val="22"/>
      <w:szCs w:val="22"/>
    </w:rPr>
  </w:style>
  <w:style w:type="paragraph" w:customStyle="1" w:styleId="1CharChar">
    <w:name w:val="Знак Знак1 Char Char"/>
    <w:basedOn w:val="a"/>
    <w:uiPriority w:val="99"/>
    <w:rsid w:val="00C342B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6">
    <w:name w:val="caption"/>
    <w:basedOn w:val="a"/>
    <w:next w:val="a"/>
    <w:uiPriority w:val="99"/>
    <w:qFormat/>
    <w:locked/>
    <w:rsid w:val="005C6EAB"/>
    <w:rPr>
      <w:b/>
      <w:bCs/>
    </w:rPr>
  </w:style>
  <w:style w:type="paragraph" w:customStyle="1" w:styleId="Style1">
    <w:name w:val="Style1"/>
    <w:basedOn w:val="a"/>
    <w:uiPriority w:val="99"/>
    <w:rsid w:val="0042690B"/>
    <w:pPr>
      <w:widowControl w:val="0"/>
      <w:overflowPunct/>
      <w:textAlignment w:val="auto"/>
    </w:pPr>
    <w:rPr>
      <w:lang w:val="en-AU"/>
    </w:rPr>
  </w:style>
  <w:style w:type="paragraph" w:customStyle="1" w:styleId="TimesNewRoman">
    <w:name w:val="Нормален + Times New Roman"/>
    <w:aliases w:val="12 pt"/>
    <w:basedOn w:val="a"/>
    <w:link w:val="TimesNewRoman0"/>
    <w:uiPriority w:val="99"/>
    <w:rsid w:val="0042690B"/>
    <w:pPr>
      <w:ind w:firstLine="720"/>
      <w:jc w:val="both"/>
    </w:pPr>
    <w:rPr>
      <w:rFonts w:cs="Times New Roman"/>
      <w:sz w:val="24"/>
      <w:szCs w:val="24"/>
      <w:lang w:val="bg-BG"/>
    </w:rPr>
  </w:style>
  <w:style w:type="character" w:customStyle="1" w:styleId="TimesNewRoman0">
    <w:name w:val="Нормален + Times New Roman Знак"/>
    <w:aliases w:val="12 pt Знак"/>
    <w:link w:val="TimesNewRoman"/>
    <w:uiPriority w:val="99"/>
    <w:locked/>
    <w:rsid w:val="0096352E"/>
    <w:rPr>
      <w:rFonts w:cs="Times New Roman"/>
      <w:sz w:val="24"/>
      <w:szCs w:val="24"/>
      <w:lang w:val="bg-BG" w:eastAsia="en-US"/>
    </w:rPr>
  </w:style>
  <w:style w:type="character" w:customStyle="1" w:styleId="61">
    <w:name w:val="Знак Знак6"/>
    <w:uiPriority w:val="99"/>
    <w:semiHidden/>
    <w:locked/>
    <w:rsid w:val="001C54E7"/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2F68A7"/>
    <w:rPr>
      <w:rFonts w:cs="Times New Roman"/>
    </w:rPr>
  </w:style>
  <w:style w:type="paragraph" w:customStyle="1" w:styleId="1CharChar1">
    <w:name w:val="Знак Знак1 Char Char1"/>
    <w:basedOn w:val="a"/>
    <w:uiPriority w:val="99"/>
    <w:rsid w:val="00396E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f7">
    <w:name w:val="FollowedHyperlink"/>
    <w:basedOn w:val="a0"/>
    <w:uiPriority w:val="99"/>
    <w:semiHidden/>
    <w:rsid w:val="0042153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1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138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E%D0%B1%D0%BB%D0%B0%D1%81%D1%82%D0%B8_%D0%BD%D0%B0_%D0%91%D1%8A%D0%BB%D0%B3%D0%B0%D1%80%D0%B8%D1%8F" TargetMode="External"/><Relationship Id="rId13" Type="http://schemas.openxmlformats.org/officeDocument/2006/relationships/hyperlink" Target="https://bg.wikipedia.org/wiki/%D0%94%D0%B6%D0%B5%D0%B1%D0%B5%D0%B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g.wikipedia.org/wiki/%D0%90%D1%80%D0%B4%D0%B8%D0%BD%D0%B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g.wikipedia.org/wiki/%D0%9A%D1%80%D1%83%D0%BC%D0%BE%D0%B2%D0%B3%D1%80%D0%B0%D0%B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g.wikipedia.org/wiki/%D0%9C%D0%BE%D0%BC%D1%87%D0%B8%D0%BB%D0%B3%D1%80%D0%B0%D0%B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9A%D1%8A%D1%80%D0%B4%D0%B6%D0%B0%D0%BB%D0%B8" TargetMode="Externa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1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Брой животни през 2014, 2015, 2016, 2017,2018 г. </a:t>
            </a:r>
          </a:p>
        </c:rich>
      </c:tx>
      <c:layout>
        <c:manualLayout>
          <c:xMode val="edge"/>
          <c:yMode val="edge"/>
          <c:x val="0.19217687074829931"/>
          <c:y val="2.0771513353115726E-2"/>
        </c:manualLayout>
      </c:layout>
      <c:overlay val="0"/>
      <c:spPr>
        <a:noFill/>
        <a:ln w="19056">
          <a:noFill/>
        </a:ln>
      </c:spPr>
    </c:title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435374149659865"/>
          <c:y val="0.16913946587537093"/>
          <c:w val="0.84523809523809523"/>
          <c:h val="0.5964391691394659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Говеда</c:v>
                </c:pt>
                <c:pt idx="1">
                  <c:v>Овце</c:v>
                </c:pt>
                <c:pt idx="2">
                  <c:v>Кози</c:v>
                </c:pt>
                <c:pt idx="3">
                  <c:v>Свине</c:v>
                </c:pt>
                <c:pt idx="4">
                  <c:v>Птици</c:v>
                </c:pt>
                <c:pt idx="5">
                  <c:v>Зайци</c:v>
                </c:pt>
                <c:pt idx="6">
                  <c:v>Пчелни семейства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51805</c:v>
                </c:pt>
                <c:pt idx="1">
                  <c:v>94520</c:v>
                </c:pt>
                <c:pt idx="2">
                  <c:v>6466</c:v>
                </c:pt>
                <c:pt idx="3">
                  <c:v>0</c:v>
                </c:pt>
                <c:pt idx="4">
                  <c:v>260500</c:v>
                </c:pt>
                <c:pt idx="5">
                  <c:v>1009</c:v>
                </c:pt>
                <c:pt idx="6">
                  <c:v>15644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CC"/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Говеда</c:v>
                </c:pt>
                <c:pt idx="1">
                  <c:v>Овце</c:v>
                </c:pt>
                <c:pt idx="2">
                  <c:v>Кози</c:v>
                </c:pt>
                <c:pt idx="3">
                  <c:v>Свине</c:v>
                </c:pt>
                <c:pt idx="4">
                  <c:v>Птици</c:v>
                </c:pt>
                <c:pt idx="5">
                  <c:v>Зайци</c:v>
                </c:pt>
                <c:pt idx="6">
                  <c:v>Пчелни семейства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51343</c:v>
                </c:pt>
                <c:pt idx="1">
                  <c:v>80887</c:v>
                </c:pt>
                <c:pt idx="2">
                  <c:v>5554</c:v>
                </c:pt>
                <c:pt idx="3">
                  <c:v>0</c:v>
                </c:pt>
                <c:pt idx="4">
                  <c:v>260800</c:v>
                </c:pt>
                <c:pt idx="5">
                  <c:v>212</c:v>
                </c:pt>
                <c:pt idx="6">
                  <c:v>15603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CFFFF"/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Говеда</c:v>
                </c:pt>
                <c:pt idx="1">
                  <c:v>Овце</c:v>
                </c:pt>
                <c:pt idx="2">
                  <c:v>Кози</c:v>
                </c:pt>
                <c:pt idx="3">
                  <c:v>Свине</c:v>
                </c:pt>
                <c:pt idx="4">
                  <c:v>Птици</c:v>
                </c:pt>
                <c:pt idx="5">
                  <c:v>Зайци</c:v>
                </c:pt>
                <c:pt idx="6">
                  <c:v>Пчелни семейства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69651</c:v>
                </c:pt>
                <c:pt idx="1">
                  <c:v>96570</c:v>
                </c:pt>
                <c:pt idx="2">
                  <c:v>7458</c:v>
                </c:pt>
                <c:pt idx="3">
                  <c:v>0</c:v>
                </c:pt>
                <c:pt idx="4">
                  <c:v>286000</c:v>
                </c:pt>
                <c:pt idx="5">
                  <c:v>1524</c:v>
                </c:pt>
                <c:pt idx="6">
                  <c:v>16677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0066"/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Говеда</c:v>
                </c:pt>
                <c:pt idx="1">
                  <c:v>Овце</c:v>
                </c:pt>
                <c:pt idx="2">
                  <c:v>Кози</c:v>
                </c:pt>
                <c:pt idx="3">
                  <c:v>Свине</c:v>
                </c:pt>
                <c:pt idx="4">
                  <c:v>Птици</c:v>
                </c:pt>
                <c:pt idx="5">
                  <c:v>Зайци</c:v>
                </c:pt>
                <c:pt idx="6">
                  <c:v>Пчелни семейства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71884</c:v>
                </c:pt>
                <c:pt idx="1">
                  <c:v>90543</c:v>
                </c:pt>
                <c:pt idx="2">
                  <c:v>7250</c:v>
                </c:pt>
                <c:pt idx="3">
                  <c:v>0</c:v>
                </c:pt>
                <c:pt idx="4">
                  <c:v>177000</c:v>
                </c:pt>
                <c:pt idx="5">
                  <c:v>2626</c:v>
                </c:pt>
                <c:pt idx="6">
                  <c:v>16000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Говеда</c:v>
                </c:pt>
                <c:pt idx="1">
                  <c:v>Овце</c:v>
                </c:pt>
                <c:pt idx="2">
                  <c:v>Кози</c:v>
                </c:pt>
                <c:pt idx="3">
                  <c:v>Свине</c:v>
                </c:pt>
                <c:pt idx="4">
                  <c:v>Птици</c:v>
                </c:pt>
                <c:pt idx="5">
                  <c:v>Зайци</c:v>
                </c:pt>
                <c:pt idx="6">
                  <c:v>Пчелни семейства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68994</c:v>
                </c:pt>
                <c:pt idx="1">
                  <c:v>87162</c:v>
                </c:pt>
                <c:pt idx="2">
                  <c:v>7188</c:v>
                </c:pt>
                <c:pt idx="3">
                  <c:v>0</c:v>
                </c:pt>
                <c:pt idx="4">
                  <c:v>285000</c:v>
                </c:pt>
                <c:pt idx="5">
                  <c:v>2551</c:v>
                </c:pt>
                <c:pt idx="6">
                  <c:v>15421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818752"/>
        <c:axId val="127825024"/>
        <c:axId val="0"/>
      </c:bar3DChart>
      <c:catAx>
        <c:axId val="127818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животни</a:t>
                </a:r>
              </a:p>
            </c:rich>
          </c:tx>
          <c:layout>
            <c:manualLayout>
              <c:xMode val="edge"/>
              <c:yMode val="edge"/>
              <c:x val="0.5"/>
              <c:y val="0.88427299703264095"/>
            </c:manualLayout>
          </c:layout>
          <c:overlay val="0"/>
          <c:spPr>
            <a:noFill/>
            <a:ln w="19056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782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825024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брой</a:t>
                </a:r>
              </a:p>
            </c:rich>
          </c:tx>
          <c:layout>
            <c:manualLayout>
              <c:xMode val="edge"/>
              <c:yMode val="edge"/>
              <c:x val="6.9727891156462579E-2"/>
              <c:y val="0.41246290801186941"/>
            </c:manualLayout>
          </c:layout>
          <c:overlay val="0"/>
          <c:spPr>
            <a:noFill/>
            <a:ln w="1905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27818752"/>
        <c:crosses val="autoZero"/>
        <c:crossBetween val="between"/>
      </c:valAx>
      <c:spPr>
        <a:noFill/>
        <a:ln w="19056">
          <a:noFill/>
        </a:ln>
      </c:spPr>
    </c:plotArea>
    <c:legend>
      <c:legendPos val="r"/>
      <c:layout>
        <c:manualLayout>
          <c:xMode val="edge"/>
          <c:yMode val="edge"/>
          <c:x val="0.90986394557823125"/>
          <c:y val="0.36498516320474778"/>
          <c:w val="7.1428571428571425E-2"/>
          <c:h val="0.28486646884272998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58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3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0.4995</cdr:x>
      <cdr:y>0.49925</cdr:y>
    </cdr:from>
    <cdr:to>
      <cdr:x>0.52325</cdr:x>
      <cdr:y>0.55575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97550" y="1602555"/>
          <a:ext cx="133016" cy="1813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bg-BG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admin1</cp:lastModifiedBy>
  <cp:revision>2</cp:revision>
  <cp:lastPrinted>2019-02-18T07:46:00Z</cp:lastPrinted>
  <dcterms:created xsi:type="dcterms:W3CDTF">2019-04-03T11:05:00Z</dcterms:created>
  <dcterms:modified xsi:type="dcterms:W3CDTF">2019-04-03T11:05:00Z</dcterms:modified>
</cp:coreProperties>
</file>