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46" w:rsidRPr="00DC68DD" w:rsidRDefault="00E13F46" w:rsidP="00B1070E">
      <w:pPr>
        <w:ind w:left="-540" w:hanging="540"/>
        <w:jc w:val="both"/>
        <w:rPr>
          <w:lang w:val="bg-BG"/>
        </w:rPr>
      </w:pPr>
      <w:bookmarkStart w:id="0" w:name="_GoBack"/>
      <w:bookmarkEnd w:id="0"/>
    </w:p>
    <w:p w:rsidR="00E13F46" w:rsidRPr="00F203FE" w:rsidRDefault="00E13F46" w:rsidP="002E25BD">
      <w:pPr>
        <w:pStyle w:val="2"/>
        <w:jc w:val="center"/>
        <w:rPr>
          <w:rFonts w:ascii="Times New Roman" w:hAnsi="Times New Roman" w:cs="Times New Roman"/>
          <w:b w:val="0"/>
          <w:bCs w:val="0"/>
          <w:lang w:val="ru-RU"/>
        </w:rPr>
      </w:pPr>
      <w:r w:rsidRPr="00F203FE">
        <w:rPr>
          <w:rFonts w:ascii="Times New Roman" w:hAnsi="Times New Roman" w:cs="Times New Roman"/>
        </w:rPr>
        <w:t>Д О К Л А Д</w:t>
      </w:r>
    </w:p>
    <w:p w:rsidR="00E13F46" w:rsidRPr="00FB60C7" w:rsidRDefault="00E13F46" w:rsidP="002E25BD">
      <w:pPr>
        <w:rPr>
          <w:lang w:val="ru-RU"/>
        </w:rPr>
      </w:pPr>
    </w:p>
    <w:p w:rsidR="00E13F46" w:rsidRPr="00FB60C7" w:rsidRDefault="00E13F46" w:rsidP="002F46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СЪСТОЯНИЕТО НА ЗЕМЕДЕЛИЕТО И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ДЕЙНОСТТА НА ОД “ЗЕМЕДЕЛИЕ”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ГРАД КЪРДЖАЛИ </w:t>
      </w:r>
    </w:p>
    <w:p w:rsidR="00E13F46" w:rsidRPr="00FB60C7" w:rsidRDefault="00E13F46" w:rsidP="002E2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 ПЕРИОДА 01.01.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3278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>20</w:t>
      </w:r>
      <w:r w:rsidR="003A465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3278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B60C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E13F46" w:rsidRPr="00FB60C7" w:rsidRDefault="00E13F46" w:rsidP="002F46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2F463D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ОБЩА АГРОХАРАКТЕРИСТИКА НА ОБЛАСТ КЪРДЖАЛИ ЗА ПЕРИОДА </w:t>
      </w:r>
    </w:p>
    <w:p w:rsidR="00E13F46" w:rsidRPr="00FB60C7" w:rsidRDefault="00E13F46" w:rsidP="002F463D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01.01.20</w:t>
      </w:r>
      <w:r w:rsidR="003A46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</w:t>
      </w:r>
      <w:r w:rsidR="003278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г. – 3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12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.20</w:t>
      </w:r>
      <w:r w:rsidR="003A465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</w:t>
      </w:r>
      <w:r w:rsidR="003278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FB60C7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г.</w:t>
      </w:r>
    </w:p>
    <w:p w:rsidR="00E13F46" w:rsidRDefault="00E13F46" w:rsidP="002F463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Default="00E13F46" w:rsidP="00BB068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3430C">
        <w:rPr>
          <w:rFonts w:ascii="Times New Roman" w:hAnsi="Times New Roman" w:cs="Times New Roman"/>
          <w:b/>
          <w:bCs/>
          <w:sz w:val="24"/>
          <w:szCs w:val="24"/>
        </w:rPr>
        <w:t>Област Кърджали</w:t>
      </w:r>
      <w:r w:rsidRPr="0013430C">
        <w:rPr>
          <w:rFonts w:ascii="Times New Roman" w:hAnsi="Times New Roman" w:cs="Times New Roman"/>
          <w:sz w:val="24"/>
          <w:szCs w:val="24"/>
        </w:rPr>
        <w:t xml:space="preserve"> е една от 28-те </w:t>
      </w:r>
      <w:hyperlink r:id="rId8" w:tooltip="Области на България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области на България</w:t>
        </w:r>
      </w:hyperlink>
      <w:r w:rsidR="00ED3719">
        <w:rPr>
          <w:rStyle w:val="a9"/>
          <w:rFonts w:ascii="Times New Roman" w:hAnsi="Times New Roman"/>
          <w:sz w:val="24"/>
          <w:szCs w:val="24"/>
          <w:lang w:val="bg-BG"/>
        </w:rPr>
        <w:t>.</w:t>
      </w:r>
      <w:r w:rsidR="009E51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административно-териториалните граници на Област Кърджали са включени </w:t>
      </w:r>
      <w:r w:rsidRPr="0013430C">
        <w:rPr>
          <w:rFonts w:ascii="Times New Roman" w:hAnsi="Times New Roman" w:cs="Times New Roman"/>
          <w:sz w:val="24"/>
          <w:szCs w:val="24"/>
        </w:rPr>
        <w:t>7 общини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Ардино, Джебел, Кирково, Крумовград, Кърджали Момчилград и Черноочене, като </w:t>
      </w:r>
      <w:r w:rsidRPr="0013430C">
        <w:rPr>
          <w:rFonts w:ascii="Times New Roman" w:hAnsi="Times New Roman" w:cs="Times New Roman"/>
          <w:sz w:val="24"/>
          <w:szCs w:val="24"/>
        </w:rPr>
        <w:t xml:space="preserve">общият брой на населените места е 470, от които градовете са едва 5 – </w:t>
      </w:r>
      <w:hyperlink r:id="rId9" w:tooltip="Кърджали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Кърджали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Момчил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Момчилград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Крумовград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Крумовград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Ардино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Ардино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Джебел" w:history="1">
        <w:r w:rsidRPr="0013430C">
          <w:rPr>
            <w:rStyle w:val="a9"/>
            <w:rFonts w:ascii="Times New Roman" w:hAnsi="Times New Roman"/>
            <w:sz w:val="24"/>
            <w:szCs w:val="24"/>
          </w:rPr>
          <w:t>Джебел</w:t>
        </w:r>
      </w:hyperlink>
      <w:r w:rsidRPr="0013430C">
        <w:rPr>
          <w:rFonts w:ascii="Times New Roman" w:hAnsi="Times New Roman" w:cs="Times New Roman"/>
          <w:sz w:val="24"/>
          <w:szCs w:val="24"/>
        </w:rPr>
        <w:t xml:space="preserve">. Черноочене и Кирково са двете общини в областта, съставени изцяло от </w:t>
      </w:r>
      <w:r>
        <w:rPr>
          <w:rFonts w:ascii="Times New Roman" w:hAnsi="Times New Roman" w:cs="Times New Roman"/>
          <w:sz w:val="24"/>
          <w:szCs w:val="24"/>
          <w:lang w:val="bg-BG"/>
        </w:rPr>
        <w:t>села.</w:t>
      </w:r>
    </w:p>
    <w:p w:rsidR="00E13F46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6C1A91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РАСТЕНИЕВЪДСТВО</w:t>
      </w:r>
    </w:p>
    <w:p w:rsidR="00E13F46" w:rsidRPr="006C1A91" w:rsidRDefault="00E13F46" w:rsidP="00BB0681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Pr="00FB60C7" w:rsidRDefault="00E13F46" w:rsidP="00BB068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60C7">
        <w:rPr>
          <w:rFonts w:ascii="Times New Roman" w:hAnsi="Times New Roman" w:cs="Times New Roman"/>
          <w:sz w:val="24"/>
          <w:szCs w:val="24"/>
          <w:lang w:val="bg-BG"/>
        </w:rPr>
        <w:t>Преобладаващият почвен тип в област Кърджали са канелените горски почви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 Срещат се също в по-ма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лък размер кафяви горски почви,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>алувиални, канелено-подзолисти, делувиални и в незначителен размер други почвени типове. Най-плодоро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дните почви са по долините на река </w:t>
      </w:r>
      <w:r w:rsidRPr="00FB60C7">
        <w:rPr>
          <w:rFonts w:ascii="Times New Roman" w:hAnsi="Times New Roman" w:cs="Times New Roman"/>
          <w:sz w:val="24"/>
          <w:szCs w:val="24"/>
          <w:lang w:val="bg-BG"/>
        </w:rPr>
        <w:t xml:space="preserve">Арда и нейните притоци и в северните части на областта на границата с Хасковска област. </w:t>
      </w:r>
    </w:p>
    <w:p w:rsidR="00E13F46" w:rsidRPr="00A51302" w:rsidRDefault="00E13F46" w:rsidP="00BB0681">
      <w:pPr>
        <w:pStyle w:val="a7"/>
        <w:ind w:right="282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27BEE">
        <w:rPr>
          <w:rFonts w:ascii="Times New Roman" w:hAnsi="Times New Roman" w:cs="Times New Roman"/>
          <w:sz w:val="24"/>
          <w:szCs w:val="24"/>
        </w:rPr>
        <w:t xml:space="preserve">На база данни от общинските служби по земеделие в област Кърджали, 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земеделската територия </w:t>
      </w:r>
      <w:r w:rsidRPr="00227BEE">
        <w:rPr>
          <w:rFonts w:ascii="Times New Roman" w:hAnsi="Times New Roman" w:cs="Times New Roman"/>
          <w:sz w:val="24"/>
          <w:szCs w:val="24"/>
        </w:rPr>
        <w:t>на областта е в размер на 1</w:t>
      </w:r>
      <w:r w:rsidR="005D747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213334">
        <w:rPr>
          <w:rFonts w:ascii="Times New Roman" w:hAnsi="Times New Roman" w:cs="Times New Roman"/>
          <w:sz w:val="24"/>
          <w:szCs w:val="24"/>
        </w:rPr>
        <w:t>225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>
        <w:rPr>
          <w:rFonts w:ascii="Times New Roman" w:hAnsi="Times New Roman" w:cs="Times New Roman"/>
          <w:sz w:val="24"/>
          <w:szCs w:val="24"/>
        </w:rPr>
        <w:t>356,721</w:t>
      </w:r>
      <w:r w:rsidRPr="00227BEE">
        <w:rPr>
          <w:rFonts w:ascii="Times New Roman" w:hAnsi="Times New Roman" w:cs="Times New Roman"/>
          <w:sz w:val="24"/>
          <w:szCs w:val="24"/>
        </w:rPr>
        <w:t xml:space="preserve"> дка, в това число по о</w:t>
      </w:r>
      <w:r w:rsidR="00C54F52">
        <w:rPr>
          <w:rFonts w:ascii="Times New Roman" w:hAnsi="Times New Roman" w:cs="Times New Roman"/>
          <w:sz w:val="24"/>
          <w:szCs w:val="24"/>
        </w:rPr>
        <w:t xml:space="preserve">бщини както следва: Ардино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119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179,838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F52">
        <w:rPr>
          <w:rFonts w:ascii="Times New Roman" w:hAnsi="Times New Roman" w:cs="Times New Roman"/>
          <w:sz w:val="24"/>
          <w:szCs w:val="24"/>
        </w:rPr>
        <w:t xml:space="preserve">дка, Джебел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76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790,482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дка, Кирково </w:t>
      </w:r>
      <w:r w:rsidR="00C54F52">
        <w:rPr>
          <w:rFonts w:ascii="Times New Roman" w:hAnsi="Times New Roman" w:cs="Times New Roman"/>
          <w:sz w:val="24"/>
          <w:szCs w:val="24"/>
        </w:rPr>
        <w:t xml:space="preserve">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171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270,716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</w:rPr>
        <w:t xml:space="preserve">дка, Крумовград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367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199,892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27BEE">
        <w:rPr>
          <w:rFonts w:ascii="Times New Roman" w:hAnsi="Times New Roman" w:cs="Times New Roman"/>
          <w:sz w:val="24"/>
          <w:szCs w:val="24"/>
        </w:rPr>
        <w:t>дка</w:t>
      </w:r>
      <w:r w:rsidR="00A51302">
        <w:rPr>
          <w:rFonts w:ascii="Times New Roman" w:hAnsi="Times New Roman" w:cs="Times New Roman"/>
          <w:sz w:val="24"/>
          <w:szCs w:val="24"/>
        </w:rPr>
        <w:t xml:space="preserve">, Кърджали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220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556,914</w:t>
      </w:r>
      <w:r w:rsidR="00A51302">
        <w:rPr>
          <w:rFonts w:ascii="Times New Roman" w:hAnsi="Times New Roman" w:cs="Times New Roman"/>
          <w:sz w:val="24"/>
          <w:szCs w:val="24"/>
        </w:rPr>
        <w:t xml:space="preserve"> дка, Момчилград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153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943,924</w:t>
      </w:r>
      <w:r w:rsidRPr="00B73EAA">
        <w:rPr>
          <w:rFonts w:ascii="Times New Roman" w:hAnsi="Times New Roman" w:cs="Times New Roman"/>
          <w:sz w:val="24"/>
          <w:szCs w:val="24"/>
        </w:rPr>
        <w:t xml:space="preserve"> дк</w:t>
      </w:r>
      <w:r w:rsidR="00A51302">
        <w:rPr>
          <w:rFonts w:ascii="Times New Roman" w:hAnsi="Times New Roman" w:cs="Times New Roman"/>
          <w:sz w:val="24"/>
          <w:szCs w:val="24"/>
        </w:rPr>
        <w:t xml:space="preserve">а и Черноочене – </w:t>
      </w:r>
      <w:r w:rsidR="00213334" w:rsidRPr="00213334">
        <w:rPr>
          <w:rFonts w:ascii="Times New Roman" w:hAnsi="Times New Roman" w:cs="Times New Roman"/>
          <w:sz w:val="24"/>
          <w:szCs w:val="24"/>
        </w:rPr>
        <w:t>116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13334" w:rsidRPr="00213334">
        <w:rPr>
          <w:rFonts w:ascii="Times New Roman" w:hAnsi="Times New Roman" w:cs="Times New Roman"/>
          <w:sz w:val="24"/>
          <w:szCs w:val="24"/>
        </w:rPr>
        <w:t>414,955</w:t>
      </w:r>
      <w:r w:rsidR="002133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73EAA">
        <w:rPr>
          <w:rFonts w:ascii="Times New Roman" w:hAnsi="Times New Roman" w:cs="Times New Roman"/>
          <w:sz w:val="24"/>
          <w:szCs w:val="24"/>
        </w:rPr>
        <w:t>дка.</w:t>
      </w:r>
      <w:r w:rsidRPr="00227BEE">
        <w:rPr>
          <w:rFonts w:ascii="Times New Roman" w:hAnsi="Times New Roman" w:cs="Times New Roman"/>
          <w:sz w:val="24"/>
          <w:szCs w:val="24"/>
        </w:rPr>
        <w:t xml:space="preserve"> 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Видно от данните в таблица 1, площ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 xml:space="preserve">а на имотите за нуждите на селското стопанство представляват  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38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D7478">
        <w:rPr>
          <w:rFonts w:ascii="Times New Roman" w:hAnsi="Times New Roman" w:cs="Times New Roman"/>
          <w:sz w:val="24"/>
          <w:szCs w:val="24"/>
          <w:lang w:val="bg-BG"/>
        </w:rPr>
        <w:t>41</w:t>
      </w:r>
      <w:r w:rsidR="00A51302">
        <w:rPr>
          <w:rFonts w:ascii="Times New Roman" w:hAnsi="Times New Roman" w:cs="Times New Roman"/>
          <w:sz w:val="24"/>
          <w:szCs w:val="24"/>
          <w:lang w:val="bg-BG"/>
        </w:rPr>
        <w:t>% от общата площ на област Кърджали.</w:t>
      </w:r>
    </w:p>
    <w:p w:rsidR="00213334" w:rsidRDefault="00213334" w:rsidP="00C1719B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таблица 1 е изнесена информация по видове територии по предназначение.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горската територия, представлява 55,72 % от общата територия в областта, следва земеделската територия с 38.41 % .</w:t>
      </w:r>
    </w:p>
    <w:p w:rsidR="00E13F46" w:rsidRDefault="00E13F46" w:rsidP="00521B7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213334" w:rsidRPr="00213334" w:rsidRDefault="00A51302" w:rsidP="0021333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2"/>
          <w:szCs w:val="22"/>
          <w:lang w:val="bg-BG" w:eastAsia="bg-BG"/>
        </w:rPr>
      </w:pPr>
      <w:r w:rsidRPr="00227B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1</w:t>
      </w:r>
      <w:r w:rsidR="002133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  </w:t>
      </w:r>
    </w:p>
    <w:p w:rsidR="00213334" w:rsidRDefault="00213334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952"/>
        <w:gridCol w:w="2835"/>
        <w:gridCol w:w="1513"/>
      </w:tblGrid>
      <w:tr w:rsidR="00213334" w:rsidRPr="00213334" w:rsidTr="0021333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 за областта</w:t>
            </w:r>
          </w:p>
        </w:tc>
      </w:tr>
      <w:tr w:rsidR="00213334" w:rsidRPr="00213334" w:rsidTr="0021333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Код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територия по предназначение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</w:t>
            </w:r>
            <w:r w:rsidR="00D738B7"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дка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CE0482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%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Урбанизирана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73894,648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Територия за транспорт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16542,166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Земеделска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330015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1225356,721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38,41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Горска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1777563,952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55,72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Води и водни обекти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72986,268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2,29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Защитена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21346,841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0,67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Нарушена територия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2538,925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0,08</w:t>
            </w:r>
          </w:p>
        </w:tc>
      </w:tr>
      <w:tr w:rsidR="00213334" w:rsidRPr="00213334" w:rsidTr="0021333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334" w:rsidRPr="00213334" w:rsidRDefault="00213334" w:rsidP="002133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213334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213334" w:rsidRPr="00A479BC" w:rsidRDefault="00C926B6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В таблица 2 е изнесена информация по видове собственост.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Най-голям е делът на имоти  държавната частна собственост представлява 58,15% от общата територия в областта, следват имоти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стопанисвани от общината с 14.61 %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частна собственост 12.28%. </w:t>
      </w:r>
    </w:p>
    <w:p w:rsidR="00C54F52" w:rsidRDefault="00C54F52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479BC" w:rsidRDefault="003231E9" w:rsidP="00294F83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Таблица 2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9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1810"/>
        <w:gridCol w:w="2410"/>
        <w:gridCol w:w="1833"/>
      </w:tblGrid>
      <w:tr w:rsidR="00C926B6" w:rsidRPr="00C926B6" w:rsidTr="00C926B6">
        <w:trPr>
          <w:trHeight w:val="4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за област Кърджали</w:t>
            </w:r>
          </w:p>
        </w:tc>
      </w:tr>
      <w:tr w:rsidR="00C926B6" w:rsidRPr="00C926B6" w:rsidTr="00C926B6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Код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собственост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 имоти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 дка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%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Неустановена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3474,817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Държавна публична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115335,788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3,62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Държавна 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1855023,448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58,15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публична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148477,158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Общинска 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135429,016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4,25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Частна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203070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391767,123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12,28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Кооперативна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8,247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0,0003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Обществени организации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5562,723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0,17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Чуждестранна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12862,240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0,40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Религиозна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363,451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Съсобственост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55280,617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1,73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Изключителна държавна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396,718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0,01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Стопанисвано от общината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466248,175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6F7CC9" w:rsidP="006F7CC9">
      <w:pPr>
        <w:ind w:right="424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</w:t>
      </w:r>
      <w:r w:rsidR="00A479B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таблица 3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е изнесена информация</w:t>
      </w:r>
      <w:r w:rsidR="00BB068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имотите по начин на трайно ползване. От имотите, 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предназначени за нуждите на селското стопанство, най-го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лям е делът на пасищата – 516 354,914 дка, което прави 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>16,19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.%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 цялата площ в областта, 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>следвани от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нивите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– 467 117,575 дка</w:t>
      </w:r>
      <w:r w:rsidR="004631FF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="004E072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или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14,64</w:t>
      </w:r>
      <w:r w:rsidR="00882628">
        <w:rPr>
          <w:rFonts w:ascii="Times New Roman" w:hAnsi="Times New Roman" w:cs="Times New Roman"/>
          <w:color w:val="000000"/>
          <w:sz w:val="24"/>
          <w:szCs w:val="24"/>
          <w:lang w:val="bg-BG"/>
        </w:rPr>
        <w:t>%</w:t>
      </w:r>
      <w:r w:rsidR="00C926B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AB0FDE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C54F52" w:rsidRDefault="00C54F52" w:rsidP="00BB0681">
      <w:pPr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82628" w:rsidRPr="00A479BC" w:rsidRDefault="00882628" w:rsidP="0088262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</w:pPr>
      <w:r w:rsidRPr="00A479BC"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bg-BG"/>
        </w:rPr>
        <w:t>аблица 3</w:t>
      </w: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00"/>
        <w:gridCol w:w="3920"/>
        <w:gridCol w:w="1380"/>
        <w:gridCol w:w="1000"/>
      </w:tblGrid>
      <w:tr w:rsidR="00C926B6" w:rsidRPr="00C926B6" w:rsidTr="00C926B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  за областта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ВИД НТП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Брой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Площ дка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E0482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0482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%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Ниви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208062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467117,575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14,64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Ливади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30272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65676,431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2,06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Пасища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57852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516354,914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16,19</w:t>
            </w:r>
          </w:p>
        </w:tc>
      </w:tr>
      <w:tr w:rsidR="00C926B6" w:rsidRPr="00C926B6" w:rsidTr="00C926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eastAsia="bg-BG"/>
              </w:rPr>
              <w:t>Друг вид НТП /вкл.игл. и шир. гора/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94719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2141080,601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67,11</w:t>
            </w:r>
          </w:p>
        </w:tc>
      </w:tr>
      <w:tr w:rsidR="00C926B6" w:rsidRPr="00C926B6" w:rsidTr="00C926B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390905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Times New Roman" w:hAnsi="Times New Roman" w:cs="Times New Roman"/>
                <w:color w:val="000000"/>
                <w:sz w:val="22"/>
                <w:szCs w:val="22"/>
                <w:lang w:val="bg-BG" w:eastAsia="bg-BG"/>
              </w:rPr>
              <w:t>3190229,521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6B6" w:rsidRPr="00C926B6" w:rsidRDefault="00C926B6" w:rsidP="00C926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C926B6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100,00</w:t>
            </w:r>
          </w:p>
        </w:tc>
      </w:tr>
    </w:tbl>
    <w:p w:rsidR="00C926B6" w:rsidRPr="00C926B6" w:rsidRDefault="00C926B6" w:rsidP="00C926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926B6" w:rsidRPr="00C926B6" w:rsidRDefault="00C926B6" w:rsidP="00C926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C54F52" w:rsidRPr="00AB0FDE" w:rsidRDefault="00C54F52" w:rsidP="00294F8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E76" w:rsidRPr="00657E76" w:rsidRDefault="00657E76" w:rsidP="00826694">
      <w:pPr>
        <w:tabs>
          <w:tab w:val="left" w:pos="709"/>
        </w:tabs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За стопанската 2020/2021 година в област Кърджали с есенници са засети 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77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8.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ха, от които 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61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2669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 пшеница</w:t>
      </w:r>
      <w:r w:rsidR="00826694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91.0</w:t>
      </w:r>
      <w:r w:rsidRPr="00657E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ечемик и 77.0</w:t>
      </w:r>
      <w:r w:rsidR="0082669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рапица. В таблици 4 е видно изменението на заетите площи с есенници за последните години:</w:t>
      </w:r>
    </w:p>
    <w:p w:rsidR="00657E76" w:rsidRPr="00657E76" w:rsidRDefault="00657E76" w:rsidP="00657E7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993"/>
        <w:gridCol w:w="852"/>
        <w:gridCol w:w="850"/>
        <w:gridCol w:w="851"/>
        <w:gridCol w:w="992"/>
        <w:gridCol w:w="709"/>
        <w:gridCol w:w="850"/>
        <w:gridCol w:w="709"/>
        <w:gridCol w:w="709"/>
        <w:gridCol w:w="850"/>
      </w:tblGrid>
      <w:tr w:rsidR="00657E76" w:rsidRPr="00657E76" w:rsidTr="00657E76">
        <w:trPr>
          <w:trHeight w:val="691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пшеница</w:t>
            </w:r>
          </w:p>
          <w:p w:rsidR="00657E76" w:rsidRPr="00F00FB1" w:rsidRDefault="00F00FB1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Засети площи ечемик</w:t>
            </w:r>
          </w:p>
          <w:p w:rsidR="00657E76" w:rsidRPr="00F00FB1" w:rsidRDefault="00F00FB1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xa</w:t>
            </w:r>
          </w:p>
        </w:tc>
      </w:tr>
      <w:tr w:rsidR="00657E76" w:rsidRPr="00657E76" w:rsidTr="00657E76">
        <w:trPr>
          <w:trHeight w:val="284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17.0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222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35.0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52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35.0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hRule="exact" w:val="28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175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21.0</w:t>
            </w:r>
          </w:p>
        </w:tc>
      </w:tr>
      <w:tr w:rsidR="00657E76" w:rsidRPr="00657E76" w:rsidTr="00657E76">
        <w:trPr>
          <w:trHeight w:val="397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360.0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510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449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85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75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.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91.0</w:t>
            </w:r>
          </w:p>
        </w:tc>
      </w:tr>
    </w:tbl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E76" w:rsidRPr="00657E76" w:rsidRDefault="00657E76" w:rsidP="00F00FB1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изнесените данни в таблицата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видно увеличение на заетите площи с пшеница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през стопанската 2020/2021 година, спрямо стопанската 2019/2020</w:t>
      </w:r>
      <w:r w:rsidR="00F00FB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г.</w:t>
      </w:r>
    </w:p>
    <w:p w:rsidR="00657E76" w:rsidRPr="00657E76" w:rsidRDefault="00657E76" w:rsidP="00F00FB1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За периода в община Черноочене и община Крумовград, обл. Кърджали се наблюд</w:t>
      </w:r>
      <w:r w:rsidR="00F00FB1">
        <w:rPr>
          <w:rFonts w:ascii="Times New Roman" w:hAnsi="Times New Roman" w:cs="Times New Roman"/>
          <w:color w:val="000000"/>
          <w:sz w:val="24"/>
          <w:szCs w:val="24"/>
          <w:lang w:val="bg-BG"/>
        </w:rPr>
        <w:t>ават засети площи с рапица 77ха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със среден добив от 230</w:t>
      </w:r>
      <w:r w:rsidR="00F00FB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кг/дка.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 </w:t>
      </w: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- </w:t>
      </w:r>
      <w:r w:rsidRPr="00657E76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пшеница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10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933"/>
        <w:gridCol w:w="992"/>
        <w:gridCol w:w="992"/>
        <w:gridCol w:w="850"/>
        <w:gridCol w:w="851"/>
        <w:gridCol w:w="709"/>
        <w:gridCol w:w="850"/>
        <w:gridCol w:w="709"/>
        <w:gridCol w:w="850"/>
        <w:gridCol w:w="1000"/>
      </w:tblGrid>
      <w:tr w:rsidR="00657E76" w:rsidRPr="00657E76" w:rsidTr="00657E76">
        <w:trPr>
          <w:trHeight w:val="659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тона 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кг/дка 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657E76" w:rsidRPr="00657E76" w:rsidTr="00657E76">
        <w:trPr>
          <w:trHeight w:val="19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403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440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374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450</w:t>
            </w:r>
          </w:p>
        </w:tc>
      </w:tr>
      <w:tr w:rsidR="00657E76" w:rsidRPr="00657E76" w:rsidTr="00657E76">
        <w:trPr>
          <w:trHeight w:val="39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397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431</w:t>
            </w:r>
          </w:p>
        </w:tc>
      </w:tr>
    </w:tbl>
    <w:p w:rsidR="00657E76" w:rsidRPr="00657E76" w:rsidRDefault="00657E76" w:rsidP="00657E7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Таблица </w:t>
      </w: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</w:t>
      </w: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 xml:space="preserve"> - Ечемик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849"/>
        <w:gridCol w:w="844"/>
        <w:gridCol w:w="992"/>
        <w:gridCol w:w="850"/>
        <w:gridCol w:w="851"/>
        <w:gridCol w:w="850"/>
        <w:gridCol w:w="851"/>
        <w:gridCol w:w="709"/>
        <w:gridCol w:w="850"/>
        <w:gridCol w:w="858"/>
      </w:tblGrid>
      <w:tr w:rsidR="00657E76" w:rsidRPr="00657E76" w:rsidTr="00657E7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Производство</w:t>
            </w:r>
          </w:p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4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657E76" w:rsidRPr="00657E76" w:rsidRDefault="00657E76">
            <w:pPr>
              <w:ind w:right="-29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Ардино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Джебел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Кирково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Крумовград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86.8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280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250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360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Момчилград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ind w:right="-2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Черноочене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52.5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250</w:t>
            </w:r>
          </w:p>
        </w:tc>
      </w:tr>
      <w:tr w:rsidR="00657E76" w:rsidRPr="00657E76" w:rsidTr="00657E76">
        <w:trPr>
          <w:trHeight w:val="3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197.3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293.5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287</w:t>
            </w:r>
          </w:p>
        </w:tc>
      </w:tr>
    </w:tbl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57E76" w:rsidRPr="00657E76" w:rsidRDefault="00657E76" w:rsidP="00E236FB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област Кърджали посевната площ с основните пролетни култури през </w:t>
      </w:r>
      <w:r w:rsidR="00E236FB">
        <w:rPr>
          <w:rFonts w:ascii="Times New Roman" w:hAnsi="Times New Roman" w:cs="Times New Roman"/>
          <w:color w:val="000000"/>
          <w:sz w:val="24"/>
          <w:szCs w:val="24"/>
          <w:lang w:val="bg-BG"/>
        </w:rPr>
        <w:t>отчетния период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 1671,1</w:t>
      </w:r>
      <w:r w:rsidRPr="00657E76">
        <w:rPr>
          <w:rFonts w:ascii="Times New Roman" w:hAnsi="Times New Roman" w:cs="Times New Roman"/>
          <w:noProof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xа. 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таблица 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са изнесени данни за последните пет години: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bg-BG"/>
        </w:rPr>
        <w:t>Таблица 7</w:t>
      </w:r>
    </w:p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70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79"/>
        <w:gridCol w:w="1418"/>
        <w:gridCol w:w="1417"/>
        <w:gridCol w:w="1417"/>
        <w:gridCol w:w="1415"/>
        <w:gridCol w:w="1559"/>
      </w:tblGrid>
      <w:tr w:rsidR="00657E76" w:rsidRPr="00657E76" w:rsidTr="00657E76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площ в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x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2017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2019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2020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Посевна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площ в xа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2021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г.</w:t>
            </w:r>
          </w:p>
        </w:tc>
      </w:tr>
      <w:tr w:rsidR="00657E76" w:rsidRPr="00657E76" w:rsidTr="00657E76">
        <w:trPr>
          <w:trHeight w:val="29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1. Картофи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852.0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810.5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784.5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492.3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209.43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2. Царевица за зърно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78.0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105.8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38.75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3. Фасул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105.0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50.0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4. Масл. слънчоглед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159.0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255.0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340.0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372.6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5. Домати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178.0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167.0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164.0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71.95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6. Пипер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531.0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360.0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348.5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226.01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7. 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59.3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30.78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8. Краставици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18.35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15.12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9. Пъпеши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13.7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33.15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ind w:left="70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12.16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10. Ориенталски тютюн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603.5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836.5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1110.8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880.0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669.2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11. 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Ечемик - пролетен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17.0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11.0</w:t>
            </w:r>
          </w:p>
        </w:tc>
      </w:tr>
      <w:tr w:rsidR="00657E76" w:rsidRPr="00657E76" w:rsidTr="00657E76">
        <w:trPr>
          <w:trHeight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12. Зеле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14.1</w:t>
            </w:r>
          </w:p>
        </w:tc>
      </w:tr>
      <w:tr w:rsidR="00657E76" w:rsidRPr="00657E76" w:rsidTr="00657E76">
        <w:trPr>
          <w:trHeight w:val="47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2622.0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2656.2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2920.4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2361.3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1671.1</w:t>
            </w:r>
          </w:p>
        </w:tc>
      </w:tr>
    </w:tbl>
    <w:p w:rsidR="00657E76" w:rsidRPr="00657E76" w:rsidRDefault="00657E76" w:rsidP="00657E7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E76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     </w:t>
      </w:r>
    </w:p>
    <w:p w:rsidR="00657E76" w:rsidRPr="00657E76" w:rsidRDefault="00657E76" w:rsidP="009F5A9E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Видно от таблица 7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е, че през 2021 спрямо 2020 год. в област Кърджали площите, засети  с пролетни култури са намалели с 690,2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ха. Отчитаме 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282,87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намаление на засетите площи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с картофи, 67,05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ха намаление</w:t>
      </w:r>
      <w:r w:rsidR="00E55A9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площите с царевица за зърно, 211 ха намаление при тютюна.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Като основни причини за намаляването на засетите площи са: демографски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-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намаляване на жителите по селата, младите хора търсят по-добри алтерна</w:t>
      </w:r>
      <w:r w:rsidR="009F5A9E">
        <w:rPr>
          <w:rFonts w:ascii="Times New Roman" w:hAnsi="Times New Roman" w:cs="Times New Roman"/>
          <w:color w:val="000000"/>
          <w:sz w:val="24"/>
          <w:szCs w:val="24"/>
          <w:lang w:val="bg-BG"/>
        </w:rPr>
        <w:t>тивни източници на доходи.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657E76" w:rsidRPr="00657E76" w:rsidRDefault="00657E76" w:rsidP="00657E76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657E76" w:rsidRPr="00657E76" w:rsidRDefault="00657E76" w:rsidP="00E55A97">
      <w:pPr>
        <w:pStyle w:val="a7"/>
        <w:ind w:right="282" w:firstLine="720"/>
        <w:rPr>
          <w:rFonts w:ascii="Times New Roman" w:hAnsi="Times New Roman"/>
          <w:color w:val="000000"/>
          <w:sz w:val="24"/>
          <w:szCs w:val="24"/>
        </w:rPr>
      </w:pPr>
      <w:r w:rsidRPr="00657E76">
        <w:rPr>
          <w:rFonts w:ascii="Times New Roman" w:hAnsi="Times New Roman"/>
          <w:color w:val="000000"/>
          <w:sz w:val="24"/>
          <w:szCs w:val="24"/>
        </w:rPr>
        <w:t>В таблица 8 са изнесени данните за получената продукция от пролетни култури през отчетния период:</w:t>
      </w:r>
    </w:p>
    <w:p w:rsidR="00657E76" w:rsidRPr="00657E76" w:rsidRDefault="00657E76" w:rsidP="00657E76">
      <w:pPr>
        <w:pStyle w:val="a7"/>
        <w:rPr>
          <w:rFonts w:ascii="Times New Roman" w:hAnsi="Times New Roman"/>
          <w:color w:val="000000"/>
          <w:sz w:val="24"/>
          <w:szCs w:val="24"/>
        </w:rPr>
      </w:pPr>
    </w:p>
    <w:p w:rsidR="00657E76" w:rsidRPr="00657E76" w:rsidRDefault="00657E76" w:rsidP="00657E76">
      <w:pPr>
        <w:pStyle w:val="a7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57E7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Таблица 8</w:t>
      </w:r>
    </w:p>
    <w:p w:rsidR="00657E76" w:rsidRPr="00657E76" w:rsidRDefault="00657E76" w:rsidP="00657E76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pStyle w:val="a7"/>
        <w:ind w:firstLine="720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19"/>
        <w:gridCol w:w="2319"/>
        <w:gridCol w:w="2341"/>
      </w:tblGrid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Култура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Засадени площи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ха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Получена продукция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тона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Среден добив</w:t>
            </w:r>
          </w:p>
          <w:p w:rsidR="00657E76" w:rsidRPr="00657E76" w:rsidRDefault="00657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кг/дка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1. Пипер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531,0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9924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1869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360,0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5544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1540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348,5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5825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1671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293,2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7345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 w:rsidP="00C761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</w:t>
            </w:r>
            <w:r w:rsidR="00C7613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05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226.0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6586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2914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2. Домати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178,0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2236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1256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167,0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1562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935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164,0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540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993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71.95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1219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1694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3. Картофи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852,0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10471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1229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810,5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8356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1031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784,5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7404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944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492,3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4352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209.43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1928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921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4. Дини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59,3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755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22,7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198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30,9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210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50,3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441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877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30.78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607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1972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5. Пъпеши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31,2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316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16,5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13,7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192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33,15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562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12.16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1153</w:t>
            </w:r>
          </w:p>
        </w:tc>
      </w:tr>
      <w:tr w:rsidR="00657E76" w:rsidRPr="00657E76" w:rsidTr="00657E76">
        <w:trPr>
          <w:trHeight w:val="208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6. Тютюн ориенталски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603,5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760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126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836,5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1196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143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1110,8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1476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133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880,0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140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669.2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975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142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7. Фасул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930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123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53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107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Не е в оперативна 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Не е в оперативна 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8. Слънчоглед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1590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2550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395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155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3400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112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363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372,6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9.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7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Царевица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76" w:rsidRPr="00657E76" w:rsidRDefault="00657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01.12.2017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1150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429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373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01.12.2018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830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293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353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01.12.2019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780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279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358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01.12.2020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105,8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183,7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174</w:t>
            </w:r>
          </w:p>
        </w:tc>
      </w:tr>
      <w:tr w:rsidR="00657E76" w:rsidRPr="00657E76" w:rsidTr="00657E7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01.12.2021 год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38,75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137,25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76" w:rsidRPr="00657E76" w:rsidRDefault="00657E7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657E76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354</w:t>
            </w:r>
          </w:p>
        </w:tc>
      </w:tr>
    </w:tbl>
    <w:p w:rsidR="00657E76" w:rsidRPr="00657E76" w:rsidRDefault="00657E76" w:rsidP="00657E76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657E76" w:rsidRPr="00657E76" w:rsidRDefault="00657E76" w:rsidP="00657E7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3A465D" w:rsidRPr="00657E76" w:rsidRDefault="003A465D" w:rsidP="00657E7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553EA1" w:rsidRPr="00657E76" w:rsidRDefault="00553EA1" w:rsidP="00AC4408">
      <w:pPr>
        <w:ind w:right="28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област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Кърджали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13F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преобладават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дребни частни стопанства, които обработват малки по размер площи и произвеждат продукция с висока себестойност. Характерно за производителите от областта е, че работят със собствени средства. 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Липсата на з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емеделски кооперации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, групи производители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арендатори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, както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наличие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>то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голям брой наследници на имоти и липса на делби между тях</w:t>
      </w:r>
      <w:r w:rsidRPr="00657E76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правят невъзможен процеса по комасация на земеделските земи в регион</w:t>
      </w:r>
      <w:r w:rsidRPr="00657E76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:rsidR="0092464E" w:rsidRPr="00657E76" w:rsidRDefault="0092464E" w:rsidP="001F742E">
      <w:pPr>
        <w:tabs>
          <w:tab w:val="left" w:pos="11070"/>
        </w:tabs>
        <w:ind w:right="282" w:firstLine="708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lastRenderedPageBreak/>
        <w:t>ІІ. ЖИВОТНОВЪДСТВО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color w:val="00B050"/>
          <w:sz w:val="24"/>
          <w:szCs w:val="24"/>
          <w:lang w:val="bg-BG"/>
        </w:rPr>
      </w:pP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Животновъдството е основен поминък на 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>земеделските стопани</w:t>
      </w: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 от Кърджалийска област. </w:t>
      </w:r>
      <w:r w:rsidR="006C79E0">
        <w:rPr>
          <w:rFonts w:ascii="Times New Roman" w:hAnsi="Times New Roman" w:cs="Times New Roman"/>
          <w:sz w:val="24"/>
          <w:szCs w:val="24"/>
          <w:lang w:val="ru-RU"/>
        </w:rPr>
        <w:t xml:space="preserve">Овцевъдството е водещо за отрасъла в областта, следвано от </w:t>
      </w:r>
      <w:r w:rsidR="000A2D7A">
        <w:rPr>
          <w:rFonts w:ascii="Times New Roman" w:hAnsi="Times New Roman" w:cs="Times New Roman"/>
          <w:sz w:val="24"/>
          <w:szCs w:val="24"/>
          <w:lang w:val="ru-RU"/>
        </w:rPr>
        <w:t>говедовъд</w:t>
      </w:r>
      <w:r w:rsidR="006C79E0">
        <w:rPr>
          <w:rFonts w:ascii="Times New Roman" w:hAnsi="Times New Roman" w:cs="Times New Roman"/>
          <w:sz w:val="24"/>
          <w:szCs w:val="24"/>
          <w:lang w:val="ru-RU"/>
        </w:rPr>
        <w:t>ството. В региона се о</w:t>
      </w: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тглеждат </w:t>
      </w:r>
      <w:r w:rsidR="006C79E0">
        <w:rPr>
          <w:rFonts w:ascii="Times New Roman" w:hAnsi="Times New Roman" w:cs="Times New Roman"/>
          <w:sz w:val="24"/>
          <w:szCs w:val="24"/>
          <w:lang w:val="ru-RU"/>
        </w:rPr>
        <w:t>предимно крави за мляко и месо.</w:t>
      </w:r>
      <w:r w:rsidRPr="00657E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>На територията н</w:t>
      </w:r>
      <w:r w:rsidR="00F8721D">
        <w:rPr>
          <w:rFonts w:ascii="Times New Roman" w:hAnsi="Times New Roman" w:cs="Times New Roman"/>
          <w:sz w:val="24"/>
          <w:szCs w:val="24"/>
          <w:lang w:val="bg-BG"/>
        </w:rPr>
        <w:t>а област Кърджали към 01.01.202</w:t>
      </w:r>
      <w:r w:rsidR="006C79E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се отглеждат следните видове и брой животни, както и птици по данни, предоставени от общинските служби по земеделие.</w:t>
      </w:r>
    </w:p>
    <w:p w:rsidR="0092464E" w:rsidRPr="00657E76" w:rsidRDefault="0092464E" w:rsidP="001F742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721D" w:rsidRDefault="00F8721D" w:rsidP="00F8721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  Таблица 9</w:t>
      </w:r>
    </w:p>
    <w:p w:rsidR="00F8721D" w:rsidRDefault="00F8721D" w:rsidP="00F8721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527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010"/>
        <w:gridCol w:w="1255"/>
        <w:gridCol w:w="1276"/>
        <w:gridCol w:w="1134"/>
        <w:gridCol w:w="1276"/>
        <w:gridCol w:w="1197"/>
      </w:tblGrid>
      <w:tr w:rsidR="00F8721D" w:rsidTr="00F8721D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Видове животни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Pr="00CE56A9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E56A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CE56A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 Говеда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68305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60763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61737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крави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47810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42530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43216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Овце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90543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87162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85329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77258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овце–майки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78445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69532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72825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 Кози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8301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кози–майки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7470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 Свине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свине–майки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8721D" w:rsidTr="00F8721D">
        <w:trPr>
          <w:trHeight w:hRule="exact"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 Птици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177, 000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F8721D" w:rsidTr="00F8721D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кокошки–носачки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721D" w:rsidRDefault="00F8721D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8721D" w:rsidTr="00F8721D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бройлери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хил. 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F8721D" w:rsidTr="00F8721D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 Зайци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8721D" w:rsidTr="00F8721D">
        <w:trPr>
          <w:trHeight w:val="55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т. ч. зайкини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F8721D" w:rsidTr="00F8721D">
        <w:trPr>
          <w:trHeight w:val="28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 Пчелни семейства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16110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21D" w:rsidRDefault="00F8721D">
            <w:pPr>
              <w:overflowPunct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F8721D" w:rsidRDefault="00F8721D" w:rsidP="009246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2635" w:rsidRPr="005B3E96" w:rsidRDefault="0092464E" w:rsidP="0033042B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От изнесените данни </w:t>
      </w:r>
      <w:r w:rsidR="000A2D7A">
        <w:rPr>
          <w:rFonts w:ascii="Times New Roman" w:hAnsi="Times New Roman" w:cs="Times New Roman"/>
          <w:sz w:val="24"/>
          <w:szCs w:val="24"/>
          <w:lang w:val="bg-BG"/>
        </w:rPr>
        <w:t xml:space="preserve">се забелязва </w:t>
      </w:r>
      <w:r w:rsidR="00F8721D">
        <w:rPr>
          <w:rFonts w:ascii="Times New Roman" w:hAnsi="Times New Roman" w:cs="Times New Roman"/>
          <w:sz w:val="24"/>
          <w:szCs w:val="24"/>
          <w:lang w:val="bg-BG"/>
        </w:rPr>
        <w:t xml:space="preserve">лек ръст на </w:t>
      </w:r>
      <w:r>
        <w:rPr>
          <w:rFonts w:ascii="Times New Roman" w:hAnsi="Times New Roman" w:cs="Times New Roman"/>
          <w:sz w:val="24"/>
          <w:szCs w:val="24"/>
          <w:lang w:val="bg-BG"/>
        </w:rPr>
        <w:t>броя</w:t>
      </w:r>
      <w:r w:rsidR="00F8721D">
        <w:rPr>
          <w:rFonts w:ascii="Times New Roman" w:hAnsi="Times New Roman" w:cs="Times New Roman"/>
          <w:sz w:val="24"/>
          <w:szCs w:val="24"/>
          <w:lang w:val="bg-BG"/>
        </w:rPr>
        <w:t xml:space="preserve"> отглеждани  говеда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т.ч. крави, </w:t>
      </w:r>
      <w:r w:rsidR="00B94BA0">
        <w:rPr>
          <w:rFonts w:ascii="Times New Roman" w:hAnsi="Times New Roman" w:cs="Times New Roman"/>
          <w:sz w:val="24"/>
          <w:szCs w:val="24"/>
          <w:lang w:val="bg-BG"/>
        </w:rPr>
        <w:t xml:space="preserve">както също и </w:t>
      </w:r>
      <w:r>
        <w:rPr>
          <w:rFonts w:ascii="Times New Roman" w:hAnsi="Times New Roman" w:cs="Times New Roman"/>
          <w:sz w:val="24"/>
          <w:szCs w:val="24"/>
          <w:lang w:val="bg-BG"/>
        </w:rPr>
        <w:t>при овцете.</w:t>
      </w:r>
      <w:r w:rsidR="00F82635">
        <w:rPr>
          <w:rFonts w:ascii="Times New Roman" w:hAnsi="Times New Roman" w:cs="Times New Roman"/>
          <w:sz w:val="24"/>
          <w:szCs w:val="24"/>
          <w:lang w:val="bg-BG"/>
        </w:rPr>
        <w:t xml:space="preserve"> Запазва се тенденцията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2635">
        <w:rPr>
          <w:rFonts w:ascii="Times New Roman" w:hAnsi="Times New Roman" w:cs="Times New Roman"/>
          <w:sz w:val="24"/>
          <w:szCs w:val="24"/>
          <w:lang w:val="bg-BG"/>
        </w:rPr>
        <w:t xml:space="preserve">за намаляване на стопанствата, в които се отглеждат 1 - 2 крави. Като основна причина за намаляване на </w:t>
      </w:r>
      <w:r w:rsidR="00B94BA0">
        <w:rPr>
          <w:rFonts w:ascii="Times New Roman" w:hAnsi="Times New Roman" w:cs="Times New Roman"/>
          <w:sz w:val="24"/>
          <w:szCs w:val="24"/>
          <w:lang w:val="bg-BG"/>
        </w:rPr>
        <w:t>стопанствата отглеждащи  1- 2 крави</w:t>
      </w:r>
      <w:r w:rsidR="00F8263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2635" w:rsidRPr="005B3E96">
        <w:rPr>
          <w:rFonts w:ascii="Times New Roman" w:hAnsi="Times New Roman" w:cs="Times New Roman"/>
          <w:sz w:val="24"/>
          <w:szCs w:val="24"/>
          <w:lang w:val="bg-BG"/>
        </w:rPr>
        <w:t>са</w:t>
      </w:r>
      <w:r w:rsidR="00B94BA0">
        <w:rPr>
          <w:rFonts w:ascii="Times New Roman" w:hAnsi="Times New Roman" w:cs="Times New Roman"/>
          <w:sz w:val="24"/>
          <w:szCs w:val="24"/>
          <w:lang w:val="bg-BG"/>
        </w:rPr>
        <w:t xml:space="preserve"> обезлюдяването на селата, застаряващо население и високите разходи свързани с дейността по отглеждането на животните. </w:t>
      </w:r>
    </w:p>
    <w:p w:rsidR="0092464E" w:rsidRDefault="00B94BA0" w:rsidP="0033042B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Възможността на стопанствата да </w:t>
      </w:r>
      <w:r w:rsidRPr="00B94BA0">
        <w:rPr>
          <w:rFonts w:ascii="Times New Roman" w:hAnsi="Times New Roman" w:cs="Times New Roman"/>
          <w:sz w:val="24"/>
          <w:szCs w:val="24"/>
          <w:lang w:val="bg-BG"/>
        </w:rPr>
        <w:t>кандидатстват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с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хемите и мерките по директни плащания, както също и ПРСР, оказват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благоприятно влияние върху броя на отглежданите животни.  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>Овцевъдството в нашия регион е традиционен отрасъл. Проблемите пред отрасъла са високите цени на фуражите и ниските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 изкупни цени на живите агнета.</w:t>
      </w:r>
    </w:p>
    <w:p w:rsidR="0092464E" w:rsidRPr="0050406C" w:rsidRDefault="0092464E" w:rsidP="0033042B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територията на областта има създаден областен консултативен съвет по животновъдство. Целите на областния консултативен съвет са:</w:t>
      </w:r>
    </w:p>
    <w:p w:rsidR="0092464E" w:rsidRPr="0050406C" w:rsidRDefault="00002F0C" w:rsidP="0092464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Обсъждане на п</w:t>
      </w:r>
      <w:r w:rsidR="0092464E" w:rsidRPr="0050406C">
        <w:rPr>
          <w:rFonts w:ascii="Times New Roman" w:hAnsi="Times New Roman" w:cs="Times New Roman"/>
          <w:sz w:val="24"/>
          <w:szCs w:val="24"/>
        </w:rPr>
        <w:t xml:space="preserve">роблемите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областно ниво </w:t>
      </w:r>
      <w:r w:rsidR="0092464E" w:rsidRPr="0050406C">
        <w:rPr>
          <w:rFonts w:ascii="Times New Roman" w:hAnsi="Times New Roman" w:cs="Times New Roman"/>
          <w:sz w:val="24"/>
          <w:szCs w:val="24"/>
        </w:rPr>
        <w:t>в сектор животновъдство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464E" w:rsidRPr="0050406C" w:rsidRDefault="0092464E" w:rsidP="0092464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Да се информират животновъдите за новостите в сектора. /отдаването на пасища и мери от ОПФ и ДПФ, схеми и мерки за подпомагане.</w:t>
      </w:r>
    </w:p>
    <w:p w:rsidR="0092464E" w:rsidRPr="0050406C" w:rsidRDefault="0092464E" w:rsidP="0092464E">
      <w:pPr>
        <w:numPr>
          <w:ilvl w:val="0"/>
          <w:numId w:val="9"/>
        </w:numPr>
        <w:overflowPunct/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 w:rsidRPr="0050406C">
        <w:rPr>
          <w:rFonts w:ascii="Times New Roman" w:hAnsi="Times New Roman" w:cs="Times New Roman"/>
          <w:sz w:val="24"/>
          <w:szCs w:val="24"/>
        </w:rPr>
        <w:t>Законодателни инициативи предложения.</w:t>
      </w:r>
    </w:p>
    <w:p w:rsidR="0092464E" w:rsidRPr="0050406C" w:rsidRDefault="0092464E" w:rsidP="0033042B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4. </w:t>
      </w:r>
      <w:r w:rsidRPr="0050406C">
        <w:rPr>
          <w:rFonts w:ascii="Times New Roman" w:hAnsi="Times New Roman" w:cs="Times New Roman"/>
          <w:sz w:val="24"/>
          <w:szCs w:val="24"/>
        </w:rPr>
        <w:t>Допълнителни срещи с друг институции / Развъдни организации, изп. Агенция по селекция и репродукция в животновъдството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464E" w:rsidRDefault="0092464E" w:rsidP="00F8263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</w:p>
    <w:p w:rsidR="0092464E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92464E" w:rsidRPr="006C1A91" w:rsidRDefault="0092464E" w:rsidP="0092464E">
      <w:pPr>
        <w:ind w:left="71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6C1A91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ІІІ. РЕГИСТРАЦИЯ НА ЗЕМЕДЕЛСКИ СТОПАНИ</w:t>
      </w:r>
    </w:p>
    <w:p w:rsidR="0092464E" w:rsidRPr="006C1A91" w:rsidRDefault="0092464E" w:rsidP="0092464E">
      <w:pPr>
        <w:ind w:left="1080"/>
        <w:jc w:val="both"/>
        <w:rPr>
          <w:rFonts w:ascii="Times New Roman" w:hAnsi="Times New Roman" w:cs="Times New Roman"/>
          <w:color w:val="00B050"/>
          <w:sz w:val="24"/>
          <w:szCs w:val="24"/>
          <w:highlight w:val="yellow"/>
          <w:lang w:val="bg-BG"/>
        </w:rPr>
      </w:pPr>
    </w:p>
    <w:p w:rsidR="0092464E" w:rsidRPr="005B3E96" w:rsidRDefault="00B94BA0" w:rsidP="0033042B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2021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г. поддържането на Регистъра на земеделските </w:t>
      </w:r>
      <w:r w:rsidR="0092464E"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="0092464E"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обхвана следните дейности:</w:t>
      </w:r>
    </w:p>
    <w:p w:rsidR="0092464E" w:rsidRPr="005B3E96" w:rsidRDefault="0092464E" w:rsidP="00F4641A">
      <w:pPr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Набиране и актуализиране на информация за земеделските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4641A"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дейността им</w:t>
      </w:r>
      <w:r w:rsidR="00F4641A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с цел подпомагане на земеделието;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>Поддържане на информационна система за регистъра на областно и централно ниво;</w:t>
      </w:r>
    </w:p>
    <w:p w:rsidR="0092464E" w:rsidRPr="005B3E96" w:rsidRDefault="0092464E" w:rsidP="0092464E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списък с регистрираните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стопани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на Агенцията по заетостта;</w:t>
      </w:r>
    </w:p>
    <w:p w:rsidR="0092464E" w:rsidRPr="005B3E96" w:rsidRDefault="0092464E" w:rsidP="00F4641A">
      <w:pPr>
        <w:numPr>
          <w:ilvl w:val="0"/>
          <w:numId w:val="7"/>
        </w:num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предоставяне на кредити и субсидии от ДФ „Земеделие”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стопаните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>акту</w:t>
      </w:r>
      <w:r>
        <w:rPr>
          <w:rFonts w:ascii="Times New Roman" w:hAnsi="Times New Roman" w:cs="Times New Roman"/>
          <w:sz w:val="24"/>
          <w:szCs w:val="24"/>
          <w:lang w:val="bg-BG"/>
        </w:rPr>
        <w:t>ализират данните си в Регистъра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, като отразяват всяка промяна, попълвайки анкетни формуляри. </w:t>
      </w:r>
    </w:p>
    <w:p w:rsidR="0092464E" w:rsidRPr="005B3E96" w:rsidRDefault="0092464E" w:rsidP="00F4641A">
      <w:p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            През отчетният период бе създадена добра организация от ОДЗ Кърджа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ли и общинските служби, относно 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уведомяване на всички регистрирани земеделски 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</w:t>
      </w:r>
      <w:r w:rsidRPr="005B3E96">
        <w:rPr>
          <w:rFonts w:ascii="Times New Roman" w:hAnsi="Times New Roman" w:cs="Times New Roman"/>
          <w:sz w:val="24"/>
          <w:szCs w:val="24"/>
          <w:lang w:val="bg-BG"/>
        </w:rPr>
        <w:t xml:space="preserve">и в областта за предстоящата кампания по пререгистрация. 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10</w:t>
      </w:r>
    </w:p>
    <w:p w:rsidR="00B94BA0" w:rsidRDefault="00B94BA0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624"/>
        <w:gridCol w:w="1624"/>
        <w:gridCol w:w="1624"/>
        <w:gridCol w:w="1624"/>
        <w:gridCol w:w="1624"/>
      </w:tblGrid>
      <w:tr w:rsidR="00B94BA0" w:rsidTr="00B94BA0">
        <w:tc>
          <w:tcPr>
            <w:tcW w:w="9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A0" w:rsidRDefault="00B94B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Регистрирани  земеделски стопани в област Кърджали</w:t>
            </w:r>
          </w:p>
          <w:p w:rsidR="00B94BA0" w:rsidRDefault="00B94B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94BA0" w:rsidTr="00B94BA0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2016</w:t>
            </w:r>
            <w:r w:rsidR="00DC68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2017</w:t>
            </w:r>
            <w:r w:rsidR="00DC68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2018</w:t>
            </w:r>
            <w:r w:rsidR="00DC68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2019</w:t>
            </w:r>
            <w:r w:rsidR="00DC68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2020</w:t>
            </w:r>
            <w:r w:rsidR="00DC68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</w:tr>
      <w:tr w:rsidR="00B94BA0" w:rsidTr="00B94BA0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7497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8086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8527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8455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5497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A0" w:rsidRDefault="00B94BA0">
            <w:pPr>
              <w:overflowPunct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4450</w:t>
            </w:r>
          </w:p>
        </w:tc>
      </w:tr>
    </w:tbl>
    <w:p w:rsidR="00B94BA0" w:rsidRDefault="00B94BA0" w:rsidP="00B94BA0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DC68DD" w:rsidRDefault="00F4641A" w:rsidP="00F4641A">
      <w:pPr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Запазва се тенденцията за намаляване на регистрираните земеделски стопани в областта.</w:t>
      </w:r>
      <w:r w:rsidR="00255DA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68DD">
        <w:rPr>
          <w:rFonts w:ascii="Times New Roman" w:hAnsi="Times New Roman" w:cs="Times New Roman"/>
          <w:sz w:val="24"/>
          <w:szCs w:val="24"/>
          <w:lang w:val="bg-BG"/>
        </w:rPr>
        <w:t xml:space="preserve">Причини: </w:t>
      </w:r>
    </w:p>
    <w:p w:rsidR="00F4641A" w:rsidRDefault="00DC68DD" w:rsidP="00AE31E0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8DD">
        <w:rPr>
          <w:rFonts w:ascii="Times New Roman" w:hAnsi="Times New Roman" w:cs="Times New Roman"/>
          <w:b/>
          <w:sz w:val="24"/>
          <w:szCs w:val="24"/>
          <w:lang w:val="bg-BG"/>
        </w:rPr>
        <w:t>демографски</w:t>
      </w:r>
      <w:r w:rsidRPr="00DC68DD">
        <w:rPr>
          <w:rFonts w:ascii="Times New Roman" w:hAnsi="Times New Roman" w:cs="Times New Roman"/>
          <w:sz w:val="24"/>
          <w:szCs w:val="24"/>
          <w:lang w:val="bg-BG"/>
        </w:rPr>
        <w:t xml:space="preserve"> - обезлюдяване на населени места, застаряване на населението. Факт е, че младите хора се занимават по-малко със земеделие и напускат родните места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68DD" w:rsidRDefault="00AE31E0" w:rsidP="00AE31E0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липса на удостоверение по чл</w:t>
      </w:r>
      <w:r w:rsidRPr="00AE31E0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E31E0">
        <w:rPr>
          <w:rFonts w:ascii="Times New Roman" w:hAnsi="Times New Roman" w:cs="Times New Roman"/>
          <w:b/>
          <w:sz w:val="24"/>
          <w:szCs w:val="24"/>
          <w:lang w:val="bg-BG"/>
        </w:rPr>
        <w:t xml:space="preserve">137 от Закона за ветеринарно-медицинската дейност </w:t>
      </w:r>
      <w:r>
        <w:rPr>
          <w:rFonts w:ascii="Times New Roman" w:hAnsi="Times New Roman" w:cs="Times New Roman"/>
          <w:sz w:val="24"/>
          <w:szCs w:val="24"/>
          <w:lang w:val="bg-BG"/>
        </w:rPr>
        <w:t>– голяма част от местните животновъди, предимно малки стопанства не могат да покрият изискванията за издаване на това удостоверение, тъй като не разполагат с необходимите документи от една страна и високата рентабилност от друга страна;</w:t>
      </w:r>
    </w:p>
    <w:p w:rsidR="00AE31E0" w:rsidRPr="00DC68DD" w:rsidRDefault="00AE31E0" w:rsidP="00AE31E0">
      <w:pPr>
        <w:pStyle w:val="ad"/>
        <w:numPr>
          <w:ilvl w:val="0"/>
          <w:numId w:val="27"/>
        </w:numPr>
        <w:tabs>
          <w:tab w:val="left" w:pos="10065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насрещни проверки от НОИ – </w:t>
      </w:r>
      <w:r>
        <w:rPr>
          <w:rFonts w:ascii="Times New Roman" w:hAnsi="Times New Roman" w:cs="Times New Roman"/>
          <w:sz w:val="24"/>
          <w:szCs w:val="24"/>
          <w:lang w:val="bg-BG"/>
        </w:rPr>
        <w:t>през отчетния период зачестиха случаите, в които след извършена проверка, НОИ отказва да изплати обезщетение и признае осигурителен стаж на регестрирани земеделски стопани.</w:t>
      </w:r>
    </w:p>
    <w:p w:rsidR="00F4641A" w:rsidRDefault="00F4641A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Default="0092464E" w:rsidP="00CE56A9">
      <w:pPr>
        <w:ind w:right="282"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таблица 11 е видно разпределението на регистрираните земеделски стопани на територията на област Кърджали:</w:t>
      </w:r>
    </w:p>
    <w:p w:rsidR="00D800B7" w:rsidRDefault="00D800B7" w:rsidP="0092464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464E" w:rsidRPr="006260A5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6260A5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Таблица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11</w:t>
      </w:r>
    </w:p>
    <w:p w:rsidR="0092464E" w:rsidRDefault="0092464E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781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2316"/>
        <w:gridCol w:w="2126"/>
        <w:gridCol w:w="2115"/>
        <w:gridCol w:w="2137"/>
      </w:tblGrid>
      <w:tr w:rsidR="00B94BA0" w:rsidTr="00B94BA0">
        <w:trPr>
          <w:trHeight w:val="585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 xml:space="preserve">№ 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ОСЗ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Бр. землища на територията на общината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Бр. регистрирани земеделски стопани Наредба3/1999</w:t>
            </w:r>
          </w:p>
          <w:p w:rsidR="00B94BA0" w:rsidRDefault="00B94BA0">
            <w:pPr>
              <w:overflowPunct/>
              <w:autoSpaceDE/>
              <w:adjustRightInd/>
              <w:jc w:val="center"/>
              <w:rPr>
                <w:b/>
                <w:bCs/>
                <w:lang w:val="bg-BG" w:eastAsia="bg-BG"/>
              </w:rPr>
            </w:pPr>
          </w:p>
        </w:tc>
      </w:tr>
      <w:tr w:rsidR="00B94BA0" w:rsidTr="00B94BA0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A0" w:rsidRDefault="00B94BA0">
            <w:pPr>
              <w:overflowPunct/>
              <w:autoSpaceDE/>
              <w:autoSpaceDN/>
              <w:adjustRightInd/>
              <w:rPr>
                <w:b/>
                <w:bCs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A0" w:rsidRDefault="00B94BA0">
            <w:pPr>
              <w:overflowPunct/>
              <w:autoSpaceDE/>
              <w:autoSpaceDN/>
              <w:adjustRightInd/>
              <w:rPr>
                <w:b/>
                <w:bCs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A0" w:rsidRDefault="00B94BA0">
            <w:pPr>
              <w:overflowPunct/>
              <w:autoSpaceDE/>
              <w:autoSpaceDN/>
              <w:adjustRightInd/>
              <w:rPr>
                <w:b/>
                <w:bCs/>
                <w:lang w:val="bg-BG" w:eastAsia="bg-BG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BA0" w:rsidRDefault="00B94BA0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2020 г.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jc w:val="center"/>
              <w:rPr>
                <w:b/>
                <w:bCs/>
                <w:lang w:val="bg-BG" w:eastAsia="bg-BG"/>
              </w:rPr>
            </w:pPr>
            <w:r>
              <w:rPr>
                <w:b/>
                <w:bCs/>
                <w:lang w:val="bg-BG" w:eastAsia="bg-BG"/>
              </w:rPr>
              <w:t>202</w:t>
            </w:r>
            <w:r>
              <w:rPr>
                <w:b/>
                <w:bCs/>
                <w:lang w:eastAsia="bg-BG"/>
              </w:rPr>
              <w:t>1</w:t>
            </w:r>
            <w:r>
              <w:rPr>
                <w:b/>
                <w:bCs/>
                <w:lang w:val="bg-BG" w:eastAsia="bg-BG"/>
              </w:rPr>
              <w:t xml:space="preserve"> г.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Ардино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11977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50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323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252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Джебел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val="bg-BG" w:eastAsia="bg-BG"/>
              </w:rPr>
              <w:t>4</w:t>
            </w:r>
            <w:r w:rsidR="00B11977">
              <w:rPr>
                <w:bCs/>
                <w:lang w:eastAsia="bg-BG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323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262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Кирково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11977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69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927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735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Крумовград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11977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77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1054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928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Кърджали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val="bg-BG" w:eastAsia="bg-BG"/>
              </w:rPr>
              <w:t>11</w:t>
            </w:r>
            <w:r w:rsidR="00B11977">
              <w:rPr>
                <w:bCs/>
                <w:lang w:eastAsia="bg-BG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1611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1256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Момчилград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val="bg-BG" w:eastAsia="bg-BG"/>
              </w:rPr>
              <w:t>4</w:t>
            </w:r>
            <w:r w:rsidR="00B11977">
              <w:rPr>
                <w:bCs/>
                <w:lang w:eastAsia="bg-BG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760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611</w:t>
            </w:r>
          </w:p>
        </w:tc>
      </w:tr>
      <w:tr w:rsidR="00B94BA0" w:rsidTr="00B94BA0">
        <w:trPr>
          <w:trHeight w:val="25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Черноочене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11977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47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499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406</w:t>
            </w:r>
          </w:p>
        </w:tc>
      </w:tr>
      <w:tr w:rsidR="00B94BA0" w:rsidTr="00B94BA0">
        <w:trPr>
          <w:trHeight w:val="27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Общо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4</w:t>
            </w:r>
            <w:r w:rsidR="00B11977">
              <w:rPr>
                <w:bCs/>
                <w:lang w:eastAsia="bg-BG"/>
              </w:rPr>
              <w:t>47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val="bg-BG" w:eastAsia="bg-BG"/>
              </w:rPr>
            </w:pPr>
            <w:r>
              <w:rPr>
                <w:bCs/>
                <w:lang w:val="bg-BG" w:eastAsia="bg-BG"/>
              </w:rPr>
              <w:t>5497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94BA0" w:rsidRDefault="00B94BA0">
            <w:pPr>
              <w:overflowPunct/>
              <w:autoSpaceDE/>
              <w:adjustRightInd/>
              <w:jc w:val="center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4450</w:t>
            </w:r>
          </w:p>
        </w:tc>
      </w:tr>
    </w:tbl>
    <w:p w:rsidR="00B94BA0" w:rsidRDefault="00B94BA0" w:rsidP="0092464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800B7" w:rsidRDefault="0092464E" w:rsidP="009246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92464E" w:rsidRDefault="0092464E" w:rsidP="00CE56A9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таблица  12 и 13 е представена информация за регистрираните тютюнопроизводители по общини в базата на </w:t>
      </w:r>
      <w:r w:rsidR="00B11977">
        <w:rPr>
          <w:rFonts w:ascii="Times New Roman" w:hAnsi="Times New Roman" w:cs="Times New Roman"/>
          <w:sz w:val="24"/>
          <w:szCs w:val="24"/>
          <w:lang w:val="bg-BG"/>
        </w:rPr>
        <w:t>тютюнопроизводители през 2020 г. и 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Видно е 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>слабо увеличение в броя регистрирани</w:t>
      </w:r>
      <w:r w:rsidR="00CE56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t xml:space="preserve">тютюнопроизводители, но в същото време се наблюдава намаление при площите и произведеното количество тютюн. Голяма част от производителите на тютюн в региона не </w:t>
      </w:r>
      <w:r w:rsidR="00B36D2A">
        <w:rPr>
          <w:rFonts w:ascii="Times New Roman" w:hAnsi="Times New Roman" w:cs="Times New Roman"/>
          <w:sz w:val="24"/>
          <w:szCs w:val="24"/>
          <w:lang w:val="bg-BG"/>
        </w:rPr>
        <w:lastRenderedPageBreak/>
        <w:t>фигурират в базата тютюнопроизводители поради факта, че отглеждат продукция на площи без праввно основание.</w:t>
      </w:r>
    </w:p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12</w:t>
      </w: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416"/>
        <w:gridCol w:w="2415"/>
        <w:gridCol w:w="783"/>
        <w:gridCol w:w="1487"/>
        <w:gridCol w:w="2383"/>
      </w:tblGrid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E56A9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56A9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Регистрирани тютнопроизводители през 2020 г. </w:t>
            </w:r>
          </w:p>
        </w:tc>
      </w:tr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E56A9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56A9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 базата на тютюнопроизводителите</w:t>
            </w:r>
          </w:p>
        </w:tc>
      </w:tr>
      <w:tr w:rsidR="00B11977" w:rsidTr="00B11977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Количество 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тютюн по договор/кг/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1 350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11 440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1 165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982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160 374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2 435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2 132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343 403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16 045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11 670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50 870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4 283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3 748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595 152</w:t>
            </w:r>
          </w:p>
        </w:tc>
      </w:tr>
    </w:tbl>
    <w:p w:rsidR="00B11977" w:rsidRDefault="00B11977" w:rsidP="00B11977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13</w:t>
      </w:r>
    </w:p>
    <w:p w:rsidR="00B11977" w:rsidRDefault="00B11977" w:rsidP="00B1197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tbl>
      <w:tblPr>
        <w:tblW w:w="9622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416"/>
        <w:gridCol w:w="2415"/>
        <w:gridCol w:w="783"/>
        <w:gridCol w:w="1487"/>
        <w:gridCol w:w="2383"/>
      </w:tblGrid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E56A9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56A9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Регистрирани тютнопроизводители през 20</w:t>
            </w:r>
            <w:r w:rsidRPr="00CE56A9">
              <w:rPr>
                <w:rFonts w:ascii="Calibri" w:hAnsi="Calibri" w:cs="Calibri"/>
                <w:b/>
                <w:color w:val="000000"/>
                <w:sz w:val="22"/>
                <w:szCs w:val="22"/>
                <w:lang w:eastAsia="bg-BG"/>
              </w:rPr>
              <w:t>21</w:t>
            </w:r>
            <w:r w:rsidRPr="00CE56A9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г. </w:t>
            </w:r>
          </w:p>
        </w:tc>
      </w:tr>
      <w:tr w:rsidR="00B11977" w:rsidTr="00B11977">
        <w:trPr>
          <w:trHeight w:val="300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11977" w:rsidRPr="00CE56A9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CE56A9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в базата на тютюнопроизводителите</w:t>
            </w:r>
          </w:p>
        </w:tc>
      </w:tr>
      <w:tr w:rsidR="00B11977" w:rsidTr="00B11977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Област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Брой тютюнопрозводители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имоти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по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 xml:space="preserve">Количество 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/дка/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договор/дка/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тютюн по договор/кг/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977" w:rsidRPr="00CE56A9" w:rsidRDefault="00CE56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977" w:rsidRDefault="00CE56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977" w:rsidRDefault="00CE56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977" w:rsidRDefault="00CE56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6 440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150 930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2 666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335 725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10 220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5 830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41 125</w:t>
            </w:r>
          </w:p>
        </w:tc>
      </w:tr>
      <w:tr w:rsidR="00B11977" w:rsidTr="00B11977">
        <w:trPr>
          <w:trHeight w:val="3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overflowPunct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4 301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3 499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1977" w:rsidRDefault="00B11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550 270</w:t>
            </w:r>
          </w:p>
        </w:tc>
      </w:tr>
    </w:tbl>
    <w:p w:rsidR="0092464E" w:rsidRDefault="0092464E" w:rsidP="0092464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4B741E" w:rsidRDefault="004B741E" w:rsidP="007C581B">
      <w:pPr>
        <w:ind w:left="71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13F46" w:rsidRPr="002D2324" w:rsidRDefault="00E13F46" w:rsidP="00486BF6">
      <w:pPr>
        <w:ind w:left="710" w:right="282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</w:rPr>
        <w:t>V.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КАМПАНИЯ ПО РЕГИСТРИРАНЕ НА ЗАЯВЛЕНИЯ ПО СХЕМИ И МЕ</w:t>
      </w:r>
      <w:r w:rsidR="00D800B7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РКИ ЗА ДИРЕКТИ ПЛАЩАНИЯ ПРЕЗ 2020</w:t>
      </w:r>
      <w:r w:rsidRPr="002D2324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г.</w:t>
      </w:r>
    </w:p>
    <w:p w:rsidR="00E13F46" w:rsidRPr="002D2324" w:rsidRDefault="00E13F46" w:rsidP="00486BF6">
      <w:pPr>
        <w:ind w:right="282"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E13F46" w:rsidRDefault="00E13F46" w:rsidP="00486BF6">
      <w:pPr>
        <w:tabs>
          <w:tab w:val="left" w:pos="9604"/>
        </w:tabs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           От гледна точка на  обезпечение на цялостния процес, относно специалисти, техника и консумативи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486BF6">
        <w:rPr>
          <w:rFonts w:ascii="Times New Roman" w:hAnsi="Times New Roman" w:cs="Times New Roman"/>
          <w:sz w:val="24"/>
          <w:szCs w:val="24"/>
          <w:lang w:val="bg-BG"/>
        </w:rPr>
        <w:t>състояла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486BF6">
        <w:rPr>
          <w:rFonts w:ascii="Times New Roman" w:hAnsi="Times New Roman" w:cs="Times New Roman"/>
          <w:sz w:val="24"/>
          <w:szCs w:val="24"/>
          <w:lang w:val="bg-BG"/>
        </w:rPr>
        <w:t xml:space="preserve">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кампания б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е извърш</w:t>
      </w:r>
      <w:r>
        <w:rPr>
          <w:rFonts w:ascii="Times New Roman" w:hAnsi="Times New Roman" w:cs="Times New Roman"/>
          <w:sz w:val="24"/>
          <w:szCs w:val="24"/>
          <w:lang w:val="bg-BG"/>
        </w:rPr>
        <w:t>ено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 xml:space="preserve"> следното: </w:t>
      </w:r>
    </w:p>
    <w:p w:rsidR="00E13F46" w:rsidRPr="006B484A" w:rsidRDefault="00E13F46" w:rsidP="006B484A">
      <w:pPr>
        <w:pStyle w:val="ad"/>
        <w:numPr>
          <w:ilvl w:val="0"/>
          <w:numId w:val="26"/>
        </w:numPr>
        <w:tabs>
          <w:tab w:val="left" w:pos="9604"/>
          <w:tab w:val="left" w:pos="10065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6B484A">
        <w:rPr>
          <w:rFonts w:ascii="Times New Roman" w:hAnsi="Times New Roman" w:cs="Times New Roman"/>
          <w:sz w:val="24"/>
          <w:szCs w:val="24"/>
          <w:lang w:val="bg-BG"/>
        </w:rPr>
        <w:t>С оглед на добрата организация във всяка общинска служба се определиха  помещенията за регистрация и подаване на заявление за подпомагане;</w:t>
      </w:r>
    </w:p>
    <w:p w:rsidR="00486BF6" w:rsidRPr="00E61458" w:rsidRDefault="00486BF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Създадена бе специална организация на прием на заявления в условия на </w:t>
      </w:r>
      <w:r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Службите разполагаха с необходимите препарати за дезинфекция, термометри за измерване на температурата, както със защитни маски за служителите и бенефициентите; </w:t>
      </w:r>
    </w:p>
    <w:p w:rsidR="00E13F46" w:rsidRPr="00E61458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Определиха се също така и служителите, които ще участват в цялостния процес;</w:t>
      </w:r>
    </w:p>
    <w:p w:rsidR="00E13F46" w:rsidRPr="00E61458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извършена профилактика н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аличната техника бе проверена и подготвена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работа</w:t>
      </w:r>
      <w:r w:rsidRPr="00E6145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13F46" w:rsidRPr="00D800B7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 w:rsidRPr="00E61458">
        <w:rPr>
          <w:rFonts w:ascii="Times New Roman" w:hAnsi="Times New Roman" w:cs="Times New Roman"/>
          <w:sz w:val="24"/>
          <w:szCs w:val="24"/>
          <w:lang w:val="bg-BG"/>
        </w:rPr>
        <w:t>Осигуриха се необходимите консумативи, съобразно нуждите на всяка ОСЗ;</w:t>
      </w:r>
    </w:p>
    <w:p w:rsidR="00E13F46" w:rsidRDefault="00E13F46" w:rsidP="00486BF6">
      <w:pPr>
        <w:numPr>
          <w:ilvl w:val="0"/>
          <w:numId w:val="2"/>
        </w:num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Проведоха се опреснителни курсове за работа с ИСАК, а новоназначените служители преминаха успешно курс на обучение, проведен от представители на ОДЗ.</w:t>
      </w:r>
    </w:p>
    <w:p w:rsidR="00E13F46" w:rsidRDefault="006B484A" w:rsidP="006B484A">
      <w:pPr>
        <w:tabs>
          <w:tab w:val="left" w:pos="9604"/>
        </w:tabs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E13F4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B11977">
        <w:rPr>
          <w:rFonts w:ascii="Times New Roman" w:hAnsi="Times New Roman" w:cs="Times New Roman"/>
          <w:sz w:val="24"/>
          <w:szCs w:val="24"/>
          <w:lang w:val="bg-BG"/>
        </w:rPr>
        <w:t>В област Кърджали Кампания 2021</w:t>
      </w:r>
      <w:r w:rsidR="00EE20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>г. протеч</w:t>
      </w:r>
      <w:r w:rsidR="00DE0E9F">
        <w:rPr>
          <w:rFonts w:ascii="Times New Roman" w:hAnsi="Times New Roman" w:cs="Times New Roman"/>
          <w:sz w:val="24"/>
          <w:szCs w:val="24"/>
          <w:lang w:val="bg-BG"/>
        </w:rPr>
        <w:t xml:space="preserve">е изключително активно, при спазване на всички противоепидемични мерки и действия за ограничаване на разпространението на заболяването </w:t>
      </w:r>
      <w:r w:rsidR="00DE0E9F">
        <w:rPr>
          <w:rFonts w:ascii="Times New Roman" w:hAnsi="Times New Roman" w:cs="Times New Roman"/>
          <w:sz w:val="24"/>
          <w:szCs w:val="24"/>
        </w:rPr>
        <w:t>COVID</w:t>
      </w:r>
      <w:r w:rsidR="00B34EE0">
        <w:rPr>
          <w:rFonts w:ascii="Times New Roman" w:hAnsi="Times New Roman" w:cs="Times New Roman"/>
          <w:sz w:val="24"/>
          <w:szCs w:val="24"/>
        </w:rPr>
        <w:t xml:space="preserve">. 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Броят на регистрираните</w:t>
      </w:r>
      <w:r w:rsidR="009A0813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общо за областта е 14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0813">
        <w:rPr>
          <w:rFonts w:ascii="Times New Roman" w:hAnsi="Times New Roman" w:cs="Times New Roman"/>
          <w:sz w:val="24"/>
          <w:szCs w:val="24"/>
          <w:lang w:val="bg-BG"/>
        </w:rPr>
        <w:t>582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бр., което е с </w:t>
      </w:r>
      <w:r w:rsidR="009A0813">
        <w:rPr>
          <w:rFonts w:ascii="Times New Roman" w:hAnsi="Times New Roman" w:cs="Times New Roman"/>
          <w:sz w:val="24"/>
          <w:szCs w:val="24"/>
          <w:lang w:val="bg-BG"/>
        </w:rPr>
        <w:t>541</w:t>
      </w:r>
      <w:r w:rsidR="00E13F46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 по-малко</w:t>
      </w:r>
      <w:r w:rsidR="009A0813">
        <w:rPr>
          <w:rFonts w:ascii="Times New Roman" w:hAnsi="Times New Roman" w:cs="Times New Roman"/>
          <w:sz w:val="24"/>
          <w:szCs w:val="24"/>
          <w:lang w:val="bg-BG"/>
        </w:rPr>
        <w:t xml:space="preserve"> спрямо 2020</w:t>
      </w:r>
      <w:r w:rsidR="00E13F46" w:rsidRPr="00517E1D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971414">
        <w:rPr>
          <w:rFonts w:ascii="Times New Roman" w:hAnsi="Times New Roman" w:cs="Times New Roman"/>
          <w:sz w:val="24"/>
          <w:szCs w:val="24"/>
          <w:lang w:val="bg-BG"/>
        </w:rPr>
        <w:t xml:space="preserve"> В таблица 14</w:t>
      </w:r>
      <w:r w:rsidR="00E13F46">
        <w:rPr>
          <w:rFonts w:ascii="Times New Roman" w:hAnsi="Times New Roman" w:cs="Times New Roman"/>
          <w:sz w:val="24"/>
          <w:szCs w:val="24"/>
          <w:lang w:val="bg-BG"/>
        </w:rPr>
        <w:t xml:space="preserve"> са посочени приетите заявления по общини.</w:t>
      </w:r>
    </w:p>
    <w:p w:rsidR="00E13F46" w:rsidRDefault="00E13F46" w:rsidP="00B155B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E13F46" w:rsidRPr="00B155B8" w:rsidRDefault="00971414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14</w:t>
      </w:r>
    </w:p>
    <w:p w:rsidR="00E13F46" w:rsidRDefault="00E13F46" w:rsidP="009C0F7A">
      <w:pPr>
        <w:tabs>
          <w:tab w:val="left" w:pos="9604"/>
        </w:tabs>
        <w:overflowPunct/>
        <w:autoSpaceDE/>
        <w:autoSpaceDN/>
        <w:adjustRightInd/>
        <w:ind w:left="360" w:right="-26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3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828"/>
        <w:gridCol w:w="3969"/>
      </w:tblGrid>
      <w:tr w:rsidR="00E13F46" w:rsidRPr="00693227"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486BF6" w:rsidRDefault="00E13F46" w:rsidP="00BE6AF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Община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486BF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Бр.прие</w:t>
            </w:r>
            <w:r w:rsidR="00B11977"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ти заявления за подпомагане 2020</w:t>
            </w: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486BF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Бр.прие</w:t>
            </w:r>
            <w:r w:rsidR="00B11977"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ти заявления за подпомагане 2021</w:t>
            </w: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 xml:space="preserve"> г.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Ардино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570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Джебел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797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747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Кирково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4212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Крумовград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4002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3885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Кърджали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2523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2415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Момчилград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1438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1368</w:t>
            </w:r>
          </w:p>
        </w:tc>
      </w:tr>
      <w:tr w:rsidR="009A0813" w:rsidRPr="00693227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Черноочене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B61265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</w:pPr>
            <w:r w:rsidRPr="00B61265">
              <w:rPr>
                <w:rFonts w:ascii="Calibri" w:hAnsi="Calibri" w:cs="Times New Roman"/>
                <w:color w:val="000000"/>
                <w:sz w:val="22"/>
                <w:szCs w:val="22"/>
                <w:lang w:val="bg-BG" w:eastAsia="bg-BG"/>
              </w:rPr>
              <w:t>1581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1525</w:t>
            </w:r>
          </w:p>
        </w:tc>
      </w:tr>
      <w:tr w:rsidR="009A0813" w:rsidRPr="00486BF6">
        <w:trPr>
          <w:trHeight w:val="30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  <w:lang w:val="bg-BG" w:eastAsia="bg-BG"/>
              </w:rPr>
              <w:t>Общо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color w:val="000000"/>
                <w:sz w:val="22"/>
                <w:szCs w:val="22"/>
                <w:lang w:val="bg-BG" w:eastAsia="bg-BG"/>
              </w:rPr>
            </w:pPr>
            <w:r w:rsidRPr="00486BF6">
              <w:rPr>
                <w:rFonts w:ascii="Calibri" w:hAnsi="Calibri" w:cs="Times New Roman"/>
                <w:b/>
                <w:color w:val="000000"/>
                <w:sz w:val="22"/>
                <w:szCs w:val="22"/>
                <w:lang w:val="bg-BG" w:eastAsia="bg-BG"/>
              </w:rPr>
              <w:t>15123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Pr="00486BF6" w:rsidRDefault="009A0813" w:rsidP="009A081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86BF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14582</w:t>
            </w:r>
          </w:p>
        </w:tc>
      </w:tr>
    </w:tbl>
    <w:p w:rsidR="00E13F46" w:rsidRPr="00486BF6" w:rsidRDefault="00E13F46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61265" w:rsidRPr="005B3E96" w:rsidRDefault="00B61265" w:rsidP="00E43E94">
      <w:pPr>
        <w:tabs>
          <w:tab w:val="left" w:pos="9604"/>
        </w:tabs>
        <w:overflowPunct/>
        <w:autoSpaceDE/>
        <w:autoSpaceDN/>
        <w:adjustRightInd/>
        <w:ind w:right="-26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E13F46" w:rsidRDefault="00F46D86" w:rsidP="009C6741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таблица 15</w:t>
      </w:r>
      <w:r w:rsidR="00E13F46">
        <w:rPr>
          <w:rFonts w:ascii="Times New Roman" w:hAnsi="Times New Roman" w:cs="Times New Roman"/>
          <w:sz w:val="24"/>
          <w:szCs w:val="24"/>
          <w:lang w:val="ru-RU"/>
        </w:rPr>
        <w:t xml:space="preserve"> са представени най-често заявяваните култури по схемата за едино плащане на площ:</w:t>
      </w:r>
    </w:p>
    <w:p w:rsidR="00E13F46" w:rsidRDefault="00E13F4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:rsidR="00E13F46" w:rsidRPr="00B155B8" w:rsidRDefault="00F46D86" w:rsidP="00B155B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Таблица 15</w:t>
      </w:r>
    </w:p>
    <w:p w:rsidR="00E13F46" w:rsidRDefault="00E13F46" w:rsidP="009844A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559"/>
        <w:gridCol w:w="1418"/>
      </w:tblGrid>
      <w:tr w:rsidR="00E13F46" w:rsidRPr="003B52B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Схема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Площ ха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3F46" w:rsidRPr="003B52B6" w:rsidRDefault="00E13F46" w:rsidP="00BE6A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lang w:val="bg-BG" w:eastAsia="bg-BG"/>
              </w:rPr>
            </w:pPr>
            <w:r w:rsidRPr="003B52B6">
              <w:rPr>
                <w:b/>
                <w:bCs/>
                <w:lang w:val="bg-BG" w:eastAsia="bg-BG"/>
              </w:rPr>
              <w:t>Заявл. Бр.</w:t>
            </w:r>
          </w:p>
        </w:tc>
      </w:tr>
      <w:tr w:rsidR="009A0813" w:rsidRPr="003B52B6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lang w:val="bg-BG" w:eastAsia="bg-BG"/>
              </w:rPr>
            </w:pPr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0813" w:rsidRDefault="009A0813" w:rsidP="009A0813">
            <w:pPr>
              <w:overflowPunct/>
              <w:autoSpaceDE/>
              <w:autoSpaceDN/>
              <w:adjustRightInd/>
              <w:textAlignment w:val="auto"/>
              <w:rPr>
                <w:lang w:val="bg-BG" w:eastAsia="bg-BG"/>
              </w:rPr>
            </w:pPr>
            <w:r>
              <w:t>Постоянни или временни пасища за паша на животни (пасища и мери за паша)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11566,15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1442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Постоянно затревени площи поддържани в състояние, годно за паша или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2268,33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604</w:t>
            </w:r>
          </w:p>
        </w:tc>
      </w:tr>
      <w:tr w:rsidR="009A0813" w:rsidRPr="003B52B6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0813" w:rsidRDefault="009A0813" w:rsidP="009A0813">
            <w:r>
              <w:t>Ливади за косене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1717,91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815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люцерна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779,8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475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мека пшеница-зимна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463,92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90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слънчоглед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245,67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73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ПЛОЩИ С УГАРИ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227,19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98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сливи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223,99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193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тютюн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225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орехи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142,56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99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пипер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161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череши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113,21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113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ечемик-зимен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44,19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27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ябълки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39,67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47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Десертни лозя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30,16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23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домати на открито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54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детелина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13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царевица за зърно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35</w:t>
            </w:r>
          </w:p>
        </w:tc>
      </w:tr>
      <w:tr w:rsidR="009A0813" w:rsidRPr="003B52B6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СЕПП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r>
              <w:t>ечемик-пролетен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21,24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0813" w:rsidRDefault="009A0813" w:rsidP="009A0813">
            <w:pPr>
              <w:jc w:val="right"/>
            </w:pPr>
            <w:r>
              <w:t>4</w:t>
            </w:r>
          </w:p>
        </w:tc>
      </w:tr>
    </w:tbl>
    <w:p w:rsidR="00E13F46" w:rsidRDefault="00E13F46" w:rsidP="00E43E94">
      <w:pPr>
        <w:ind w:left="720"/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E13F46" w:rsidRDefault="00E13F46" w:rsidP="009844AF">
      <w:pPr>
        <w:jc w:val="both"/>
        <w:rPr>
          <w:rFonts w:ascii="Times New Roman" w:hAnsi="Times New Roman" w:cs="Times New Roman"/>
          <w:color w:val="00FF00"/>
          <w:sz w:val="24"/>
          <w:szCs w:val="24"/>
          <w:lang w:val="bg-BG"/>
        </w:rPr>
      </w:pPr>
    </w:p>
    <w:p w:rsidR="001919DB" w:rsidRDefault="001919DB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1919DB" w:rsidRDefault="001919DB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D84988" w:rsidRPr="00B72AE5" w:rsidRDefault="00D84988" w:rsidP="00D84988">
      <w:pPr>
        <w:overflowPunct/>
        <w:autoSpaceDE/>
        <w:autoSpaceDN/>
        <w:adjustRightInd/>
        <w:ind w:left="710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. АГРАРНО РАЗВИТИЕ</w:t>
      </w:r>
    </w:p>
    <w:p w:rsidR="00D84988" w:rsidRPr="009B1933" w:rsidRDefault="00D84988" w:rsidP="00D84988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bg-BG"/>
        </w:rPr>
      </w:pPr>
    </w:p>
    <w:p w:rsidR="00D84988" w:rsidRPr="00844FDE" w:rsidRDefault="00D84988" w:rsidP="009C6741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Стратегията за развитие на млечното животновъдство и подобряване качеството на суровото краве мляко </w:t>
      </w:r>
      <w:r w:rsidR="009A0813">
        <w:rPr>
          <w:rFonts w:ascii="Times New Roman" w:hAnsi="Times New Roman" w:cs="Times New Roman"/>
          <w:sz w:val="24"/>
          <w:szCs w:val="24"/>
          <w:lang w:val="bg-BG"/>
        </w:rPr>
        <w:t>в област Кърджали към 31.12.2021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876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добрените изкупвачи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сурово краве, овче, козе и биволско мляко съгласно чл.55д, ал.4 от Закона за прилагане на общата организация на пазарите на земеделски продукти на европейския съюз 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в цялата област </w:t>
      </w:r>
      <w:r w:rsidR="00B35A5B">
        <w:rPr>
          <w:rFonts w:ascii="Times New Roman" w:hAnsi="Times New Roman" w:cs="Times New Roman"/>
          <w:sz w:val="24"/>
          <w:szCs w:val="24"/>
          <w:lang w:val="bg-BG"/>
        </w:rPr>
        <w:t>са 11 бр. (4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Ардино, 1 бр. в община Дж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ебел, </w:t>
      </w:r>
      <w:r w:rsidR="00B35A5B">
        <w:rPr>
          <w:rFonts w:ascii="Times New Roman" w:hAnsi="Times New Roman" w:cs="Times New Roman"/>
          <w:sz w:val="24"/>
          <w:szCs w:val="24"/>
          <w:lang w:val="bg-BG"/>
        </w:rPr>
        <w:t>2 бр. в община Кирково, 2</w:t>
      </w:r>
      <w:r w:rsidR="00B35A5B"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 в община Кърджали</w:t>
      </w:r>
      <w:r w:rsidR="00B35A5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 бр. в община Момчилград, 1 бр. в община </w:t>
      </w:r>
      <w:r w:rsidR="00B35A5B">
        <w:rPr>
          <w:rFonts w:ascii="Times New Roman" w:hAnsi="Times New Roman" w:cs="Times New Roman"/>
          <w:sz w:val="24"/>
          <w:szCs w:val="24"/>
          <w:lang w:val="bg-BG"/>
        </w:rPr>
        <w:t>Черноочене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>), млекопреработвате</w:t>
      </w:r>
      <w:r>
        <w:rPr>
          <w:rFonts w:ascii="Times New Roman" w:hAnsi="Times New Roman" w:cs="Times New Roman"/>
          <w:sz w:val="24"/>
          <w:szCs w:val="24"/>
          <w:lang w:val="bg-BG"/>
        </w:rPr>
        <w:t>лните предприятия в региона са 7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>
        <w:rPr>
          <w:rFonts w:ascii="Times New Roman" w:hAnsi="Times New Roman" w:cs="Times New Roman"/>
          <w:sz w:val="24"/>
          <w:szCs w:val="24"/>
          <w:lang w:val="bg-BG"/>
        </w:rPr>
        <w:t>, а действащите кланиците</w:t>
      </w:r>
      <w:r w:rsidR="00BF3142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четири</w:t>
      </w:r>
      <w:r w:rsidRPr="00844FD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84988" w:rsidRPr="00844FDE" w:rsidRDefault="00D84988" w:rsidP="007A14E4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4FDE">
        <w:rPr>
          <w:rFonts w:ascii="Times New Roman" w:hAnsi="Times New Roman" w:cs="Times New Roman"/>
          <w:sz w:val="24"/>
          <w:szCs w:val="24"/>
          <w:lang w:val="bg-BG"/>
        </w:rPr>
        <w:t>Сектора на пчеларството се характеризира с повишен интерес от страна на местните пчелари. Създаденото пчеларско дружество “Акация” работи много активно и поддържа тесни контакти с областна дирекция ”Земеделие” гр. Кърджали.</w:t>
      </w:r>
    </w:p>
    <w:p w:rsidR="00D84988" w:rsidRPr="007540E8" w:rsidRDefault="00D84988" w:rsidP="007A14E4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В ОДЗ Кърджали се поддържа регистър на елитните и племенни пчелни майки и отводки. </w:t>
      </w:r>
      <w:r w:rsidR="00E04879">
        <w:rPr>
          <w:rFonts w:ascii="Times New Roman" w:hAnsi="Times New Roman" w:cs="Times New Roman"/>
          <w:sz w:val="24"/>
          <w:szCs w:val="24"/>
          <w:lang w:val="bg-BG"/>
        </w:rPr>
        <w:t>През 2021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стопанствата се увеличиха с още едно - земеделските стопани</w:t>
      </w:r>
      <w:r w:rsidR="007A14E4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производители на</w:t>
      </w:r>
      <w:r w:rsidRPr="007540E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елитни и племенни пчелни майки и отводки</w:t>
      </w:r>
      <w:r w:rsidR="00E04879">
        <w:rPr>
          <w:rFonts w:ascii="Times New Roman" w:hAnsi="Times New Roman" w:cs="Times New Roman"/>
          <w:sz w:val="24"/>
          <w:szCs w:val="24"/>
          <w:lang w:val="bg-BG"/>
        </w:rPr>
        <w:t xml:space="preserve">  са четирима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861D2A">
        <w:rPr>
          <w:rFonts w:ascii="Times New Roman" w:hAnsi="Times New Roman" w:cs="Times New Roman"/>
          <w:sz w:val="24"/>
          <w:szCs w:val="24"/>
          <w:lang w:val="bg-BG"/>
        </w:rPr>
        <w:t xml:space="preserve"> общ брой пчелни семейства – 445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Pr="005773CE">
        <w:t xml:space="preserve"> </w:t>
      </w:r>
      <w:r>
        <w:rPr>
          <w:lang w:val="bg-BG"/>
        </w:rPr>
        <w:t xml:space="preserve">, </w:t>
      </w:r>
      <w:r w:rsidRPr="007A14E4">
        <w:rPr>
          <w:rFonts w:ascii="Times New Roman" w:hAnsi="Times New Roman" w:cs="Times New Roman"/>
          <w:sz w:val="24"/>
          <w:szCs w:val="24"/>
          <w:lang w:val="bg-BG"/>
        </w:rPr>
        <w:t>в землищата на с. Рът</w:t>
      </w:r>
      <w:r w:rsidR="00B35A5B">
        <w:rPr>
          <w:rFonts w:ascii="Times New Roman" w:hAnsi="Times New Roman" w:cs="Times New Roman"/>
          <w:sz w:val="24"/>
          <w:szCs w:val="24"/>
          <w:lang w:val="bg-BG"/>
        </w:rPr>
        <w:t xml:space="preserve"> – 1 бр.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общ. Джебел 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206E0">
        <w:rPr>
          <w:rFonts w:ascii="Times New Roman" w:hAnsi="Times New Roman" w:cs="Times New Roman"/>
          <w:sz w:val="24"/>
          <w:szCs w:val="24"/>
        </w:rPr>
        <w:t xml:space="preserve"> 3 </w:t>
      </w:r>
      <w:r w:rsidR="000206E0">
        <w:rPr>
          <w:rFonts w:ascii="Times New Roman" w:hAnsi="Times New Roman" w:cs="Times New Roman"/>
          <w:sz w:val="24"/>
          <w:szCs w:val="24"/>
          <w:lang w:val="bg-BG"/>
        </w:rPr>
        <w:t>бр. в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 xml:space="preserve"> с. </w:t>
      </w:r>
      <w:r>
        <w:rPr>
          <w:rFonts w:ascii="Times New Roman" w:hAnsi="Times New Roman" w:cs="Times New Roman"/>
          <w:sz w:val="24"/>
          <w:szCs w:val="24"/>
          <w:lang w:val="bg-BG"/>
        </w:rPr>
        <w:t>Седловина</w:t>
      </w:r>
      <w:r w:rsidRPr="00303D9F">
        <w:rPr>
          <w:rFonts w:ascii="Times New Roman" w:hAnsi="Times New Roman" w:cs="Times New Roman"/>
          <w:sz w:val="24"/>
          <w:szCs w:val="24"/>
          <w:lang w:val="bg-BG"/>
        </w:rPr>
        <w:t>, общ. Кърджали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943AA" w:rsidRPr="00B943AA" w:rsidRDefault="00D84988" w:rsidP="007A14E4">
      <w:pPr>
        <w:pStyle w:val="TimesNewRoman"/>
        <w:ind w:right="282"/>
        <w:rPr>
          <w:rFonts w:ascii="Times New Roman" w:hAnsi="Times New Roman"/>
        </w:rPr>
      </w:pPr>
      <w:r w:rsidRPr="00D67E00">
        <w:rPr>
          <w:rStyle w:val="FontStyle19"/>
          <w:sz w:val="24"/>
          <w:szCs w:val="24"/>
        </w:rPr>
        <w:t>В изпълнение на заповед № РД09-78/08.02.2018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>г. на министъра на земеделието и храните, със заповед № РД-11-86/12.03.2018</w:t>
      </w:r>
      <w:r>
        <w:rPr>
          <w:rStyle w:val="FontStyle19"/>
          <w:sz w:val="24"/>
          <w:szCs w:val="24"/>
        </w:rPr>
        <w:t xml:space="preserve"> </w:t>
      </w:r>
      <w:r w:rsidRPr="00D67E00">
        <w:rPr>
          <w:rStyle w:val="FontStyle19"/>
          <w:sz w:val="24"/>
          <w:szCs w:val="24"/>
        </w:rPr>
        <w:t xml:space="preserve">г. </w:t>
      </w:r>
      <w:r w:rsidRPr="00D67E00">
        <w:rPr>
          <w:rFonts w:ascii="Times New Roman" w:hAnsi="Times New Roman"/>
        </w:rPr>
        <w:t xml:space="preserve">на директора на областна дирекция „Земеделие” гр. Кърджали бе назначена областна експертна комисия за провеждане на обследвания на площите със земеделски култури. Комисията </w:t>
      </w:r>
      <w:r w:rsidRPr="00D67E00">
        <w:rPr>
          <w:rStyle w:val="FontStyle19"/>
          <w:sz w:val="24"/>
          <w:szCs w:val="24"/>
        </w:rPr>
        <w:t xml:space="preserve">извърши пълно обследване - на 100% от заетите площи с есенни култури в землищата на с. Странджево, с. Поточница, с. Морянци, с. Котлари, с. Бряговец общ. Крумовград, с.Миладиново, с. Рудина, с. Сестринско </w:t>
      </w:r>
      <w:r w:rsidRPr="00D67E00">
        <w:rPr>
          <w:rStyle w:val="FontStyle11"/>
          <w:b w:val="0"/>
          <w:bCs w:val="0"/>
        </w:rPr>
        <w:t>общ. Кърджали, с.</w:t>
      </w:r>
      <w:r>
        <w:rPr>
          <w:rStyle w:val="FontStyle11"/>
          <w:b w:val="0"/>
          <w:bCs w:val="0"/>
        </w:rPr>
        <w:t xml:space="preserve"> </w:t>
      </w:r>
      <w:r w:rsidRPr="00D67E00">
        <w:rPr>
          <w:rStyle w:val="FontStyle11"/>
          <w:b w:val="0"/>
          <w:bCs w:val="0"/>
        </w:rPr>
        <w:t>Пчеларово, общ. Черноочене. В обследването участие взеха представители на ОДЗ Кърджали, ОДВХ-отдел КХ, ОД на ДФЗ-</w:t>
      </w:r>
      <w:r w:rsidR="000206E0">
        <w:rPr>
          <w:rStyle w:val="FontStyle11"/>
          <w:b w:val="0"/>
          <w:bCs w:val="0"/>
        </w:rPr>
        <w:t>РТИ и ОСЗ за съответните общини</w:t>
      </w:r>
      <w:r w:rsidRPr="00D67E00">
        <w:rPr>
          <w:rStyle w:val="FontStyle11"/>
          <w:b w:val="0"/>
          <w:bCs w:val="0"/>
        </w:rPr>
        <w:t xml:space="preserve">. </w:t>
      </w:r>
      <w:r w:rsidRPr="00D67E00">
        <w:rPr>
          <w:rFonts w:ascii="Times New Roman" w:hAnsi="Times New Roman"/>
        </w:rPr>
        <w:t xml:space="preserve">Всички посеви в област Кърджали бяха в добро състояние. </w:t>
      </w:r>
      <w:r w:rsidRPr="00B943AA">
        <w:rPr>
          <w:rFonts w:ascii="Times New Roman" w:hAnsi="Times New Roman"/>
        </w:rPr>
        <w:t xml:space="preserve"> </w:t>
      </w:r>
      <w:r w:rsidR="00B943AA" w:rsidRPr="00B943AA">
        <w:rPr>
          <w:rFonts w:ascii="Times New Roman" w:hAnsi="Times New Roman"/>
        </w:rPr>
        <w:t xml:space="preserve">За периода  </w:t>
      </w:r>
      <w:r w:rsidR="00B943AA" w:rsidRPr="00B943AA">
        <w:rPr>
          <w:rFonts w:ascii="Times New Roman" w:hAnsi="Times New Roman"/>
          <w:b/>
          <w:bCs/>
        </w:rPr>
        <w:t>01.01.2021</w:t>
      </w:r>
      <w:r w:rsidR="00372FC4">
        <w:rPr>
          <w:rFonts w:ascii="Times New Roman" w:hAnsi="Times New Roman"/>
          <w:b/>
          <w:bCs/>
        </w:rPr>
        <w:t xml:space="preserve"> </w:t>
      </w:r>
      <w:r w:rsidR="00B943AA" w:rsidRPr="00B943AA">
        <w:rPr>
          <w:rFonts w:ascii="Times New Roman" w:hAnsi="Times New Roman"/>
          <w:b/>
          <w:bCs/>
        </w:rPr>
        <w:t>г. - 31.12.2021</w:t>
      </w:r>
      <w:r w:rsidR="00372FC4">
        <w:rPr>
          <w:rFonts w:ascii="Times New Roman" w:hAnsi="Times New Roman"/>
          <w:b/>
          <w:bCs/>
        </w:rPr>
        <w:t xml:space="preserve"> </w:t>
      </w:r>
      <w:r w:rsidR="00B943AA" w:rsidRPr="00B943AA">
        <w:rPr>
          <w:rFonts w:ascii="Times New Roman" w:hAnsi="Times New Roman"/>
          <w:b/>
          <w:bCs/>
        </w:rPr>
        <w:t>г.</w:t>
      </w:r>
      <w:r w:rsidR="00B943AA" w:rsidRPr="00B943AA">
        <w:rPr>
          <w:rFonts w:ascii="Times New Roman" w:hAnsi="Times New Roman"/>
        </w:rPr>
        <w:t xml:space="preserve">. </w:t>
      </w:r>
      <w:r w:rsidR="00B943AA">
        <w:rPr>
          <w:rFonts w:ascii="Times New Roman" w:hAnsi="Times New Roman"/>
        </w:rPr>
        <w:t xml:space="preserve">единствено на </w:t>
      </w:r>
      <w:r w:rsidR="00B943AA" w:rsidRPr="00B943AA">
        <w:rPr>
          <w:rFonts w:ascii="Times New Roman" w:hAnsi="Times New Roman"/>
          <w:lang w:eastAsia="bg-BG"/>
        </w:rPr>
        <w:t>14.05.2021</w:t>
      </w:r>
      <w:r w:rsidR="00372FC4">
        <w:rPr>
          <w:rFonts w:ascii="Times New Roman" w:hAnsi="Times New Roman"/>
          <w:lang w:eastAsia="bg-BG"/>
        </w:rPr>
        <w:t xml:space="preserve"> </w:t>
      </w:r>
      <w:r w:rsidR="00B943AA" w:rsidRPr="00B943AA">
        <w:rPr>
          <w:rFonts w:ascii="Times New Roman" w:hAnsi="Times New Roman"/>
          <w:lang w:eastAsia="bg-BG"/>
        </w:rPr>
        <w:t xml:space="preserve">г. вследствие на градушка и поройни дъждове на територията на общ. Кърджали бяха </w:t>
      </w:r>
      <w:r w:rsidR="00B943AA" w:rsidRPr="00B943AA">
        <w:rPr>
          <w:rFonts w:ascii="Times New Roman" w:hAnsi="Times New Roman"/>
        </w:rPr>
        <w:t>нанесени щети върху земеделска продукция на територ</w:t>
      </w:r>
      <w:r w:rsidR="00B943AA">
        <w:rPr>
          <w:rFonts w:ascii="Times New Roman" w:hAnsi="Times New Roman"/>
        </w:rPr>
        <w:t>ията на землището на с.Черешица, общ. Кърджали.</w:t>
      </w:r>
    </w:p>
    <w:p w:rsidR="00B943AA" w:rsidRPr="00B943AA" w:rsidRDefault="00B943AA" w:rsidP="007A14E4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943AA">
        <w:rPr>
          <w:rFonts w:ascii="Times New Roman" w:hAnsi="Times New Roman" w:cs="Times New Roman"/>
          <w:sz w:val="24"/>
          <w:szCs w:val="24"/>
          <w:lang w:val="bg-BG"/>
        </w:rPr>
        <w:t xml:space="preserve">Експертна комисия, назначена със заповед </w:t>
      </w:r>
      <w:r w:rsidRPr="00B943AA">
        <w:rPr>
          <w:rStyle w:val="FontStyle19"/>
          <w:sz w:val="24"/>
          <w:szCs w:val="24"/>
        </w:rPr>
        <w:t xml:space="preserve">№ </w:t>
      </w:r>
      <w:r w:rsidRPr="00B943AA">
        <w:rPr>
          <w:rStyle w:val="FontStyle19"/>
          <w:sz w:val="24"/>
          <w:szCs w:val="24"/>
          <w:lang w:val="bg-BG"/>
        </w:rPr>
        <w:t>РД</w:t>
      </w:r>
      <w:r w:rsidRPr="00B943AA">
        <w:rPr>
          <w:rStyle w:val="FontStyle19"/>
          <w:sz w:val="24"/>
          <w:szCs w:val="24"/>
        </w:rPr>
        <w:t>-</w:t>
      </w:r>
      <w:r w:rsidRPr="00B943AA">
        <w:rPr>
          <w:rStyle w:val="FontStyle19"/>
          <w:sz w:val="24"/>
          <w:szCs w:val="24"/>
          <w:lang w:val="bg-BG"/>
        </w:rPr>
        <w:t>11-86</w:t>
      </w:r>
      <w:r w:rsidRPr="00B943AA">
        <w:rPr>
          <w:rStyle w:val="FontStyle19"/>
          <w:sz w:val="24"/>
          <w:szCs w:val="24"/>
        </w:rPr>
        <w:t>/</w:t>
      </w:r>
      <w:r w:rsidRPr="00B943AA">
        <w:rPr>
          <w:rStyle w:val="FontStyle19"/>
          <w:sz w:val="24"/>
          <w:szCs w:val="24"/>
          <w:lang w:val="bg-BG"/>
        </w:rPr>
        <w:t>12</w:t>
      </w:r>
      <w:r w:rsidRPr="00B943AA">
        <w:rPr>
          <w:rStyle w:val="FontStyle19"/>
          <w:sz w:val="24"/>
          <w:szCs w:val="24"/>
        </w:rPr>
        <w:t>.0</w:t>
      </w:r>
      <w:r w:rsidRPr="00B943AA">
        <w:rPr>
          <w:rStyle w:val="FontStyle19"/>
          <w:sz w:val="24"/>
          <w:szCs w:val="24"/>
          <w:lang w:val="bg-BG"/>
        </w:rPr>
        <w:t>3</w:t>
      </w:r>
      <w:r w:rsidRPr="00B943AA">
        <w:rPr>
          <w:rStyle w:val="FontStyle19"/>
          <w:sz w:val="24"/>
          <w:szCs w:val="24"/>
        </w:rPr>
        <w:t>.201</w:t>
      </w:r>
      <w:r w:rsidRPr="00B943AA">
        <w:rPr>
          <w:rStyle w:val="FontStyle19"/>
          <w:sz w:val="24"/>
          <w:szCs w:val="24"/>
          <w:lang w:val="bg-BG"/>
        </w:rPr>
        <w:t>8</w:t>
      </w:r>
      <w:r w:rsidRPr="00B943AA">
        <w:rPr>
          <w:rStyle w:val="FontStyle19"/>
          <w:sz w:val="24"/>
          <w:szCs w:val="24"/>
        </w:rPr>
        <w:t xml:space="preserve"> г</w:t>
      </w:r>
      <w:r w:rsidRPr="00B943AA">
        <w:rPr>
          <w:rStyle w:val="FontStyle19"/>
          <w:sz w:val="24"/>
          <w:szCs w:val="24"/>
          <w:lang w:val="bg-BG"/>
        </w:rPr>
        <w:t>.</w:t>
      </w:r>
      <w:r w:rsidRPr="00B943AA">
        <w:rPr>
          <w:rFonts w:ascii="Times New Roman" w:hAnsi="Times New Roman" w:cs="Times New Roman"/>
          <w:sz w:val="24"/>
          <w:szCs w:val="24"/>
          <w:lang w:val="bg-BG"/>
        </w:rPr>
        <w:t xml:space="preserve"> на директора на ОД „Земеделие” гр. Кърджали, извърши проверка на място и констатира пропаднали площи в размер на 4,34 ха. За нанесените щети има издадени 4 броя констативни протоколи с размер на пропадналата площ 4,34 ха. </w:t>
      </w:r>
    </w:p>
    <w:p w:rsidR="003A3832" w:rsidRDefault="003A3832" w:rsidP="007A14E4">
      <w:pPr>
        <w:ind w:right="282" w:firstLine="720"/>
        <w:jc w:val="both"/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През </w:t>
      </w:r>
      <w:r>
        <w:rPr>
          <w:rStyle w:val="ui-news-record-body"/>
          <w:rFonts w:ascii="Times New Roman" w:hAnsi="Times New Roman" w:cs="Times New Roman"/>
          <w:sz w:val="24"/>
          <w:szCs w:val="24"/>
        </w:rPr>
        <w:t>2021</w:t>
      </w:r>
      <w:r w:rsidR="00E401AC">
        <w:rPr>
          <w:rStyle w:val="ui-news-record-body"/>
          <w:rFonts w:ascii="Times New Roman" w:hAnsi="Times New Roman" w:cs="Times New Roman"/>
          <w:sz w:val="24"/>
          <w:szCs w:val="24"/>
        </w:rPr>
        <w:t xml:space="preserve"> г.</w:t>
      </w: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 общинските служби по земеделие към областна дирекция „Земеделие“ приеха 108 бр. заявления </w:t>
      </w:r>
      <w:r w:rsidR="00E401AC" w:rsidRPr="00E401AC">
        <w:rPr>
          <w:rStyle w:val="ui-news-record-body"/>
          <w:rFonts w:ascii="Times New Roman" w:hAnsi="Times New Roman" w:cs="Times New Roman"/>
          <w:sz w:val="24"/>
          <w:szCs w:val="24"/>
        </w:rPr>
        <w:t xml:space="preserve">по схемата за държавна помощ под формата на отстъпка от стойността на акциза върху газьола, използван в първичното селскостопанско производство. </w:t>
      </w: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 Заявленията са с 19 броя повече в сравнение с 2020</w:t>
      </w:r>
      <w:r w:rsidR="00372FC4"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Style w:val="ui-news-record-body"/>
          <w:rFonts w:ascii="Times New Roman" w:hAnsi="Times New Roman" w:cs="Times New Roman"/>
          <w:sz w:val="24"/>
          <w:szCs w:val="24"/>
          <w:lang w:val="bg-BG"/>
        </w:rPr>
        <w:t>г.</w:t>
      </w:r>
    </w:p>
    <w:p w:rsidR="00D84988" w:rsidRPr="003A3832" w:rsidRDefault="00E401AC" w:rsidP="007A14E4">
      <w:pPr>
        <w:ind w:right="282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401AC">
        <w:rPr>
          <w:rFonts w:ascii="Times New Roman" w:hAnsi="Times New Roman" w:cs="Times New Roman"/>
          <w:sz w:val="24"/>
          <w:szCs w:val="24"/>
        </w:rPr>
        <w:t> </w:t>
      </w:r>
      <w:r w:rsidR="00D84988" w:rsidRPr="001C5129"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прилагане на общата организация на пазарите на земеделски продукти на европейския съюз /ЗПООПЗПЕС/ на областните дирекции са вменени  дейности по:</w:t>
      </w:r>
    </w:p>
    <w:p w:rsidR="00D84988" w:rsidRDefault="00D84988" w:rsidP="007A14E4">
      <w:pPr>
        <w:numPr>
          <w:ilvl w:val="0"/>
          <w:numId w:val="12"/>
        </w:numPr>
        <w:ind w:left="709" w:right="282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ежемесечен прием на декларации за места на съхранение на зърно и на налично количество зърно в тях;</w:t>
      </w:r>
    </w:p>
    <w:p w:rsidR="00D84988" w:rsidRDefault="00D84988" w:rsidP="007A14E4">
      <w:pPr>
        <w:numPr>
          <w:ilvl w:val="0"/>
          <w:numId w:val="12"/>
        </w:numPr>
        <w:ind w:left="709" w:right="282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 на всяко тримесечие на декларации от земеделските производители за произведеното и наличното зърно по видове, като през периода от юли да септември приемът на декларациите за пшеница е ежемесечен;</w:t>
      </w:r>
    </w:p>
    <w:p w:rsidR="00D84988" w:rsidRDefault="00D84988" w:rsidP="007A14E4">
      <w:pPr>
        <w:numPr>
          <w:ilvl w:val="0"/>
          <w:numId w:val="12"/>
        </w:numPr>
        <w:ind w:left="709" w:right="282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проверки на обектите за съхранение на зърно и за лицата и на земеделските стопанства за достоверността  на данните, вписани в декларациите;</w:t>
      </w:r>
    </w:p>
    <w:p w:rsidR="00D84988" w:rsidRDefault="00D84988" w:rsidP="007A14E4">
      <w:pPr>
        <w:numPr>
          <w:ilvl w:val="0"/>
          <w:numId w:val="12"/>
        </w:numPr>
        <w:ind w:left="709" w:right="282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вземане на проби за представително окачествяване на реколтата от пшеница, ечемик, слънчоглед и царевица;</w:t>
      </w:r>
    </w:p>
    <w:p w:rsidR="00D84988" w:rsidRDefault="00D84988" w:rsidP="007A14E4">
      <w:pPr>
        <w:numPr>
          <w:ilvl w:val="0"/>
          <w:numId w:val="12"/>
        </w:numPr>
        <w:ind w:left="709" w:right="282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водене и съхраняване на бази данни и за лицата, които стопанисват обектите за съхранение на зърно;</w:t>
      </w:r>
    </w:p>
    <w:p w:rsidR="00D84988" w:rsidRPr="00DE0E9F" w:rsidRDefault="00D84988" w:rsidP="00D84988">
      <w:pPr>
        <w:numPr>
          <w:ilvl w:val="0"/>
          <w:numId w:val="1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E0E9F">
        <w:rPr>
          <w:rFonts w:ascii="Times New Roman" w:hAnsi="Times New Roman" w:cs="Times New Roman"/>
          <w:sz w:val="24"/>
          <w:szCs w:val="24"/>
          <w:lang w:val="bg-BG"/>
        </w:rPr>
        <w:t>съставяне на актове при установяване на нарушения.</w:t>
      </w:r>
    </w:p>
    <w:p w:rsidR="00D84988" w:rsidRPr="00DE0E9F" w:rsidRDefault="007A14E4" w:rsidP="007A14E4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D84988" w:rsidRPr="00DE0E9F">
        <w:rPr>
          <w:rFonts w:ascii="Times New Roman" w:hAnsi="Times New Roman" w:cs="Times New Roman"/>
          <w:sz w:val="24"/>
          <w:szCs w:val="24"/>
          <w:lang w:val="bg-BG"/>
        </w:rPr>
        <w:t>На територията н</w:t>
      </w:r>
      <w:r w:rsidR="003A3832">
        <w:rPr>
          <w:rFonts w:ascii="Times New Roman" w:hAnsi="Times New Roman" w:cs="Times New Roman"/>
          <w:sz w:val="24"/>
          <w:szCs w:val="24"/>
          <w:lang w:val="bg-BG"/>
        </w:rPr>
        <w:t>а област Кърджали към 31.12.2021 г. има 4</w:t>
      </w:r>
      <w:r w:rsidR="00D84988" w:rsidRPr="00DE0E9F">
        <w:rPr>
          <w:rFonts w:ascii="Times New Roman" w:hAnsi="Times New Roman" w:cs="Times New Roman"/>
          <w:sz w:val="24"/>
          <w:szCs w:val="24"/>
          <w:lang w:val="bg-BG"/>
        </w:rPr>
        <w:t xml:space="preserve"> броя регистрирани обекти за съхранение на зърно. Е</w:t>
      </w:r>
      <w:r w:rsidR="003A3832">
        <w:rPr>
          <w:rFonts w:ascii="Times New Roman" w:hAnsi="Times New Roman" w:cs="Times New Roman"/>
          <w:sz w:val="24"/>
          <w:szCs w:val="24"/>
          <w:lang w:val="bg-BG"/>
        </w:rPr>
        <w:t>жемесечно се извършва прием на 4</w:t>
      </w:r>
      <w:r w:rsidR="00D84988" w:rsidRPr="00DE0E9F">
        <w:rPr>
          <w:rFonts w:ascii="Times New Roman" w:hAnsi="Times New Roman" w:cs="Times New Roman"/>
          <w:sz w:val="24"/>
          <w:szCs w:val="24"/>
          <w:lang w:val="bg-BG"/>
        </w:rPr>
        <w:t xml:space="preserve"> броя декларации по приложение №2, а на тримесечие в това число за м. юли и август декларации по приложе</w:t>
      </w:r>
      <w:r w:rsidR="003A3832">
        <w:rPr>
          <w:rFonts w:ascii="Times New Roman" w:hAnsi="Times New Roman" w:cs="Times New Roman"/>
          <w:sz w:val="24"/>
          <w:szCs w:val="24"/>
          <w:lang w:val="bg-BG"/>
        </w:rPr>
        <w:t>ние №3 – 4</w:t>
      </w:r>
      <w:r w:rsidR="00D84988" w:rsidRPr="00DE0E9F">
        <w:rPr>
          <w:rFonts w:ascii="Times New Roman" w:hAnsi="Times New Roman" w:cs="Times New Roman"/>
          <w:sz w:val="24"/>
          <w:szCs w:val="24"/>
          <w:lang w:val="bg-BG"/>
        </w:rPr>
        <w:t xml:space="preserve"> броя.</w:t>
      </w:r>
    </w:p>
    <w:p w:rsidR="00D84988" w:rsidRPr="009304CE" w:rsidRDefault="007A14E4" w:rsidP="007A14E4">
      <w:pPr>
        <w:ind w:right="282" w:firstLine="2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  </w:t>
      </w:r>
      <w:r w:rsidR="00D84988" w:rsidRPr="00DE0E9F">
        <w:rPr>
          <w:rFonts w:ascii="Times New Roman" w:hAnsi="Times New Roman" w:cs="Times New Roman"/>
          <w:sz w:val="24"/>
          <w:szCs w:val="24"/>
          <w:lang w:val="bg-BG"/>
        </w:rPr>
        <w:t>Взети и изпратени са проби за национал</w:t>
      </w:r>
      <w:r w:rsidR="003A3832">
        <w:rPr>
          <w:rFonts w:ascii="Times New Roman" w:hAnsi="Times New Roman" w:cs="Times New Roman"/>
          <w:sz w:val="24"/>
          <w:szCs w:val="24"/>
          <w:lang w:val="bg-BG"/>
        </w:rPr>
        <w:t>но окачествяване на реколта 2021</w:t>
      </w:r>
      <w:r w:rsidR="00D84988" w:rsidRPr="00DE0E9F">
        <w:rPr>
          <w:rFonts w:ascii="Times New Roman" w:hAnsi="Times New Roman" w:cs="Times New Roman"/>
          <w:sz w:val="24"/>
          <w:szCs w:val="24"/>
          <w:lang w:val="bg-BG"/>
        </w:rPr>
        <w:t xml:space="preserve"> г., пшеница – 1 бр., ечемик – 1бр. </w:t>
      </w:r>
    </w:p>
    <w:p w:rsidR="00D84988" w:rsidRDefault="00D84988" w:rsidP="002558F5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І. АГРОСТАТИСТИКА</w:t>
      </w:r>
    </w:p>
    <w:p w:rsidR="00663EAF" w:rsidRDefault="00663EAF" w:rsidP="00663EAF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8C465B" w:rsidRDefault="008C465B" w:rsidP="008C465B">
      <w:pPr>
        <w:ind w:left="710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Събиране на статистическа информация</w:t>
      </w:r>
    </w:p>
    <w:p w:rsidR="008C465B" w:rsidRDefault="008C465B" w:rsidP="008C465B">
      <w:pPr>
        <w:ind w:firstLine="720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съответствие с Програмата за провеждане на статистически изследвания през изминалата 2021 г., отдел „Агростатистика”  проведе следните наблюдения:</w:t>
      </w:r>
    </w:p>
    <w:p w:rsidR="008C465B" w:rsidRDefault="008C465B" w:rsidP="008C465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C465B" w:rsidRDefault="008C465B" w:rsidP="00E3620C">
      <w:pPr>
        <w:numPr>
          <w:ilvl w:val="0"/>
          <w:numId w:val="19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Ежемесечни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– при тези наблюдения се работи с всички съществуващи на територията на областта предприятия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приключват с годишна анкета:</w:t>
      </w:r>
    </w:p>
    <w:p w:rsidR="008C465B" w:rsidRDefault="008C465B" w:rsidP="008C465B">
      <w:pPr>
        <w:numPr>
          <w:ilvl w:val="0"/>
          <w:numId w:val="20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млекопреработвателни предприятия през 2021 г.;</w:t>
      </w:r>
    </w:p>
    <w:p w:rsidR="008C465B" w:rsidRDefault="008C465B" w:rsidP="008C465B">
      <w:pPr>
        <w:numPr>
          <w:ilvl w:val="0"/>
          <w:numId w:val="20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Дейност на кланиците за червени меса през 2021 г.</w:t>
      </w:r>
    </w:p>
    <w:p w:rsidR="008C465B" w:rsidRDefault="008C465B" w:rsidP="008C465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8C465B" w:rsidRDefault="008C465B" w:rsidP="00E3620C">
      <w:pPr>
        <w:numPr>
          <w:ilvl w:val="0"/>
          <w:numId w:val="21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Продуктови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– тези наблюдения се извършват един път в годината на база извадка, подадена от отдел „Агростатистика” към МЗХ: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Използване и заетост на територията на страната през 2021 г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(БАНСИК)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от общо 91 сегмента 27 бр. са с горска заетост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8C465B" w:rsidRDefault="008C465B" w:rsidP="008C465B">
      <w:pPr>
        <w:numPr>
          <w:ilvl w:val="0"/>
          <w:numId w:val="20"/>
        </w:numPr>
        <w:overflowPunct/>
        <w:autoSpaceDE/>
        <w:adjustRightInd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173 бр. стопанства,  в.ч. стопанства анкетирани от други области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8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плодове през 2021г.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стопанствата за анкетиране общо за областта са 115 бр.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зеленчуци през 2021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тук за наблюдение попадат общо 44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Дейност на предприятията за преработка на плодове и зеленчуци през 2021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територията </w:t>
      </w:r>
      <w:r w:rsidR="00E3620C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Добиви от земеделски култури – реколта 2021 г. – </w:t>
      </w:r>
      <w:r w:rsidR="00E3620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попадат общо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област Кърджали функционират </w:t>
      </w:r>
      <w:r>
        <w:rPr>
          <w:rFonts w:ascii="Times New Roman" w:hAnsi="Times New Roman" w:cs="Times New Roman"/>
          <w:sz w:val="24"/>
          <w:szCs w:val="24"/>
          <w:lang w:val="bg-BG"/>
        </w:rPr>
        <w:t>две фирми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, занимаващи се с преработвателна дейност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Производство на грозде и вино през 2021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за наблюдение попадат общо 42 бр. стопанства, от тях </w:t>
      </w:r>
      <w:r>
        <w:rPr>
          <w:rFonts w:ascii="Times New Roman" w:hAnsi="Times New Roman" w:cs="Times New Roman"/>
          <w:sz w:val="24"/>
          <w:szCs w:val="24"/>
          <w:lang w:val="bg-BG"/>
        </w:rPr>
        <w:t>2 б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р. стопанства са  прекратили дейността си.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Брой на селскостопанските животни към 01.11.2021 г.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в основната извадка за наблюдение са попаднали общо 310 стопанства, като </w:t>
      </w: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бр. от тях са прекратили дейността си.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Птицевъдството в България през 2021 г. 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общо за област Кърджали са анкетирани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73</w:t>
      </w:r>
      <w:r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бр. стопанства, като 3 бр. от тях  са  прекратили дейността си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;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Пчеларството в България през 2021 г.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общо за област Кърджали са анкетирани 53 бр. стопанства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465B" w:rsidRDefault="008C465B" w:rsidP="00E3620C">
      <w:pPr>
        <w:numPr>
          <w:ilvl w:val="0"/>
          <w:numId w:val="20"/>
        </w:numPr>
        <w:overflowPunct/>
        <w:autoSpaceDE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Годишна земеделска статистика за 2021 г.</w:t>
      </w:r>
    </w:p>
    <w:p w:rsidR="00E3620C" w:rsidRDefault="00E3620C" w:rsidP="00E3620C">
      <w:pPr>
        <w:overflowPunct/>
        <w:autoSpaceDE/>
        <w:adjustRightInd/>
        <w:ind w:left="810"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8C465B" w:rsidRDefault="008C465B" w:rsidP="00E3620C">
      <w:pPr>
        <w:pStyle w:val="ad"/>
        <w:numPr>
          <w:ilvl w:val="0"/>
          <w:numId w:val="21"/>
        </w:numPr>
        <w:ind w:right="282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lang w:eastAsia="bg-BG"/>
        </w:rPr>
        <w:t>Преброяване на земеделските стопанства през 2021 г. - област Кърджали</w:t>
      </w:r>
    </w:p>
    <w:p w:rsidR="008C465B" w:rsidRDefault="008C465B" w:rsidP="00E3620C">
      <w:pPr>
        <w:pStyle w:val="ad"/>
        <w:numPr>
          <w:ilvl w:val="0"/>
          <w:numId w:val="22"/>
        </w:numPr>
        <w:overflowPunct/>
        <w:autoSpaceDE/>
        <w:adjustRightInd/>
        <w:ind w:right="282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Актуализирани бяха списъците на земеделските стопанства по предварително изготвен график в съответните населени места с определените за целта отговорници, със съдействието на </w:t>
      </w:r>
      <w:r>
        <w:rPr>
          <w:rFonts w:ascii="Times New Roman" w:hAnsi="Times New Roman" w:cs="Times New Roman"/>
          <w:sz w:val="24"/>
          <w:szCs w:val="24"/>
        </w:rPr>
        <w:t>кметове и кметски наместници</w:t>
      </w:r>
      <w:r>
        <w:rPr>
          <w:rFonts w:ascii="Times New Roman" w:hAnsi="Times New Roman" w:cs="Times New Roman"/>
          <w:sz w:val="24"/>
          <w:szCs w:val="24"/>
          <w:lang w:val="bg-BG"/>
        </w:rPr>
        <w:t>;,</w:t>
      </w:r>
    </w:p>
    <w:p w:rsidR="008C465B" w:rsidRDefault="008C465B" w:rsidP="00E3620C">
      <w:pPr>
        <w:spacing w:line="360" w:lineRule="auto"/>
        <w:ind w:left="709" w:right="28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8C465B" w:rsidRDefault="008C465B" w:rsidP="00E3620C">
      <w:pPr>
        <w:numPr>
          <w:ilvl w:val="0"/>
          <w:numId w:val="21"/>
        </w:numPr>
        <w:tabs>
          <w:tab w:val="left" w:pos="6480"/>
        </w:tabs>
        <w:ind w:right="282"/>
        <w:jc w:val="both"/>
        <w:textAlignment w:val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Система на земеделска счетоводна информация –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През 2021 г. на територията на област Кърджали са наблюдавани и отчетени 79 стопанства, от които 76 са с едностранно счетоводство и 3 с двустранно. Всяко едно от одобрените земеделски стопанства е посетено от 2 до 4 пъти през годината с цел осъществяване на контрол на качеството на информацията и отразяването й в „Дневник на стопанина”. Попълнени са съответните формуляри, всички данни са въведени в Системата, отчетени са извършените разходи.</w:t>
      </w:r>
    </w:p>
    <w:p w:rsidR="008C465B" w:rsidRDefault="00E13F46" w:rsidP="00E3620C">
      <w:pPr>
        <w:overflowPunct/>
        <w:autoSpaceDE/>
        <w:autoSpaceDN/>
        <w:adjustRightInd/>
        <w:ind w:right="282"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B72AE5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</w:t>
      </w:r>
    </w:p>
    <w:p w:rsidR="008C465B" w:rsidRDefault="008C465B" w:rsidP="00437E1D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30B62" w:rsidRDefault="00437E1D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</w:t>
      </w:r>
    </w:p>
    <w:p w:rsidR="00430B62" w:rsidRDefault="00430B62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</w:p>
    <w:p w:rsidR="00437E1D" w:rsidRPr="00A74FA2" w:rsidRDefault="00430B62" w:rsidP="00437E1D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lastRenderedPageBreak/>
        <w:t xml:space="preserve">      </w:t>
      </w:r>
      <w:r w:rsidR="00437E1D"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</w:t>
      </w:r>
      <w:r w:rsidR="00437E1D"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="00437E1D"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ІІ. РЕГИСТРАЦИЯ И КОНТРОЛ НА ЗЕМЕДЕЛСКА И ГОРСКА ТЕХНИКА</w:t>
      </w:r>
    </w:p>
    <w:p w:rsidR="00437E1D" w:rsidRPr="00A74FA2" w:rsidRDefault="00437E1D" w:rsidP="00437E1D">
      <w:pPr>
        <w:jc w:val="both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</w:pPr>
      <w:r w:rsidRPr="00A74FA2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lang w:val="bg-BG" w:eastAsia="bg-BG"/>
        </w:rPr>
        <w:t xml:space="preserve">         </w:t>
      </w:r>
    </w:p>
    <w:p w:rsidR="00437E1D" w:rsidRDefault="00437E1D" w:rsidP="00437E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8C465B" w:rsidRDefault="008C465B" w:rsidP="00E3620C">
      <w:pPr>
        <w:ind w:right="282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 изменение на Закона за регистрация и контрол на земеделска и горска техника от 01.01.2016г. , в правомощията на ОД „Земеделие” гр. Кърджали са делегирани и дейности по:</w:t>
      </w:r>
    </w:p>
    <w:p w:rsidR="008C465B" w:rsidRDefault="008C465B" w:rsidP="00E3620C">
      <w:pPr>
        <w:numPr>
          <w:ilvl w:val="0"/>
          <w:numId w:val="23"/>
        </w:numPr>
        <w:ind w:left="709" w:right="282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регистрация, промяна, прекратяване, както и отчисляване на земеделската и горска техника;</w:t>
      </w:r>
    </w:p>
    <w:p w:rsidR="008C465B" w:rsidRDefault="008C465B" w:rsidP="00E3620C">
      <w:pPr>
        <w:numPr>
          <w:ilvl w:val="0"/>
          <w:numId w:val="23"/>
        </w:numPr>
        <w:ind w:left="709" w:right="282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за правоспособността на лицата, които работят с техниката, техническото състояние и безопасността на техниката;</w:t>
      </w:r>
    </w:p>
    <w:p w:rsidR="008C465B" w:rsidRDefault="008C465B" w:rsidP="00E3620C">
      <w:pPr>
        <w:numPr>
          <w:ilvl w:val="0"/>
          <w:numId w:val="23"/>
        </w:numPr>
        <w:ind w:left="709" w:right="282" w:firstLine="426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извършване на годишни, сезонни и тематични прегледи на регистрираната техника;</w:t>
      </w:r>
    </w:p>
    <w:p w:rsidR="008C465B" w:rsidRDefault="008C465B" w:rsidP="00E3620C">
      <w:pPr>
        <w:numPr>
          <w:ilvl w:val="0"/>
          <w:numId w:val="23"/>
        </w:numPr>
        <w:tabs>
          <w:tab w:val="clear" w:pos="720"/>
          <w:tab w:val="num" w:pos="0"/>
        </w:tabs>
        <w:ind w:left="0" w:right="282" w:firstLine="709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издаването и подмяната на свидетелствата за правоспособност на територията на областта.</w:t>
      </w:r>
    </w:p>
    <w:p w:rsidR="00415596" w:rsidRDefault="008C465B" w:rsidP="008C465B">
      <w:pPr>
        <w:pStyle w:val="TimesNewRoman"/>
        <w:ind w:firstLine="0"/>
        <w:rPr>
          <w:rFonts w:cs="Arial"/>
        </w:rPr>
      </w:pPr>
      <w:r>
        <w:rPr>
          <w:rFonts w:cs="Arial"/>
        </w:rPr>
        <w:t xml:space="preserve">     </w:t>
      </w:r>
    </w:p>
    <w:p w:rsidR="008C465B" w:rsidRDefault="008C465B" w:rsidP="00E3620C">
      <w:pPr>
        <w:pStyle w:val="TimesNewRoman"/>
        <w:ind w:right="282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таблица 16 е показана информация за регистрирана по видове техника на територията на област Кърджали, както също и за периода 01.01.2021 г. - 31.12.2021 г. в Областна дирекция „Земеделие” – гр. Кърджали: </w:t>
      </w:r>
    </w:p>
    <w:p w:rsidR="008C465B" w:rsidRDefault="008C465B" w:rsidP="008C465B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C465B" w:rsidRDefault="008C465B" w:rsidP="008C465B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g-BG" w:eastAsia="bg-BG"/>
        </w:rPr>
        <w:t>Таблица 16</w:t>
      </w:r>
    </w:p>
    <w:p w:rsidR="008C465B" w:rsidRDefault="008C465B" w:rsidP="008C465B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838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678"/>
        <w:gridCol w:w="1397"/>
        <w:gridCol w:w="1397"/>
        <w:gridCol w:w="1397"/>
        <w:gridCol w:w="1266"/>
        <w:gridCol w:w="1283"/>
      </w:tblGrid>
      <w:tr w:rsidR="008C465B" w:rsidTr="008C465B">
        <w:trPr>
          <w:trHeight w:val="103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№</w:t>
            </w:r>
          </w:p>
        </w:tc>
        <w:tc>
          <w:tcPr>
            <w:tcW w:w="26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Вид техника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Регистрирана техника за периода 01.01.2020г.-31.</w:t>
            </w:r>
            <w:r w:rsidRPr="00E3620C">
              <w:rPr>
                <w:rFonts w:ascii="Times New Roman" w:hAnsi="Times New Roman" w:cs="Times New Roman"/>
                <w:b/>
                <w:lang w:eastAsia="bg-BG"/>
              </w:rPr>
              <w:t>12</w:t>
            </w: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.2020г.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Регистрирана техника за периода 01.01.2021г.-31.12.2021г.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Регистрирана техника до 31.</w:t>
            </w:r>
            <w:r w:rsidRPr="00E3620C">
              <w:rPr>
                <w:rFonts w:ascii="Times New Roman" w:hAnsi="Times New Roman" w:cs="Times New Roman"/>
                <w:b/>
                <w:lang w:eastAsia="bg-BG"/>
              </w:rPr>
              <w:t>12</w:t>
            </w: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.2021г.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Отчислена техника до 31.</w:t>
            </w:r>
            <w:r w:rsidRPr="00E3620C">
              <w:rPr>
                <w:rFonts w:ascii="Times New Roman" w:hAnsi="Times New Roman" w:cs="Times New Roman"/>
                <w:b/>
                <w:lang w:eastAsia="bg-BG"/>
              </w:rPr>
              <w:t>12</w:t>
            </w: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.2021г.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>Техника</w:t>
            </w:r>
          </w:p>
          <w:p w:rsidR="008C465B" w:rsidRPr="00E3620C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lang w:val="bg-BG" w:eastAsia="bg-BG"/>
              </w:rPr>
            </w:pPr>
            <w:r w:rsidRPr="00E3620C">
              <w:rPr>
                <w:rFonts w:ascii="Times New Roman" w:hAnsi="Times New Roman" w:cs="Times New Roman"/>
                <w:b/>
                <w:lang w:val="bg-BG" w:eastAsia="bg-BG"/>
              </w:rPr>
              <w:t xml:space="preserve"> с валидна регистрация</w:t>
            </w:r>
          </w:p>
        </w:tc>
      </w:tr>
      <w:tr w:rsidR="008C465B" w:rsidTr="008C465B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65B" w:rsidRDefault="008C465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65B" w:rsidRDefault="008C465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65B" w:rsidRDefault="008C465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65B" w:rsidRDefault="008C465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bg-BG" w:eastAsia="bg-BG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общо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465B" w:rsidRDefault="008C465B">
            <w:pPr>
              <w:overflowPunct/>
              <w:autoSpaceDE/>
              <w:autoSpaceDN/>
              <w:adjustRightInd/>
              <w:rPr>
                <w:rFonts w:ascii="Times New Roman" w:hAnsi="Times New Roman" w:cs="Times New Roman"/>
                <w:lang w:val="bg-BG" w:eastAsia="bg-BG"/>
              </w:rPr>
            </w:pP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Верижни трактори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103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Колесни трактори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1430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Самоходни шасита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132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Друга самоходна техника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393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Тракторни ремаркета: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367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в т.ч.с общо предназначение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331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със спец.предназначение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36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Горска техника/група А/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104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Зърнокомбайни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41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10.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Самоходни силажокомбайни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11.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Други самоходни машини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12.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Машини за сеидба и садене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13.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Машини за торене и растителна защита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50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14.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Фуражоприбиращи и фуражопреработващи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273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15.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Почвообработващи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956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956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16.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Сушилни и други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6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17.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Зърно и семепочистващи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18.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Машини за поливане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52</w:t>
            </w:r>
          </w:p>
        </w:tc>
      </w:tr>
      <w:tr w:rsidR="008C465B" w:rsidTr="008C465B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19.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Горска техника/група В/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C465B" w:rsidRDefault="008C465B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495</w:t>
            </w:r>
          </w:p>
        </w:tc>
      </w:tr>
      <w:tr w:rsidR="008C465B" w:rsidTr="008C465B">
        <w:trPr>
          <w:trHeight w:val="16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lang w:val="bg-BG" w:eastAsia="bg-BG"/>
              </w:rPr>
            </w:pPr>
            <w:r>
              <w:rPr>
                <w:rFonts w:ascii="Times New Roman" w:hAnsi="Times New Roman" w:cs="Times New Roman"/>
                <w:lang w:val="bg-BG" w:eastAsia="bg-BG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Общ брой техника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297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327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4815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lang w:eastAsia="bg-BG"/>
              </w:rPr>
              <w:t>1881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465B" w:rsidRDefault="008C465B">
            <w:pPr>
              <w:overflowPunct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lang w:val="bg-BG" w:eastAsia="bg-BG"/>
              </w:rPr>
            </w:pPr>
            <w:bookmarkStart w:id="1" w:name="RANGE_H24"/>
            <w:bookmarkEnd w:id="1"/>
            <w:r>
              <w:rPr>
                <w:rFonts w:ascii="Times New Roman" w:hAnsi="Times New Roman" w:cs="Times New Roman"/>
                <w:b/>
                <w:bCs/>
                <w:lang w:val="bg-BG" w:eastAsia="bg-BG"/>
              </w:rPr>
              <w:t>4815</w:t>
            </w:r>
          </w:p>
        </w:tc>
      </w:tr>
    </w:tbl>
    <w:p w:rsidR="008C465B" w:rsidRDefault="008C465B" w:rsidP="008C465B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bg-BG"/>
        </w:rPr>
      </w:pPr>
    </w:p>
    <w:p w:rsidR="008C465B" w:rsidRDefault="008C465B" w:rsidP="00E3620C">
      <w:pPr>
        <w:overflowPunct/>
        <w:autoSpaceDE/>
        <w:adjustRightInd/>
        <w:ind w:right="282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През календарната 2021 г. областна дирекция „Земеделие”  извърши годишен технически преглед на </w:t>
      </w:r>
      <w:r>
        <w:rPr>
          <w:rFonts w:ascii="Times New Roman" w:hAnsi="Times New Roman" w:cs="Times New Roman"/>
          <w:sz w:val="24"/>
          <w:szCs w:val="24"/>
        </w:rPr>
        <w:t>950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броя земеделска и горска техника, с </w:t>
      </w:r>
      <w:r>
        <w:rPr>
          <w:rFonts w:ascii="Times New Roman" w:hAnsi="Times New Roman" w:cs="Times New Roman"/>
          <w:sz w:val="24"/>
          <w:szCs w:val="24"/>
        </w:rPr>
        <w:t xml:space="preserve">127 </w:t>
      </w:r>
      <w:r>
        <w:rPr>
          <w:rFonts w:ascii="Times New Roman" w:hAnsi="Times New Roman" w:cs="Times New Roman"/>
          <w:sz w:val="24"/>
          <w:szCs w:val="24"/>
          <w:lang w:val="bg-BG"/>
        </w:rPr>
        <w:t>брой повече в сравнение с 2020 г.</w:t>
      </w:r>
    </w:p>
    <w:p w:rsidR="00F46D86" w:rsidRDefault="008C465B" w:rsidP="00437E1D">
      <w:pPr>
        <w:overflowPunct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          </w:t>
      </w:r>
    </w:p>
    <w:p w:rsidR="00F46D86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</w:t>
      </w:r>
      <w:r w:rsidR="001C218B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 </w:t>
      </w:r>
      <w:r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 xml:space="preserve">   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>V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ІІІ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. </w:t>
      </w:r>
      <w:r w:rsidRPr="00A74FA2">
        <w:rPr>
          <w:rFonts w:ascii="Times New Roman" w:hAnsi="Times New Roman" w:cs="Times New Roman"/>
          <w:b/>
          <w:bCs/>
          <w:color w:val="00B050"/>
          <w:sz w:val="24"/>
          <w:szCs w:val="24"/>
          <w:lang w:val="bg-BG"/>
        </w:rPr>
        <w:t>ПОЗЕМЛЕНИ ОТНОШЕНИЯ</w:t>
      </w:r>
    </w:p>
    <w:p w:rsidR="008830CA" w:rsidRDefault="008830CA" w:rsidP="00F46D86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C465B" w:rsidRDefault="008C465B" w:rsidP="00DE0F63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Държавният поземлен фонд към 31.12.20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 г.  по данни на Общинските служби по земеделие е </w:t>
      </w:r>
      <w:r>
        <w:rPr>
          <w:rFonts w:ascii="Times New Roman" w:hAnsi="Times New Roman" w:cs="Times New Roman"/>
          <w:sz w:val="24"/>
          <w:szCs w:val="24"/>
          <w:lang w:val="bg-BG"/>
        </w:rPr>
        <w:t>162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161.362 дка. По общини разпределението е както следва: Ардино – 4 344,828 дка; Джебел – 2217,663 дка; Кирково – 45 062,694 дка; Крумовград –54 701,624 дка; Кърджали – 9 974,901 дка; Момчилград – 9 156,955 дка и Черноочене – 5334.586 дка. </w:t>
      </w:r>
    </w:p>
    <w:p w:rsidR="008C465B" w:rsidRDefault="008C465B" w:rsidP="00DE0F63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 изпълнение на Заповед №</w:t>
      </w:r>
      <w:r>
        <w:rPr>
          <w:rFonts w:ascii="Times New Roman" w:hAnsi="Times New Roman" w:cs="Times New Roman"/>
          <w:sz w:val="24"/>
          <w:szCs w:val="24"/>
          <w:lang w:val="bg-BG"/>
        </w:rPr>
        <w:t>РД 46-122/22.03.2021 г.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министъра на земеделието, храните и горите и на основание чл. 24а, ал. 1 от ЗСПЗЗ и чл. 47ж, ал. 1 от ППЗСПЗЗ се обявиха две тръжни сесии за отдаване под наем или аренда на свободни земеделски земи от ДПФ на територията на област Кърджали за стопанската 2021/2022 г., както следва: </w:t>
      </w:r>
    </w:p>
    <w:p w:rsidR="008C465B" w:rsidRDefault="008C465B" w:rsidP="006912FE">
      <w:pPr>
        <w:numPr>
          <w:ilvl w:val="0"/>
          <w:numId w:val="24"/>
        </w:numPr>
        <w:overflowPunct/>
        <w:autoSpaceDE/>
        <w:adjustRightInd/>
        <w:ind w:left="0" w:right="282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първа тръжна сесия за дългосрочно отдаване под наем/аренда на земеделски земи от ДПФ за отглеждане на едногодишни полски култури и многогодишни фуражни култури-житни, бобови и техните смески за срок от пет стопански години и за отглеждане на съществуващи трайни насаждения – 1462 бр. имоти, с обща площ 2966,895 дка, в това число 1462 бр. имоти, с обща площ 2921,386 дка за отглеждане на едногодишни полски култури и многогодишни фуражни култури-житни, бобови и техните смески за срок от пет стопански години и 2 бр. за 45,509 дка за отглеждане на 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съществуващи трайни насаждения;</w:t>
      </w:r>
    </w:p>
    <w:p w:rsidR="008C465B" w:rsidRDefault="008C465B" w:rsidP="006912FE">
      <w:pPr>
        <w:numPr>
          <w:ilvl w:val="0"/>
          <w:numId w:val="24"/>
        </w:numPr>
        <w:overflowPunct/>
        <w:autoSpaceDE/>
        <w:adjustRightInd/>
        <w:ind w:left="0" w:right="282" w:firstLine="72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втора тръжна сесия за дългосрочно отдаване под наем/аренда на земеделски земи от ДПФ за отглеждане на едногодишни полски култури и многогодишни фуражни култури-житни, бобови и техните смески за срок от пет стопански години и за отглеждане на съществуващи трайни насаждения – 1495 бр. имоти, с обща площ 3436,751 дка, в това число 1493 бр. имоти, с обща площ 3391,241 дка за отглеждане на едногодишни полски култури и многогодишни фуражни култури-житни, бобови и техните смески за срок от пет стопански години и 2 бр. имоти за 45,509 дка за отглеждане на съществуващи трайни насаждения. </w:t>
      </w:r>
    </w:p>
    <w:p w:rsidR="008C465B" w:rsidRDefault="008C465B" w:rsidP="006912FE">
      <w:pPr>
        <w:overflowPunct/>
        <w:autoSpaceDE/>
        <w:adjustRightInd/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Сключените договори от проведените тръжни сесии за отглеждане на едногодишни полски култури и на многогодишни фуражни култури-житни, бобови и техните смески за срок от пет стопански години 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са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29 бр. за 253 бр. имоти, с обща площ 1608,299 дка.</w:t>
      </w:r>
    </w:p>
    <w:p w:rsidR="006C79E0" w:rsidRPr="00657E76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>През стопанс</w:t>
      </w:r>
      <w:r>
        <w:rPr>
          <w:rFonts w:ascii="Times New Roman" w:hAnsi="Times New Roman" w:cs="Times New Roman"/>
          <w:sz w:val="24"/>
          <w:szCs w:val="24"/>
          <w:lang w:val="bg-BG"/>
        </w:rPr>
        <w:t>ката 2021/2022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г. процедура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по създаване на масиви за ползване на земеделски земи и изготвяне на споразумения между собственици и/или ползватели е проведена на територията на </w:t>
      </w:r>
      <w:r w:rsidRPr="00657E76">
        <w:rPr>
          <w:rFonts w:ascii="Times New Roman" w:hAnsi="Times New Roman" w:cs="Times New Roman"/>
          <w:bCs/>
          <w:sz w:val="24"/>
          <w:szCs w:val="24"/>
          <w:lang w:val="bg-BG"/>
        </w:rPr>
        <w:t>4 общини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- община Крумовград, община Кърджали, общ. Момчилград и община Черноочене.</w:t>
      </w:r>
    </w:p>
    <w:p w:rsidR="006C79E0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Проведени 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бях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>а заседания на комисиите по чл. 37в, ал. 1</w:t>
      </w:r>
      <w:r w:rsidR="006912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657E76">
        <w:rPr>
          <w:rFonts w:ascii="Times New Roman" w:hAnsi="Times New Roman" w:cs="Times New Roman"/>
          <w:sz w:val="24"/>
          <w:szCs w:val="24"/>
          <w:lang w:val="bg-BG"/>
        </w:rPr>
        <w:t xml:space="preserve"> на които са присъствали собственици, ползватели и други заинтересовани лица. За всяко заседание на комисиите по чл. 37, ал. е съставен протокол.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Сключените споразумения и разпределения за ползване са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103 бр.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обща площ 28157,288 дка. </w:t>
      </w:r>
    </w:p>
    <w:p w:rsidR="006C79E0" w:rsidRDefault="006C79E0" w:rsidP="006912FE">
      <w:pPr>
        <w:ind w:right="282" w:firstLine="708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територията на област Кърджали са издадени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общо 103 бр. заповеди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37в, ал. 4 от ЗСПЗЗ. Площ на включените имоти по чл. 37в, ал.3, т. 2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е общо 16194,198 дка.</w:t>
      </w:r>
    </w:p>
    <w:p w:rsidR="006C79E0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чл.3, ал. 4 от Устройствения правилник на областните дирекции „Земеделие“, чл. 37в, ал. 4 от ЗСПЗЗ, във връзка с чл. 37в, ал. 16 от ЗСПЗЗ и изтекъл едномесечен срок за приемане на решение от Общински съвет – Черноочене, общински съвет Крумовград и Общински съвет – Момчилград по искане на директора на ОД „Земеделие“ за предоставяне за ползване на имотите – полски пътища, включени в заповедта са издадени заповеди за 16 землища на територията на община Черноочене, 13 бр. землища на територията на община Крумовград и 7 бр. землища на територията на община Момчилград.</w:t>
      </w:r>
    </w:p>
    <w:p w:rsidR="006C79E0" w:rsidRDefault="006C79E0" w:rsidP="006912FE">
      <w:pPr>
        <w:ind w:right="282"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Издадени са 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12 бр. заповеди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прекратяване процедурата изготвяне на споразумения между собственици и/или ползватели за създаване на масиви за ползване на земеделски земи.</w:t>
      </w:r>
    </w:p>
    <w:p w:rsidR="008C465B" w:rsidRDefault="008C465B" w:rsidP="006912FE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чл. 37м, ал. 1 от ЗСПЗЗ, спазени ли са условията на чл. 37и, ал.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ал. 7 и ал. 9 от ЗСПЗЗ в изпълнение на Заповед №РД-07-4/27.01.2021 г. на директора на Областна дирекция “Земеделие“ </w:t>
      </w:r>
      <w:r>
        <w:rPr>
          <w:rFonts w:cs="Times New Roman"/>
          <w:lang w:val="bg-BG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Кърджали, комисия извърши проверка на общо 271 бр. сключени договори за наем или аренда на пасища, мери и ливади от държавния поземлен фонд.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:rsidR="008C465B" w:rsidRDefault="008C465B" w:rsidP="006912FE">
      <w:pPr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Съгласно разпоредбата на чл. 37м, ал. 2 от ЗСПЗЗ, спазването на изискванията за притежавани брой и вид животни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– животновъдни обекти, собственици или ползватели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регистрирани животновъдни обекти и пасищни селскостопански животни в животновъдните обекти.</w:t>
      </w:r>
    </w:p>
    <w:p w:rsidR="008C465B" w:rsidRDefault="008C465B" w:rsidP="006912FE">
      <w:pPr>
        <w:tabs>
          <w:tab w:val="left" w:pos="851"/>
          <w:tab w:val="left" w:pos="1418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Комисията провери всички 271 бр. договори за наем или аренда на пасища, мери и ливади от държавния поземлен фонд, сключени със 176 бр. земеделски стопани. Комисията констатира, че всички 176 ползватели отговарят на условията на чл. 37и, ал. 4 от ЗСПЗЗ. 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изпълнение на дейностите, свързани с процедурата по реда на чл. 37и от Закона за собствеността и ползването на земеделските земи (ЗСПЗЗ) за отдаване под наем или аренда на пасища, мери и ливади от държавния поземлен фонд със </w:t>
      </w:r>
      <w:r>
        <w:rPr>
          <w:rFonts w:ascii="Times New Roman" w:hAnsi="Times New Roman" w:cs="Times New Roman"/>
          <w:caps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аповед №РД 46-88/24.02.2021 г. на министъра на земеделието, храните и горите са определени свободни пасища, мери и ливади за отдаване под наем или аренда за стопанската 2021-2022 г.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– общо </w:t>
      </w:r>
      <w:r>
        <w:rPr>
          <w:rFonts w:ascii="Times New Roman" w:hAnsi="Times New Roman" w:cs="Times New Roman"/>
          <w:sz w:val="24"/>
          <w:szCs w:val="24"/>
          <w:lang w:val="bg-BG"/>
        </w:rPr>
        <w:t>4025 бр. имоти с обща площ 38401,405 дка.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 данни на общинските служби по земеделие към 30.11.2021 г. общият размер на земеделските земи от държавния поземлен фонд </w:t>
      </w:r>
      <w:r>
        <w:rPr>
          <w:rFonts w:ascii="Times New Roman" w:hAnsi="Times New Roman"/>
          <w:sz w:val="24"/>
          <w:szCs w:val="24"/>
          <w:lang w:val="x-none" w:eastAsia="bg-BG"/>
        </w:rPr>
        <w:t>(</w:t>
      </w:r>
      <w:r>
        <w:rPr>
          <w:rFonts w:ascii="Times New Roman" w:hAnsi="Times New Roman"/>
          <w:sz w:val="24"/>
          <w:szCs w:val="24"/>
          <w:lang w:val="bg-BG" w:eastAsia="bg-BG"/>
        </w:rPr>
        <w:t>ДПФ</w:t>
      </w:r>
      <w:r>
        <w:rPr>
          <w:rFonts w:ascii="Times New Roman" w:hAnsi="Times New Roman"/>
          <w:sz w:val="24"/>
          <w:szCs w:val="24"/>
          <w:lang w:val="x-none" w:eastAsia="bg-BG"/>
        </w:rPr>
        <w:t xml:space="preserve">) </w:t>
      </w:r>
      <w:r>
        <w:rPr>
          <w:rFonts w:ascii="Times New Roman" w:hAnsi="Times New Roman"/>
          <w:sz w:val="24"/>
          <w:szCs w:val="24"/>
          <w:lang w:val="bg-BG"/>
        </w:rPr>
        <w:t>в област Кърджали е 130793.255 дка, в това число по начин на трайно ползване както следва: ниви – 17824.774 дка; ливади – 1865.584 дка; пасища – 107238.423 дка, трайни насаждения – 432.496 дка и други – 3431.978 дка.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Действащите договори към момента на проверката са 506 бр. за 36835.95 дка, в това число за отглеждане на едногодишни полски култури и многогодишни фуражни култури – житни, бобови и техните смески са 172 бр. за 8808.132 дка, за създаване и отглеждане на трайни насаждения и за отглеждане на съществуващи трайни насаждения са 36 бр. за 1608.693 дка и за пасища и ливади – 298 бр. за 26419.125 дка, в това число по реда на чл. 34и, ал. 12 от ЗСПЗЗ – 280 бр. договори за 22380.341 дка и по реда на чл. 37и, ал. 13 – 18 бр. договори, с обща площ 4038.784 дка.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земите от ДПФ, предоставени за ползване по реда на чл. 24, ал. 2 и чл. 24б от ЗСПЗЗ, комисията по т. 1.1 от методиката е изготвила констативни протоколи по Образец 3 за установяване състоянието и ползването на земите от ДПФ за всяко землище, както следва в: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землище гр. Джебел, община Джебел – нтп: нива и др. вид нива с обща площ 72.394 дка, от тях 9.811 дка се ползват като ливада, а останалите по предназначение;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землище с. Глухар, община Кърджали – нтп: нива 141.344 дка, от тях 54.838 дка установеното състояние при проверката е угар и необработена нива около 86.508 дка. Овощната градина, с площ 4.900 дка е с установено състояние необработена нива. От поземлен имот с нтп: оранжерия, с обща площ 60.333 дка, около 20 дка е угар и останалите 40.333 дка са неизползваеми.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землище с. Жинзифово, община Кърджали – нтп: нива с площ 20.027 дка. Имотът не се обработва;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землище с. Пепелище, община Кърджали – нтп: овощна градина 130.947 дка, от които по предназначение се ползват около 87 дка.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Свободните земеделски земи от държавния поземлен фонд са в размер на 93 713,825 дка, в това число както следва: ниви с обща площ 7194,509 дка; ливади с обща площ 1234,504 дка; пасища с обща площ 81450,379 дка; трайни с обща площ 402,456 дка и други с обща площ 3431,978 дка.</w:t>
      </w:r>
    </w:p>
    <w:p w:rsidR="008C465B" w:rsidRDefault="008C465B" w:rsidP="006912FE">
      <w:pPr>
        <w:tabs>
          <w:tab w:val="left" w:pos="10065"/>
        </w:tabs>
        <w:overflowPunct/>
        <w:autoSpaceDE/>
        <w:adjustRightInd/>
        <w:ind w:right="282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Имотите с начин на трайно ползване </w:t>
      </w:r>
      <w:r w:rsidR="00DB7FA5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ниви</w:t>
      </w:r>
      <w:r w:rsidR="00DB7FA5">
        <w:rPr>
          <w:rFonts w:ascii="Times New Roman" w:hAnsi="Times New Roman"/>
          <w:sz w:val="24"/>
          <w:szCs w:val="24"/>
          <w:lang w:val="bg-BG"/>
        </w:rPr>
        <w:t>“,</w:t>
      </w:r>
      <w:r>
        <w:rPr>
          <w:rFonts w:ascii="Times New Roman" w:hAnsi="Times New Roman"/>
          <w:sz w:val="24"/>
          <w:szCs w:val="24"/>
          <w:lang w:val="bg-BG"/>
        </w:rPr>
        <w:t xml:space="preserve"> предоставени за ползване под аренда за отглеждане на едногодишни полски култури и многогодишни фуражни култури – житни, бобови и техните смески</w:t>
      </w:r>
      <w:r w:rsidR="00DB7FA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 по-голямата си част се поддържат по предназначение. Видно от информацията, предоставена от ОСЗ</w:t>
      </w:r>
      <w:r w:rsidR="00DB7FA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178 бр. имоти с обща площ 1464.393 дка не се обработват, а се ползват като ливади и пасища.</w:t>
      </w:r>
    </w:p>
    <w:p w:rsidR="008C465B" w:rsidRDefault="008C465B" w:rsidP="006912FE">
      <w:pPr>
        <w:tabs>
          <w:tab w:val="left" w:pos="10065"/>
        </w:tabs>
        <w:overflowPunct/>
        <w:autoSpaceDE/>
        <w:adjustRightInd/>
        <w:ind w:right="282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Имо</w:t>
      </w:r>
      <w:r w:rsidR="000C6DFE">
        <w:rPr>
          <w:rFonts w:ascii="Times New Roman" w:hAnsi="Times New Roman"/>
          <w:sz w:val="24"/>
          <w:szCs w:val="24"/>
          <w:lang w:val="bg-BG"/>
        </w:rPr>
        <w:t>тите с начин на трайно ползване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6DFE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ливади</w:t>
      </w:r>
      <w:r w:rsidR="000C6DFE">
        <w:rPr>
          <w:rFonts w:ascii="Times New Roman" w:hAnsi="Times New Roman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bg-BG"/>
        </w:rPr>
        <w:t xml:space="preserve"> се поддържат и ползват по предназначение за косене и паша на животните.</w:t>
      </w:r>
    </w:p>
    <w:p w:rsidR="008C465B" w:rsidRDefault="008C465B" w:rsidP="006912FE">
      <w:pPr>
        <w:tabs>
          <w:tab w:val="left" w:pos="10065"/>
        </w:tabs>
        <w:overflowPunct/>
        <w:autoSpaceDE/>
        <w:adjustRightInd/>
        <w:ind w:right="282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Имотите с начин на трайно ползване </w:t>
      </w:r>
      <w:r w:rsidR="000C6DFE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пасище</w:t>
      </w:r>
      <w:r w:rsidR="000C6DFE">
        <w:rPr>
          <w:rFonts w:ascii="Times New Roman" w:hAnsi="Times New Roman"/>
          <w:sz w:val="24"/>
          <w:szCs w:val="24"/>
          <w:lang w:val="bg-BG"/>
        </w:rPr>
        <w:t>“</w:t>
      </w:r>
      <w:r>
        <w:rPr>
          <w:rFonts w:ascii="Times New Roman" w:hAnsi="Times New Roman"/>
          <w:sz w:val="24"/>
          <w:szCs w:val="24"/>
          <w:lang w:val="bg-BG"/>
        </w:rPr>
        <w:t xml:space="preserve"> се поддържат от наемателите си, като се почистват от храсти и папрати.</w:t>
      </w:r>
    </w:p>
    <w:p w:rsidR="008C465B" w:rsidRDefault="008C465B" w:rsidP="006912FE">
      <w:pPr>
        <w:widowControl w:val="0"/>
        <w:tabs>
          <w:tab w:val="left" w:pos="10065"/>
        </w:tabs>
        <w:overflowPunct/>
        <w:ind w:right="282"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x-none" w:eastAsia="bg-BG"/>
        </w:rPr>
        <w:t>Проверките се извършват на терен и/или чрез данни от изготвено пространствено сечение между имотите от кадастралната карта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и кадастралните карти </w:t>
      </w:r>
      <w:r>
        <w:rPr>
          <w:rFonts w:ascii="Times New Roman" w:hAnsi="Times New Roman"/>
          <w:sz w:val="24"/>
          <w:szCs w:val="24"/>
          <w:lang w:val="x-none" w:eastAsia="bg-BG"/>
        </w:rPr>
        <w:t>(КК</w:t>
      </w:r>
      <w:r>
        <w:rPr>
          <w:rFonts w:ascii="Times New Roman" w:hAnsi="Times New Roman"/>
          <w:sz w:val="24"/>
          <w:szCs w:val="24"/>
          <w:lang w:val="bg-BG" w:eastAsia="bg-BG"/>
        </w:rPr>
        <w:t>КР</w:t>
      </w:r>
      <w:r>
        <w:rPr>
          <w:rFonts w:ascii="Times New Roman" w:hAnsi="Times New Roman"/>
          <w:sz w:val="24"/>
          <w:szCs w:val="24"/>
          <w:lang w:val="x-none" w:eastAsia="bg-BG"/>
        </w:rPr>
        <w:t>) и парцелите, заявени за подпомагане по схеми и мерки за директни плащания на площ.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 данни от общинските служби по земеделие при извършените проверки по реда на чл. 47, ал. 8 от ППЗСПЗЗ към 30.11.2021 г. няма установени неправомерни ползватели на земеделски земи от ДПФ. 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Към момента не са събрани вземания по 2 бр. действащи договори за наем/ аренда за земите от ДПФ. Длъжниците са уведомени, че при неизпълнение на наемното/арендно плащане ще се пристъпи към подаване на заявления за издаване на заповеди за изпълнение по чл. 417 от Гражданския процесуален кодекс. </w:t>
      </w:r>
    </w:p>
    <w:p w:rsidR="008C465B" w:rsidRDefault="008C465B" w:rsidP="006912FE">
      <w:pPr>
        <w:tabs>
          <w:tab w:val="left" w:pos="10065"/>
        </w:tabs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договорите за създаване и отглеждане на трайни насаждения, по които са изтекли гратисните периоди за създаване на трайните насаждения в съответствие с предмета на договора няма установено неизпълнение.</w:t>
      </w:r>
    </w:p>
    <w:p w:rsidR="008C465B" w:rsidRDefault="008C465B" w:rsidP="006912FE">
      <w:pPr>
        <w:tabs>
          <w:tab w:val="left" w:pos="10065"/>
        </w:tabs>
        <w:overflowPunct/>
        <w:autoSpaceDE/>
        <w:adjustRightInd/>
        <w:ind w:right="282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 направените проверки се установи, че част от имотите от ДПФ, които по КККР представляват по нтп: „нива”, „пасища с храсти“, „пасища, мери“ и „ливади“ са се самозалесили и са станали гора по смисъла на чл. 2 от Закона за горите. 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мотите с нтп: „други трайни насаждения” и „други селскостопански територии” в действителност са гори в земеделски земи. </w:t>
      </w:r>
    </w:p>
    <w:p w:rsidR="008C465B" w:rsidRDefault="008C465B" w:rsidP="002C6BBF">
      <w:pPr>
        <w:overflowPunct/>
        <w:autoSpaceDE/>
        <w:adjustRightInd/>
        <w:ind w:right="282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Във връзка с горецитираното и на основание заповед №РД 46-305/15.06.2018 г. на министъра на земеделието, храните и горите за възлагане на директора на ОД „Земеделие“ – Кърджали да подава писмено заявление по чл. 83, ал. 9 от Закона за горите до изпълнителния директор на Изпълнителната агенция по горите за включване в горски територии на имотите от ДПФ, за които е констатирано, че представляват негодни за земеделско ползване територии, до Изпълнителната агенция, чрез Регионалната дирекция по горите – Кърджали са подадени 3 бр. заявления за общо 21 броя имоти, с обща площ 575,917 дка, в това число по общини: Ардино – 4 бр. за 20,133 дка; Джебел – 8 бр. за 195,449 дка и Момчилград – 9 бр. за 360,335 дка.</w:t>
      </w:r>
    </w:p>
    <w:p w:rsidR="008C465B" w:rsidRDefault="008C465B" w:rsidP="002C6BBF">
      <w:pPr>
        <w:pStyle w:val="a7"/>
        <w:ind w:right="282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През отчетния период сключените договори за продажба на земя, частна държавна собственост, прилежаща към сгради и съоръжения на организациите по § 12 от ПЗР на ЗСПЗЗ на основание чл. 27, ал. 6 от ЗСПЗЗ при спазване изискванията на чл. 45а, ал. 2 от ППЗСПЗЗ са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бр. за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1,162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дка с обща стойност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3550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лева, които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 платени с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български лева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465B" w:rsidRDefault="008C465B" w:rsidP="002C6BBF">
      <w:pPr>
        <w:pStyle w:val="a7"/>
        <w:ind w:right="282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аповед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директора на ОД „Земеделие“, във връзка с чл. 27, ал. 8 от ЗСПЗЗ  и чл. 56з, ал. 1 от ППЗСПЗЗ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проведени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тръжн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процедур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са сключени договори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продажба на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бр.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имоти с обща площ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17,776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дка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65 505 лв.</w:t>
      </w:r>
      <w:r>
        <w:rPr>
          <w:rFonts w:ascii="Times New Roman" w:hAnsi="Times New Roman" w:cs="Times New Roman"/>
          <w:color w:val="000000"/>
          <w:sz w:val="24"/>
          <w:szCs w:val="24"/>
        </w:rPr>
        <w:t>,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ползване, неподлежащи на възстановяване по ЗСПЗЗ.</w:t>
      </w:r>
    </w:p>
    <w:p w:rsidR="008C465B" w:rsidRDefault="008C465B" w:rsidP="002C6BBF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За периода януари – декември 2021 година Комисията по чл.17, ал.1, т. 1 от ЗОЗЗ проведе 10 заседания. Разгледани са 89 бр. преписки за утвърждаване на площадки и за промяна на предназначението за 147,342 дка. Постановените такси по чл. 30 от ЗОЗЗ са в размер на 90 948,26 лв. Влезлите в сила решения са 89 бр. с площ 147,342 дка. Заплатените такси по чл. 30, ал. 1 от ЗОЗЗ са в размер на 90 948,26 лв. Преобладаващият вид на обектите разглеждани от Комисията по чл.17, ал. 1, т. 1 от ЗОЗЗ са за жилищно застрояване. </w:t>
      </w:r>
    </w:p>
    <w:p w:rsidR="008C465B" w:rsidRDefault="008C465B" w:rsidP="002C6BBF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На основание Наредба за категоризиране на земеделските земи при промяна на тяхното предназначение в ОД “Земеделие” </w:t>
      </w:r>
      <w:r>
        <w:rPr>
          <w:rFonts w:ascii="Times New Roman" w:hAnsi="Times New Roman" w:cs="Times New Roman"/>
          <w:spacing w:val="40"/>
          <w:sz w:val="24"/>
          <w:szCs w:val="24"/>
          <w:lang w:val="bg-BG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Кърджали са издадени 105 броя актове за категоризация.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През годината са издадени и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бр. Актове за установяване на административни нарушения по ЗОЗЗ.</w:t>
      </w:r>
    </w:p>
    <w:p w:rsidR="00923891" w:rsidRDefault="008C465B" w:rsidP="00923891">
      <w:pPr>
        <w:ind w:right="2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Във връзка с прилагане на Наредба №19 от 25 октомври 2012 г. за строителство в земеделски земи без промяна на предназначението им (обн. ДВ. бр. 85 от 6 ноември 2012 г.) на основание чл. 11, ал. 1, т. 4 са издадени 15 бр. положителни становища.</w:t>
      </w:r>
      <w:r w:rsidR="0092389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E13F46" w:rsidRPr="00424D4F" w:rsidRDefault="001A6220" w:rsidP="00923891">
      <w:pPr>
        <w:ind w:right="28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DC444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A5DAD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35F7D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DC444D">
        <w:rPr>
          <w:rFonts w:ascii="Times New Roman" w:hAnsi="Times New Roman" w:cs="Times New Roman"/>
          <w:sz w:val="24"/>
          <w:szCs w:val="24"/>
          <w:lang w:val="bg-BG"/>
        </w:rPr>
        <w:t xml:space="preserve">С оглед утвърждаване на областна дирекция “Земеделие” гр. Кърджали като водеща структура в областта на земеделието в процеса на работа се стремим да повишаване качеството на изпълнението,  прозрачност и отговорност в работата, максимална информираност на населението за възможностите, ползите и ефективността, които се  откриват в тази област. </w:t>
      </w:r>
    </w:p>
    <w:p w:rsidR="00D87CEF" w:rsidRDefault="00D87CEF" w:rsidP="001A62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27CD" w:rsidRPr="008A569F" w:rsidRDefault="00422CF4" w:rsidP="001A6220">
      <w:pPr>
        <w:overflowPunct/>
        <w:autoSpaceDE/>
        <w:autoSpaceDN/>
        <w:adjustRightInd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</w:t>
      </w:r>
    </w:p>
    <w:p w:rsidR="00E13F46" w:rsidRPr="002F463D" w:rsidRDefault="00422CF4" w:rsidP="0092389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A569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E13F46" w:rsidRPr="002F463D" w:rsidSect="00F203FE">
      <w:footerReference w:type="default" r:id="rId14"/>
      <w:headerReference w:type="first" r:id="rId15"/>
      <w:footerReference w:type="first" r:id="rId16"/>
      <w:pgSz w:w="11907" w:h="16840" w:code="9"/>
      <w:pgMar w:top="990" w:right="567" w:bottom="851" w:left="993" w:header="850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61" w:rsidRDefault="00E63661">
      <w:r>
        <w:separator/>
      </w:r>
    </w:p>
  </w:endnote>
  <w:endnote w:type="continuationSeparator" w:id="0">
    <w:p w:rsidR="00E63661" w:rsidRDefault="00E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8DD" w:rsidRDefault="00DC68DD" w:rsidP="00973DCE">
    <w:pPr>
      <w:pStyle w:val="a5"/>
      <w:framePr w:wrap="auto" w:vAnchor="text" w:hAnchor="margin" w:xAlign="center" w:y="1"/>
      <w:rPr>
        <w:rStyle w:val="af5"/>
        <w:rFonts w:cs="Arial"/>
      </w:rPr>
    </w:pPr>
    <w:r>
      <w:rPr>
        <w:rStyle w:val="af5"/>
        <w:rFonts w:cs="Arial"/>
      </w:rPr>
      <w:fldChar w:fldCharType="begin"/>
    </w:r>
    <w:r>
      <w:rPr>
        <w:rStyle w:val="af5"/>
        <w:rFonts w:cs="Arial"/>
      </w:rPr>
      <w:instrText xml:space="preserve">PAGE  </w:instrText>
    </w:r>
    <w:r>
      <w:rPr>
        <w:rStyle w:val="af5"/>
        <w:rFonts w:cs="Arial"/>
      </w:rPr>
      <w:fldChar w:fldCharType="separate"/>
    </w:r>
    <w:r w:rsidR="00854B68">
      <w:rPr>
        <w:rStyle w:val="af5"/>
        <w:rFonts w:cs="Arial"/>
        <w:noProof/>
      </w:rPr>
      <w:t>2</w:t>
    </w:r>
    <w:r>
      <w:rPr>
        <w:rStyle w:val="af5"/>
        <w:rFonts w:cs="Arial"/>
      </w:rPr>
      <w:fldChar w:fldCharType="end"/>
    </w:r>
  </w:p>
  <w:p w:rsidR="00DC68DD" w:rsidRDefault="00DC68DD">
    <w:pPr>
      <w:pStyle w:val="a5"/>
      <w:jc w:val="right"/>
    </w:pPr>
  </w:p>
  <w:p w:rsidR="00DC68DD" w:rsidRDefault="00DC68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8DD" w:rsidRDefault="00DC68DD" w:rsidP="0099677F">
    <w:pPr>
      <w:jc w:val="center"/>
      <w:rPr>
        <w:sz w:val="18"/>
        <w:szCs w:val="18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</w:t>
    </w:r>
  </w:p>
  <w:p w:rsidR="00DC68DD" w:rsidRPr="003E2E98" w:rsidRDefault="00DC68DD" w:rsidP="0099677F">
    <w:pPr>
      <w:jc w:val="center"/>
      <w:rPr>
        <w:sz w:val="18"/>
        <w:szCs w:val="18"/>
        <w:lang w:val="ru-RU"/>
      </w:rPr>
    </w:pPr>
    <w:r>
      <w:rPr>
        <w:sz w:val="18"/>
        <w:szCs w:val="18"/>
        <w:lang w:val="bg-BG"/>
      </w:rPr>
      <w:t xml:space="preserve">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  <w:r w:rsidRPr="003E2E98">
      <w:rPr>
        <w:sz w:val="18"/>
        <w:szCs w:val="18"/>
        <w:lang w:val="ru-RU"/>
      </w:rPr>
      <w:t xml:space="preserve">, </w:t>
    </w:r>
    <w:r>
      <w:rPr>
        <w:sz w:val="18"/>
        <w:szCs w:val="18"/>
        <w:lang w:val="bg-BG"/>
      </w:rPr>
      <w:t>тел./факс 0361-6 2976 /6 2996 /6 5603</w:t>
    </w:r>
    <w:r w:rsidRPr="000B03D9">
      <w:rPr>
        <w:sz w:val="18"/>
        <w:szCs w:val="18"/>
        <w:lang w:val="bg-BG"/>
      </w:rPr>
      <w:t xml:space="preserve"> </w:t>
    </w:r>
  </w:p>
  <w:p w:rsidR="00DC68DD" w:rsidRPr="00025093" w:rsidRDefault="00DC68DD" w:rsidP="0099677F">
    <w:pPr>
      <w:jc w:val="center"/>
      <w:rPr>
        <w:sz w:val="18"/>
        <w:szCs w:val="18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r w:rsidRPr="007B50E9">
      <w:rPr>
        <w:sz w:val="18"/>
        <w:szCs w:val="18"/>
      </w:rPr>
      <w:t>Delovod</w:t>
    </w:r>
    <w:r w:rsidRPr="00025093">
      <w:rPr>
        <w:sz w:val="18"/>
        <w:szCs w:val="18"/>
        <w:lang w:val="bg-BG"/>
      </w:rPr>
      <w:t>-</w:t>
    </w:r>
    <w:r w:rsidRPr="007B50E9">
      <w:rPr>
        <w:sz w:val="18"/>
        <w:szCs w:val="18"/>
      </w:rPr>
      <w:t>ODZ</w:t>
    </w:r>
    <w:r w:rsidRPr="00025093">
      <w:rPr>
        <w:sz w:val="18"/>
        <w:szCs w:val="18"/>
        <w:lang w:val="bg-BG"/>
      </w:rPr>
      <w:t>_</w:t>
    </w:r>
    <w:r w:rsidRPr="007B50E9">
      <w:rPr>
        <w:sz w:val="18"/>
        <w:szCs w:val="18"/>
      </w:rPr>
      <w:t>Kj</w:t>
    </w:r>
    <w:r w:rsidRPr="00025093">
      <w:rPr>
        <w:sz w:val="18"/>
        <w:szCs w:val="18"/>
        <w:lang w:val="bg-BG"/>
      </w:rPr>
      <w:t>@</w:t>
    </w:r>
    <w:r w:rsidRPr="007B50E9">
      <w:rPr>
        <w:sz w:val="18"/>
        <w:szCs w:val="18"/>
      </w:rPr>
      <w:t>mbox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contact</w:t>
    </w:r>
    <w:r w:rsidRPr="00025093">
      <w:rPr>
        <w:sz w:val="18"/>
        <w:szCs w:val="18"/>
        <w:lang w:val="bg-BG"/>
      </w:rPr>
      <w:t>.</w:t>
    </w:r>
    <w:r w:rsidRPr="007B50E9">
      <w:rPr>
        <w:sz w:val="18"/>
        <w:szCs w:val="18"/>
      </w:rPr>
      <w:t>bg</w:t>
    </w:r>
  </w:p>
  <w:p w:rsidR="00DC68DD" w:rsidRPr="00376F5E" w:rsidRDefault="00DC68DD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61" w:rsidRDefault="00E63661">
      <w:r>
        <w:separator/>
      </w:r>
    </w:p>
  </w:footnote>
  <w:footnote w:type="continuationSeparator" w:id="0">
    <w:p w:rsidR="00E63661" w:rsidRDefault="00E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8DD" w:rsidRPr="005B69F7" w:rsidRDefault="00DC68DD" w:rsidP="005B69F7">
    <w:pPr>
      <w:pStyle w:val="2"/>
      <w:rPr>
        <w:rStyle w:val="aa"/>
        <w:rFonts w:cs="Cambria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68DD" w:rsidRPr="005B69F7" w:rsidRDefault="00DC68DD" w:rsidP="0055588A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8890" t="10160" r="1016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654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DC68DD" w:rsidRPr="004A4785" w:rsidRDefault="00DC68D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spacing w:val="40"/>
        <w:sz w:val="26"/>
        <w:szCs w:val="26"/>
      </w:rPr>
    </w:pPr>
    <w:r>
      <w:rPr>
        <w:rFonts w:ascii="Helen Bg Condensed" w:hAnsi="Helen Bg Condensed" w:cs="Helen Bg Condensed"/>
        <w:spacing w:val="40"/>
        <w:sz w:val="26"/>
        <w:szCs w:val="26"/>
      </w:rPr>
      <w:t>Министерство на земеделието</w:t>
    </w:r>
  </w:p>
  <w:p w:rsidR="00DC68DD" w:rsidRPr="004A4785" w:rsidRDefault="00DC68DD" w:rsidP="0055588A">
    <w:pPr>
      <w:rPr>
        <w:b/>
        <w:bCs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3335" t="11430" r="7620" b="76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5A55F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ru-RU"/>
      </w:rPr>
      <w:t xml:space="preserve">Областна дирекция 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“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>Земеделие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</w:rPr>
      <w:t>”</w:t>
    </w:r>
    <w:r w:rsidRPr="004A4785">
      <w:rPr>
        <w:rFonts w:ascii="Helen Bg Condensed" w:hAnsi="Helen Bg Condensed" w:cs="Helen Bg Condensed"/>
        <w:b/>
        <w:bCs/>
        <w:spacing w:val="40"/>
        <w:sz w:val="26"/>
        <w:szCs w:val="26"/>
        <w:lang w:val="bg-BG"/>
      </w:rPr>
      <w:t xml:space="preserve"> гр.Кърджали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CA1"/>
    <w:multiLevelType w:val="hybridMultilevel"/>
    <w:tmpl w:val="68BAFFD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1B114A"/>
    <w:multiLevelType w:val="hybridMultilevel"/>
    <w:tmpl w:val="FFF05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335EC"/>
    <w:multiLevelType w:val="hybridMultilevel"/>
    <w:tmpl w:val="D1C27D2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5562EB0"/>
    <w:multiLevelType w:val="hybridMultilevel"/>
    <w:tmpl w:val="C49C50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98649E"/>
    <w:multiLevelType w:val="hybridMultilevel"/>
    <w:tmpl w:val="8CB0AD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D0571C"/>
    <w:multiLevelType w:val="hybridMultilevel"/>
    <w:tmpl w:val="30A467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529"/>
    <w:multiLevelType w:val="hybridMultilevel"/>
    <w:tmpl w:val="A99E9CB0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89447F"/>
    <w:multiLevelType w:val="hybridMultilevel"/>
    <w:tmpl w:val="0AA84D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11595C"/>
    <w:multiLevelType w:val="hybridMultilevel"/>
    <w:tmpl w:val="E04668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B6B3556"/>
    <w:multiLevelType w:val="hybridMultilevel"/>
    <w:tmpl w:val="ABD48E46"/>
    <w:lvl w:ilvl="0" w:tplc="D62E6464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A975F0"/>
    <w:multiLevelType w:val="hybridMultilevel"/>
    <w:tmpl w:val="A002174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E43"/>
    <w:multiLevelType w:val="hybridMultilevel"/>
    <w:tmpl w:val="3E1E4FA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5A3C775C"/>
    <w:multiLevelType w:val="hybridMultilevel"/>
    <w:tmpl w:val="A806737C"/>
    <w:lvl w:ilvl="0" w:tplc="0402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cs="Wingdings" w:hint="default"/>
      </w:rPr>
    </w:lvl>
    <w:lvl w:ilvl="1" w:tplc="E2E06A20">
      <w:start w:val="9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 w15:restartNumberingAfterBreak="0">
    <w:nsid w:val="7B442D44"/>
    <w:multiLevelType w:val="hybridMultilevel"/>
    <w:tmpl w:val="67AA752E"/>
    <w:lvl w:ilvl="0" w:tplc="040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7C7F5EA0"/>
    <w:multiLevelType w:val="multilevel"/>
    <w:tmpl w:val="C48A6BC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5" w15:restartNumberingAfterBreak="0">
    <w:nsid w:val="7CF62A82"/>
    <w:multiLevelType w:val="hybridMultilevel"/>
    <w:tmpl w:val="0C14C2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9B7598"/>
    <w:multiLevelType w:val="hybridMultilevel"/>
    <w:tmpl w:val="EFB8E8A6"/>
    <w:lvl w:ilvl="0" w:tplc="BC50D6CC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9" w:hanging="360"/>
      </w:pPr>
    </w:lvl>
    <w:lvl w:ilvl="2" w:tplc="0402001B" w:tentative="1">
      <w:start w:val="1"/>
      <w:numFmt w:val="lowerRoman"/>
      <w:lvlText w:val="%3."/>
      <w:lvlJc w:val="right"/>
      <w:pPr>
        <w:ind w:left="2629" w:hanging="180"/>
      </w:pPr>
    </w:lvl>
    <w:lvl w:ilvl="3" w:tplc="0402000F" w:tentative="1">
      <w:start w:val="1"/>
      <w:numFmt w:val="decimal"/>
      <w:lvlText w:val="%4."/>
      <w:lvlJc w:val="left"/>
      <w:pPr>
        <w:ind w:left="3349" w:hanging="360"/>
      </w:pPr>
    </w:lvl>
    <w:lvl w:ilvl="4" w:tplc="04020019" w:tentative="1">
      <w:start w:val="1"/>
      <w:numFmt w:val="lowerLetter"/>
      <w:lvlText w:val="%5."/>
      <w:lvlJc w:val="left"/>
      <w:pPr>
        <w:ind w:left="4069" w:hanging="360"/>
      </w:pPr>
    </w:lvl>
    <w:lvl w:ilvl="5" w:tplc="0402001B" w:tentative="1">
      <w:start w:val="1"/>
      <w:numFmt w:val="lowerRoman"/>
      <w:lvlText w:val="%6."/>
      <w:lvlJc w:val="right"/>
      <w:pPr>
        <w:ind w:left="4789" w:hanging="180"/>
      </w:pPr>
    </w:lvl>
    <w:lvl w:ilvl="6" w:tplc="0402000F" w:tentative="1">
      <w:start w:val="1"/>
      <w:numFmt w:val="decimal"/>
      <w:lvlText w:val="%7."/>
      <w:lvlJc w:val="left"/>
      <w:pPr>
        <w:ind w:left="5509" w:hanging="360"/>
      </w:pPr>
    </w:lvl>
    <w:lvl w:ilvl="7" w:tplc="04020019" w:tentative="1">
      <w:start w:val="1"/>
      <w:numFmt w:val="lowerLetter"/>
      <w:lvlText w:val="%8."/>
      <w:lvlJc w:val="left"/>
      <w:pPr>
        <w:ind w:left="6229" w:hanging="360"/>
      </w:pPr>
    </w:lvl>
    <w:lvl w:ilvl="8" w:tplc="0402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1"/>
  </w:num>
  <w:num w:numId="5">
    <w:abstractNumId w:val="8"/>
  </w:num>
  <w:num w:numId="6">
    <w:abstractNumId w:val="14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 w:numId="19">
    <w:abstractNumId w:val="12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FA9"/>
    <w:rsid w:val="0000145B"/>
    <w:rsid w:val="00001579"/>
    <w:rsid w:val="00002F0C"/>
    <w:rsid w:val="00004AE3"/>
    <w:rsid w:val="00004C03"/>
    <w:rsid w:val="00012549"/>
    <w:rsid w:val="00013B0F"/>
    <w:rsid w:val="000206E0"/>
    <w:rsid w:val="0002279B"/>
    <w:rsid w:val="00023762"/>
    <w:rsid w:val="00024C29"/>
    <w:rsid w:val="00025093"/>
    <w:rsid w:val="0003326C"/>
    <w:rsid w:val="000335DD"/>
    <w:rsid w:val="0003377F"/>
    <w:rsid w:val="00034275"/>
    <w:rsid w:val="0003452F"/>
    <w:rsid w:val="00035990"/>
    <w:rsid w:val="000361AB"/>
    <w:rsid w:val="00037B0B"/>
    <w:rsid w:val="00045DAE"/>
    <w:rsid w:val="000477BF"/>
    <w:rsid w:val="000512AE"/>
    <w:rsid w:val="00052342"/>
    <w:rsid w:val="00053407"/>
    <w:rsid w:val="00054645"/>
    <w:rsid w:val="00054CC6"/>
    <w:rsid w:val="00054CEB"/>
    <w:rsid w:val="00055852"/>
    <w:rsid w:val="00055AF1"/>
    <w:rsid w:val="0005609A"/>
    <w:rsid w:val="00056DE1"/>
    <w:rsid w:val="000600F8"/>
    <w:rsid w:val="0006066A"/>
    <w:rsid w:val="0006350C"/>
    <w:rsid w:val="00067A24"/>
    <w:rsid w:val="000713C0"/>
    <w:rsid w:val="000721C7"/>
    <w:rsid w:val="00072DD6"/>
    <w:rsid w:val="000740FA"/>
    <w:rsid w:val="00075577"/>
    <w:rsid w:val="00077453"/>
    <w:rsid w:val="00077808"/>
    <w:rsid w:val="000804B6"/>
    <w:rsid w:val="00084571"/>
    <w:rsid w:val="00094A70"/>
    <w:rsid w:val="00096130"/>
    <w:rsid w:val="00096189"/>
    <w:rsid w:val="00097770"/>
    <w:rsid w:val="000A134A"/>
    <w:rsid w:val="000A2D7A"/>
    <w:rsid w:val="000A3464"/>
    <w:rsid w:val="000A3697"/>
    <w:rsid w:val="000A411D"/>
    <w:rsid w:val="000A5030"/>
    <w:rsid w:val="000A53AE"/>
    <w:rsid w:val="000B03D9"/>
    <w:rsid w:val="000B15B8"/>
    <w:rsid w:val="000B551B"/>
    <w:rsid w:val="000B56D6"/>
    <w:rsid w:val="000C04E6"/>
    <w:rsid w:val="000C523E"/>
    <w:rsid w:val="000C5E0A"/>
    <w:rsid w:val="000C6DFE"/>
    <w:rsid w:val="000D0A19"/>
    <w:rsid w:val="000D1769"/>
    <w:rsid w:val="000D1A25"/>
    <w:rsid w:val="000D1AAD"/>
    <w:rsid w:val="000D5963"/>
    <w:rsid w:val="000D6523"/>
    <w:rsid w:val="000E10AE"/>
    <w:rsid w:val="000E5541"/>
    <w:rsid w:val="000E6092"/>
    <w:rsid w:val="000F0880"/>
    <w:rsid w:val="000F3064"/>
    <w:rsid w:val="000F6F37"/>
    <w:rsid w:val="000F7EB8"/>
    <w:rsid w:val="001017E3"/>
    <w:rsid w:val="00103051"/>
    <w:rsid w:val="00103E6B"/>
    <w:rsid w:val="00104539"/>
    <w:rsid w:val="00104542"/>
    <w:rsid w:val="0010613B"/>
    <w:rsid w:val="00110046"/>
    <w:rsid w:val="00116310"/>
    <w:rsid w:val="001204B2"/>
    <w:rsid w:val="001241B5"/>
    <w:rsid w:val="00130396"/>
    <w:rsid w:val="00134076"/>
    <w:rsid w:val="0013430C"/>
    <w:rsid w:val="0013700D"/>
    <w:rsid w:val="00140CBC"/>
    <w:rsid w:val="0014183E"/>
    <w:rsid w:val="00141B6A"/>
    <w:rsid w:val="001428C8"/>
    <w:rsid w:val="00146DF8"/>
    <w:rsid w:val="00150AA0"/>
    <w:rsid w:val="0015124F"/>
    <w:rsid w:val="00152A8A"/>
    <w:rsid w:val="00153E58"/>
    <w:rsid w:val="00157D1E"/>
    <w:rsid w:val="00160BE5"/>
    <w:rsid w:val="00164586"/>
    <w:rsid w:val="0016566E"/>
    <w:rsid w:val="0016576C"/>
    <w:rsid w:val="00166410"/>
    <w:rsid w:val="001679B3"/>
    <w:rsid w:val="00173477"/>
    <w:rsid w:val="001745E1"/>
    <w:rsid w:val="00177361"/>
    <w:rsid w:val="00181C6C"/>
    <w:rsid w:val="00181E3C"/>
    <w:rsid w:val="00182565"/>
    <w:rsid w:val="001825A1"/>
    <w:rsid w:val="001835B3"/>
    <w:rsid w:val="0018488B"/>
    <w:rsid w:val="00187757"/>
    <w:rsid w:val="00190220"/>
    <w:rsid w:val="001919DB"/>
    <w:rsid w:val="00192CB2"/>
    <w:rsid w:val="00194AD0"/>
    <w:rsid w:val="00194DD4"/>
    <w:rsid w:val="00195954"/>
    <w:rsid w:val="001A03EA"/>
    <w:rsid w:val="001A3609"/>
    <w:rsid w:val="001A413F"/>
    <w:rsid w:val="001A6220"/>
    <w:rsid w:val="001A6554"/>
    <w:rsid w:val="001A6663"/>
    <w:rsid w:val="001A72FC"/>
    <w:rsid w:val="001A7EDC"/>
    <w:rsid w:val="001B2107"/>
    <w:rsid w:val="001B2C39"/>
    <w:rsid w:val="001B4A56"/>
    <w:rsid w:val="001B4BA5"/>
    <w:rsid w:val="001B4CD2"/>
    <w:rsid w:val="001B65F9"/>
    <w:rsid w:val="001C1EB0"/>
    <w:rsid w:val="001C218B"/>
    <w:rsid w:val="001C26BC"/>
    <w:rsid w:val="001C3519"/>
    <w:rsid w:val="001C39AC"/>
    <w:rsid w:val="001C3AC3"/>
    <w:rsid w:val="001C5129"/>
    <w:rsid w:val="001C54E7"/>
    <w:rsid w:val="001D1B49"/>
    <w:rsid w:val="001D20DE"/>
    <w:rsid w:val="001D3B22"/>
    <w:rsid w:val="001E0784"/>
    <w:rsid w:val="001E10FD"/>
    <w:rsid w:val="001E2C6E"/>
    <w:rsid w:val="001E6B5D"/>
    <w:rsid w:val="001E7F15"/>
    <w:rsid w:val="001F048A"/>
    <w:rsid w:val="001F051E"/>
    <w:rsid w:val="001F05CE"/>
    <w:rsid w:val="001F5C24"/>
    <w:rsid w:val="001F600F"/>
    <w:rsid w:val="001F6C98"/>
    <w:rsid w:val="001F742E"/>
    <w:rsid w:val="001F7A43"/>
    <w:rsid w:val="001F7AAC"/>
    <w:rsid w:val="001F7D56"/>
    <w:rsid w:val="00201DD3"/>
    <w:rsid w:val="00202CE9"/>
    <w:rsid w:val="00203CAE"/>
    <w:rsid w:val="00203FE8"/>
    <w:rsid w:val="0020653E"/>
    <w:rsid w:val="002121D5"/>
    <w:rsid w:val="00212799"/>
    <w:rsid w:val="00213334"/>
    <w:rsid w:val="0021389A"/>
    <w:rsid w:val="0021419A"/>
    <w:rsid w:val="002202AB"/>
    <w:rsid w:val="00221138"/>
    <w:rsid w:val="00222CE6"/>
    <w:rsid w:val="00225564"/>
    <w:rsid w:val="00227BEE"/>
    <w:rsid w:val="00232F8E"/>
    <w:rsid w:val="00233B0A"/>
    <w:rsid w:val="002349A9"/>
    <w:rsid w:val="002426F7"/>
    <w:rsid w:val="00242A58"/>
    <w:rsid w:val="00243D7B"/>
    <w:rsid w:val="00244020"/>
    <w:rsid w:val="002443A9"/>
    <w:rsid w:val="0024574E"/>
    <w:rsid w:val="002460AD"/>
    <w:rsid w:val="00250D9F"/>
    <w:rsid w:val="00253DF9"/>
    <w:rsid w:val="0025496F"/>
    <w:rsid w:val="00255280"/>
    <w:rsid w:val="002558F5"/>
    <w:rsid w:val="00255DAA"/>
    <w:rsid w:val="00256783"/>
    <w:rsid w:val="00257063"/>
    <w:rsid w:val="002575B3"/>
    <w:rsid w:val="00261A92"/>
    <w:rsid w:val="0026434D"/>
    <w:rsid w:val="00264C5B"/>
    <w:rsid w:val="00266D04"/>
    <w:rsid w:val="00267A71"/>
    <w:rsid w:val="00276229"/>
    <w:rsid w:val="00277976"/>
    <w:rsid w:val="00280B45"/>
    <w:rsid w:val="0028145C"/>
    <w:rsid w:val="00282B96"/>
    <w:rsid w:val="002929D0"/>
    <w:rsid w:val="00294F83"/>
    <w:rsid w:val="002A05EE"/>
    <w:rsid w:val="002A1143"/>
    <w:rsid w:val="002A2F51"/>
    <w:rsid w:val="002A35C3"/>
    <w:rsid w:val="002A3A86"/>
    <w:rsid w:val="002A5BD6"/>
    <w:rsid w:val="002A5F60"/>
    <w:rsid w:val="002A7A15"/>
    <w:rsid w:val="002B1389"/>
    <w:rsid w:val="002B1D64"/>
    <w:rsid w:val="002B26C3"/>
    <w:rsid w:val="002B339C"/>
    <w:rsid w:val="002B52AA"/>
    <w:rsid w:val="002B7855"/>
    <w:rsid w:val="002C3A51"/>
    <w:rsid w:val="002C6BBF"/>
    <w:rsid w:val="002C7D80"/>
    <w:rsid w:val="002D1FBA"/>
    <w:rsid w:val="002D2324"/>
    <w:rsid w:val="002D3001"/>
    <w:rsid w:val="002D40DB"/>
    <w:rsid w:val="002D4F3A"/>
    <w:rsid w:val="002D72D8"/>
    <w:rsid w:val="002E1060"/>
    <w:rsid w:val="002E25BD"/>
    <w:rsid w:val="002E25EF"/>
    <w:rsid w:val="002E4129"/>
    <w:rsid w:val="002E7516"/>
    <w:rsid w:val="002E7D0D"/>
    <w:rsid w:val="002E7D1B"/>
    <w:rsid w:val="002E7D4B"/>
    <w:rsid w:val="002F0009"/>
    <w:rsid w:val="002F1D9B"/>
    <w:rsid w:val="002F3B6B"/>
    <w:rsid w:val="002F463D"/>
    <w:rsid w:val="002F68A7"/>
    <w:rsid w:val="0030309F"/>
    <w:rsid w:val="00303D9F"/>
    <w:rsid w:val="00304624"/>
    <w:rsid w:val="00304CD3"/>
    <w:rsid w:val="003123E8"/>
    <w:rsid w:val="003139DC"/>
    <w:rsid w:val="003150BB"/>
    <w:rsid w:val="00315A7E"/>
    <w:rsid w:val="00316276"/>
    <w:rsid w:val="0032007C"/>
    <w:rsid w:val="0032066B"/>
    <w:rsid w:val="003231E9"/>
    <w:rsid w:val="003260EE"/>
    <w:rsid w:val="003278BF"/>
    <w:rsid w:val="0033042B"/>
    <w:rsid w:val="00331122"/>
    <w:rsid w:val="0033127D"/>
    <w:rsid w:val="0033188A"/>
    <w:rsid w:val="003356C0"/>
    <w:rsid w:val="00335F7F"/>
    <w:rsid w:val="00336792"/>
    <w:rsid w:val="003371F9"/>
    <w:rsid w:val="0034374C"/>
    <w:rsid w:val="003460A1"/>
    <w:rsid w:val="00346A0D"/>
    <w:rsid w:val="003513F9"/>
    <w:rsid w:val="003529BD"/>
    <w:rsid w:val="00353649"/>
    <w:rsid w:val="003553FB"/>
    <w:rsid w:val="003562FA"/>
    <w:rsid w:val="003566ED"/>
    <w:rsid w:val="00361B88"/>
    <w:rsid w:val="00364509"/>
    <w:rsid w:val="0036552F"/>
    <w:rsid w:val="00366F61"/>
    <w:rsid w:val="00372296"/>
    <w:rsid w:val="00372FC4"/>
    <w:rsid w:val="00374BF8"/>
    <w:rsid w:val="0037629B"/>
    <w:rsid w:val="0037630A"/>
    <w:rsid w:val="00376A3C"/>
    <w:rsid w:val="00376F5E"/>
    <w:rsid w:val="00382C8B"/>
    <w:rsid w:val="003833B3"/>
    <w:rsid w:val="00385DEA"/>
    <w:rsid w:val="00392094"/>
    <w:rsid w:val="00393569"/>
    <w:rsid w:val="00396137"/>
    <w:rsid w:val="00396E12"/>
    <w:rsid w:val="003A209A"/>
    <w:rsid w:val="003A3832"/>
    <w:rsid w:val="003A3B5A"/>
    <w:rsid w:val="003A3C30"/>
    <w:rsid w:val="003A465D"/>
    <w:rsid w:val="003A5B51"/>
    <w:rsid w:val="003A618F"/>
    <w:rsid w:val="003A68D3"/>
    <w:rsid w:val="003A6AE0"/>
    <w:rsid w:val="003A765F"/>
    <w:rsid w:val="003A789E"/>
    <w:rsid w:val="003B021D"/>
    <w:rsid w:val="003B32CB"/>
    <w:rsid w:val="003B45ED"/>
    <w:rsid w:val="003B52B6"/>
    <w:rsid w:val="003B7313"/>
    <w:rsid w:val="003C2FAC"/>
    <w:rsid w:val="003C475C"/>
    <w:rsid w:val="003C4D11"/>
    <w:rsid w:val="003D67C9"/>
    <w:rsid w:val="003E0535"/>
    <w:rsid w:val="003E1E3B"/>
    <w:rsid w:val="003E2414"/>
    <w:rsid w:val="003E2E98"/>
    <w:rsid w:val="003E3CBC"/>
    <w:rsid w:val="003E485E"/>
    <w:rsid w:val="003E5E2E"/>
    <w:rsid w:val="003E6929"/>
    <w:rsid w:val="003E6F3B"/>
    <w:rsid w:val="003E74BB"/>
    <w:rsid w:val="003F3AC6"/>
    <w:rsid w:val="00404969"/>
    <w:rsid w:val="0040548D"/>
    <w:rsid w:val="00411C35"/>
    <w:rsid w:val="00415596"/>
    <w:rsid w:val="004166D4"/>
    <w:rsid w:val="0042153A"/>
    <w:rsid w:val="00421A5D"/>
    <w:rsid w:val="00422CF4"/>
    <w:rsid w:val="0042345C"/>
    <w:rsid w:val="004249F9"/>
    <w:rsid w:val="00424D4F"/>
    <w:rsid w:val="00424D5E"/>
    <w:rsid w:val="00425B84"/>
    <w:rsid w:val="0042690B"/>
    <w:rsid w:val="004302EE"/>
    <w:rsid w:val="00430B62"/>
    <w:rsid w:val="00430F67"/>
    <w:rsid w:val="004311AA"/>
    <w:rsid w:val="00434615"/>
    <w:rsid w:val="00435BF7"/>
    <w:rsid w:val="00436C4E"/>
    <w:rsid w:val="0043776A"/>
    <w:rsid w:val="00437E1D"/>
    <w:rsid w:val="00443C68"/>
    <w:rsid w:val="004450DE"/>
    <w:rsid w:val="00445C10"/>
    <w:rsid w:val="00445FEE"/>
    <w:rsid w:val="00446795"/>
    <w:rsid w:val="00447822"/>
    <w:rsid w:val="00450699"/>
    <w:rsid w:val="00452CC0"/>
    <w:rsid w:val="0045497D"/>
    <w:rsid w:val="004576B0"/>
    <w:rsid w:val="004576DF"/>
    <w:rsid w:val="00462639"/>
    <w:rsid w:val="004631FF"/>
    <w:rsid w:val="00467334"/>
    <w:rsid w:val="004679E9"/>
    <w:rsid w:val="00473F58"/>
    <w:rsid w:val="00474B87"/>
    <w:rsid w:val="004755C7"/>
    <w:rsid w:val="004837B1"/>
    <w:rsid w:val="004844C5"/>
    <w:rsid w:val="00486BF6"/>
    <w:rsid w:val="0049334D"/>
    <w:rsid w:val="00494D94"/>
    <w:rsid w:val="00495762"/>
    <w:rsid w:val="00497912"/>
    <w:rsid w:val="004A21EF"/>
    <w:rsid w:val="004A2808"/>
    <w:rsid w:val="004A4785"/>
    <w:rsid w:val="004A6165"/>
    <w:rsid w:val="004B03BA"/>
    <w:rsid w:val="004B3F7F"/>
    <w:rsid w:val="004B4D86"/>
    <w:rsid w:val="004B4DF1"/>
    <w:rsid w:val="004B58F8"/>
    <w:rsid w:val="004B741E"/>
    <w:rsid w:val="004C3144"/>
    <w:rsid w:val="004C32CB"/>
    <w:rsid w:val="004C48F8"/>
    <w:rsid w:val="004C5562"/>
    <w:rsid w:val="004D0C76"/>
    <w:rsid w:val="004D37F0"/>
    <w:rsid w:val="004D7FFA"/>
    <w:rsid w:val="004E072E"/>
    <w:rsid w:val="004E21E3"/>
    <w:rsid w:val="004E5ADD"/>
    <w:rsid w:val="004E7A52"/>
    <w:rsid w:val="004F1A91"/>
    <w:rsid w:val="004F25DA"/>
    <w:rsid w:val="004F3BBC"/>
    <w:rsid w:val="004F468E"/>
    <w:rsid w:val="004F6274"/>
    <w:rsid w:val="004F67D7"/>
    <w:rsid w:val="004F6F3F"/>
    <w:rsid w:val="004F765C"/>
    <w:rsid w:val="004F76D2"/>
    <w:rsid w:val="00503B5F"/>
    <w:rsid w:val="0050406C"/>
    <w:rsid w:val="00506CDB"/>
    <w:rsid w:val="00511D6C"/>
    <w:rsid w:val="00514120"/>
    <w:rsid w:val="00517237"/>
    <w:rsid w:val="00517E1D"/>
    <w:rsid w:val="00517E48"/>
    <w:rsid w:val="00520564"/>
    <w:rsid w:val="0052070B"/>
    <w:rsid w:val="00521B7D"/>
    <w:rsid w:val="0052253C"/>
    <w:rsid w:val="00522C20"/>
    <w:rsid w:val="00522E19"/>
    <w:rsid w:val="0052348E"/>
    <w:rsid w:val="00523D41"/>
    <w:rsid w:val="005250EA"/>
    <w:rsid w:val="0052516B"/>
    <w:rsid w:val="00525AE5"/>
    <w:rsid w:val="005275DB"/>
    <w:rsid w:val="0052781F"/>
    <w:rsid w:val="005315B1"/>
    <w:rsid w:val="00532F9E"/>
    <w:rsid w:val="00535200"/>
    <w:rsid w:val="00536C94"/>
    <w:rsid w:val="00537AD5"/>
    <w:rsid w:val="00540A5A"/>
    <w:rsid w:val="00541674"/>
    <w:rsid w:val="0054249C"/>
    <w:rsid w:val="00542607"/>
    <w:rsid w:val="00543D65"/>
    <w:rsid w:val="005508DB"/>
    <w:rsid w:val="00550FD2"/>
    <w:rsid w:val="00553EA1"/>
    <w:rsid w:val="0055588A"/>
    <w:rsid w:val="00556D73"/>
    <w:rsid w:val="0055771C"/>
    <w:rsid w:val="00560044"/>
    <w:rsid w:val="00561905"/>
    <w:rsid w:val="00561E95"/>
    <w:rsid w:val="00562C05"/>
    <w:rsid w:val="00564624"/>
    <w:rsid w:val="005650F0"/>
    <w:rsid w:val="00567C4D"/>
    <w:rsid w:val="0057056E"/>
    <w:rsid w:val="005730D1"/>
    <w:rsid w:val="0057386B"/>
    <w:rsid w:val="005743AA"/>
    <w:rsid w:val="00574F6C"/>
    <w:rsid w:val="00575F3E"/>
    <w:rsid w:val="0057737A"/>
    <w:rsid w:val="005773CE"/>
    <w:rsid w:val="00582647"/>
    <w:rsid w:val="00583E01"/>
    <w:rsid w:val="0058547F"/>
    <w:rsid w:val="00586581"/>
    <w:rsid w:val="00590BE1"/>
    <w:rsid w:val="00593766"/>
    <w:rsid w:val="005A0A59"/>
    <w:rsid w:val="005A2020"/>
    <w:rsid w:val="005A3A19"/>
    <w:rsid w:val="005A3A87"/>
    <w:rsid w:val="005A3B17"/>
    <w:rsid w:val="005A45AA"/>
    <w:rsid w:val="005A7BEC"/>
    <w:rsid w:val="005B1EB7"/>
    <w:rsid w:val="005B3E96"/>
    <w:rsid w:val="005B5C37"/>
    <w:rsid w:val="005B69F7"/>
    <w:rsid w:val="005C2A24"/>
    <w:rsid w:val="005C401C"/>
    <w:rsid w:val="005C5A52"/>
    <w:rsid w:val="005C6EAB"/>
    <w:rsid w:val="005D268B"/>
    <w:rsid w:val="005D2765"/>
    <w:rsid w:val="005D2A08"/>
    <w:rsid w:val="005D2B3F"/>
    <w:rsid w:val="005D3E11"/>
    <w:rsid w:val="005D7478"/>
    <w:rsid w:val="005D7788"/>
    <w:rsid w:val="005E1352"/>
    <w:rsid w:val="005E19DF"/>
    <w:rsid w:val="005E1BD9"/>
    <w:rsid w:val="005E1EDB"/>
    <w:rsid w:val="005F074B"/>
    <w:rsid w:val="005F1C54"/>
    <w:rsid w:val="005F2C5D"/>
    <w:rsid w:val="005F4BA0"/>
    <w:rsid w:val="005F4DA3"/>
    <w:rsid w:val="00600E9B"/>
    <w:rsid w:val="00602A0B"/>
    <w:rsid w:val="006037D4"/>
    <w:rsid w:val="0060444E"/>
    <w:rsid w:val="0060583E"/>
    <w:rsid w:val="00611C7C"/>
    <w:rsid w:val="00612516"/>
    <w:rsid w:val="006143E6"/>
    <w:rsid w:val="00617AF4"/>
    <w:rsid w:val="00623A19"/>
    <w:rsid w:val="00623DC0"/>
    <w:rsid w:val="0062435E"/>
    <w:rsid w:val="006260A5"/>
    <w:rsid w:val="00626A33"/>
    <w:rsid w:val="00626E13"/>
    <w:rsid w:val="00627A1B"/>
    <w:rsid w:val="0063112D"/>
    <w:rsid w:val="0063461A"/>
    <w:rsid w:val="00636C78"/>
    <w:rsid w:val="0063719B"/>
    <w:rsid w:val="00641056"/>
    <w:rsid w:val="00644290"/>
    <w:rsid w:val="00646218"/>
    <w:rsid w:val="00647308"/>
    <w:rsid w:val="0064737D"/>
    <w:rsid w:val="00650F20"/>
    <w:rsid w:val="00651AF5"/>
    <w:rsid w:val="00654317"/>
    <w:rsid w:val="006544C4"/>
    <w:rsid w:val="00655281"/>
    <w:rsid w:val="006561A8"/>
    <w:rsid w:val="006579F5"/>
    <w:rsid w:val="00657E76"/>
    <w:rsid w:val="006617EB"/>
    <w:rsid w:val="00663EAF"/>
    <w:rsid w:val="00663EEB"/>
    <w:rsid w:val="00673668"/>
    <w:rsid w:val="00674726"/>
    <w:rsid w:val="00676070"/>
    <w:rsid w:val="00676649"/>
    <w:rsid w:val="00681C46"/>
    <w:rsid w:val="0068206D"/>
    <w:rsid w:val="00685B80"/>
    <w:rsid w:val="0068708C"/>
    <w:rsid w:val="00687D73"/>
    <w:rsid w:val="006912FE"/>
    <w:rsid w:val="00693227"/>
    <w:rsid w:val="006956F2"/>
    <w:rsid w:val="0069600A"/>
    <w:rsid w:val="006A0299"/>
    <w:rsid w:val="006A10AF"/>
    <w:rsid w:val="006A11B8"/>
    <w:rsid w:val="006A40AC"/>
    <w:rsid w:val="006A4115"/>
    <w:rsid w:val="006A455E"/>
    <w:rsid w:val="006A558C"/>
    <w:rsid w:val="006A5D98"/>
    <w:rsid w:val="006A65FB"/>
    <w:rsid w:val="006B0B9A"/>
    <w:rsid w:val="006B1B53"/>
    <w:rsid w:val="006B484A"/>
    <w:rsid w:val="006B4D7B"/>
    <w:rsid w:val="006B6954"/>
    <w:rsid w:val="006C1A91"/>
    <w:rsid w:val="006C79E0"/>
    <w:rsid w:val="006C7C8C"/>
    <w:rsid w:val="006D2F5B"/>
    <w:rsid w:val="006D6113"/>
    <w:rsid w:val="006D65E8"/>
    <w:rsid w:val="006E136B"/>
    <w:rsid w:val="006E1608"/>
    <w:rsid w:val="006E181E"/>
    <w:rsid w:val="006E2C9C"/>
    <w:rsid w:val="006E4750"/>
    <w:rsid w:val="006E517E"/>
    <w:rsid w:val="006E7E92"/>
    <w:rsid w:val="006F190E"/>
    <w:rsid w:val="006F7CC9"/>
    <w:rsid w:val="00703200"/>
    <w:rsid w:val="00703F62"/>
    <w:rsid w:val="007053E0"/>
    <w:rsid w:val="00706820"/>
    <w:rsid w:val="0071006D"/>
    <w:rsid w:val="0071020D"/>
    <w:rsid w:val="00710AEF"/>
    <w:rsid w:val="0071162E"/>
    <w:rsid w:val="00712124"/>
    <w:rsid w:val="00715990"/>
    <w:rsid w:val="00716805"/>
    <w:rsid w:val="007203DB"/>
    <w:rsid w:val="00720F55"/>
    <w:rsid w:val="007225FE"/>
    <w:rsid w:val="007240E7"/>
    <w:rsid w:val="007303D9"/>
    <w:rsid w:val="00731BD4"/>
    <w:rsid w:val="007334FA"/>
    <w:rsid w:val="00733F2C"/>
    <w:rsid w:val="00735898"/>
    <w:rsid w:val="007375A0"/>
    <w:rsid w:val="00741BCB"/>
    <w:rsid w:val="00742591"/>
    <w:rsid w:val="00743037"/>
    <w:rsid w:val="00744CD5"/>
    <w:rsid w:val="007463D6"/>
    <w:rsid w:val="00747935"/>
    <w:rsid w:val="00756E7C"/>
    <w:rsid w:val="00757E7A"/>
    <w:rsid w:val="00763D5B"/>
    <w:rsid w:val="007676BB"/>
    <w:rsid w:val="00774667"/>
    <w:rsid w:val="007806DE"/>
    <w:rsid w:val="00781020"/>
    <w:rsid w:val="0078271B"/>
    <w:rsid w:val="00782BB1"/>
    <w:rsid w:val="00783315"/>
    <w:rsid w:val="00783DBD"/>
    <w:rsid w:val="00786420"/>
    <w:rsid w:val="007865D2"/>
    <w:rsid w:val="007878CA"/>
    <w:rsid w:val="00787C54"/>
    <w:rsid w:val="00792E64"/>
    <w:rsid w:val="00792FEA"/>
    <w:rsid w:val="00795AED"/>
    <w:rsid w:val="00797ECE"/>
    <w:rsid w:val="007A14E4"/>
    <w:rsid w:val="007A4628"/>
    <w:rsid w:val="007A51F7"/>
    <w:rsid w:val="007A5CEE"/>
    <w:rsid w:val="007A6290"/>
    <w:rsid w:val="007A6AD4"/>
    <w:rsid w:val="007B1B7B"/>
    <w:rsid w:val="007B20FF"/>
    <w:rsid w:val="007B332B"/>
    <w:rsid w:val="007B50E9"/>
    <w:rsid w:val="007B66A3"/>
    <w:rsid w:val="007B72DD"/>
    <w:rsid w:val="007B7524"/>
    <w:rsid w:val="007C0547"/>
    <w:rsid w:val="007C4155"/>
    <w:rsid w:val="007C5214"/>
    <w:rsid w:val="007C581B"/>
    <w:rsid w:val="007D1874"/>
    <w:rsid w:val="007D2AEF"/>
    <w:rsid w:val="007D6052"/>
    <w:rsid w:val="007D6978"/>
    <w:rsid w:val="007D6B64"/>
    <w:rsid w:val="007E0EA9"/>
    <w:rsid w:val="007E37E3"/>
    <w:rsid w:val="007E4017"/>
    <w:rsid w:val="007F0845"/>
    <w:rsid w:val="007F278D"/>
    <w:rsid w:val="007F397A"/>
    <w:rsid w:val="007F6BFD"/>
    <w:rsid w:val="0080153C"/>
    <w:rsid w:val="00810728"/>
    <w:rsid w:val="008108FD"/>
    <w:rsid w:val="00811576"/>
    <w:rsid w:val="00811C0C"/>
    <w:rsid w:val="0081403E"/>
    <w:rsid w:val="00817876"/>
    <w:rsid w:val="0082575B"/>
    <w:rsid w:val="00826694"/>
    <w:rsid w:val="00826BD6"/>
    <w:rsid w:val="008301E4"/>
    <w:rsid w:val="00837A4A"/>
    <w:rsid w:val="00844FDE"/>
    <w:rsid w:val="00845D49"/>
    <w:rsid w:val="008465AA"/>
    <w:rsid w:val="00852204"/>
    <w:rsid w:val="0085348A"/>
    <w:rsid w:val="00854B68"/>
    <w:rsid w:val="00857C18"/>
    <w:rsid w:val="0086040A"/>
    <w:rsid w:val="00860957"/>
    <w:rsid w:val="00861D2A"/>
    <w:rsid w:val="00863FDB"/>
    <w:rsid w:val="00865747"/>
    <w:rsid w:val="00866D9D"/>
    <w:rsid w:val="008703C1"/>
    <w:rsid w:val="00874B06"/>
    <w:rsid w:val="00874CB4"/>
    <w:rsid w:val="008777B5"/>
    <w:rsid w:val="00882628"/>
    <w:rsid w:val="008830CA"/>
    <w:rsid w:val="0088660D"/>
    <w:rsid w:val="008915AC"/>
    <w:rsid w:val="00892E20"/>
    <w:rsid w:val="008951D5"/>
    <w:rsid w:val="00896CF7"/>
    <w:rsid w:val="00897824"/>
    <w:rsid w:val="008A073C"/>
    <w:rsid w:val="008A447F"/>
    <w:rsid w:val="008A7956"/>
    <w:rsid w:val="008B0206"/>
    <w:rsid w:val="008B1300"/>
    <w:rsid w:val="008B3E0F"/>
    <w:rsid w:val="008B4487"/>
    <w:rsid w:val="008B6E8A"/>
    <w:rsid w:val="008B739D"/>
    <w:rsid w:val="008C052B"/>
    <w:rsid w:val="008C0563"/>
    <w:rsid w:val="008C465B"/>
    <w:rsid w:val="008D01F4"/>
    <w:rsid w:val="008D05C5"/>
    <w:rsid w:val="008D52D3"/>
    <w:rsid w:val="008D61DF"/>
    <w:rsid w:val="008D633C"/>
    <w:rsid w:val="008D792B"/>
    <w:rsid w:val="008F129E"/>
    <w:rsid w:val="008F2499"/>
    <w:rsid w:val="008F2D75"/>
    <w:rsid w:val="008F418E"/>
    <w:rsid w:val="008F708B"/>
    <w:rsid w:val="008F77F3"/>
    <w:rsid w:val="009042EB"/>
    <w:rsid w:val="00905E41"/>
    <w:rsid w:val="009073BC"/>
    <w:rsid w:val="0090761E"/>
    <w:rsid w:val="0091258A"/>
    <w:rsid w:val="009138BE"/>
    <w:rsid w:val="00914396"/>
    <w:rsid w:val="00914EB4"/>
    <w:rsid w:val="0092105E"/>
    <w:rsid w:val="00921D35"/>
    <w:rsid w:val="009222FA"/>
    <w:rsid w:val="00923891"/>
    <w:rsid w:val="00923F35"/>
    <w:rsid w:val="0092464E"/>
    <w:rsid w:val="009248D9"/>
    <w:rsid w:val="00926111"/>
    <w:rsid w:val="009268E5"/>
    <w:rsid w:val="00927619"/>
    <w:rsid w:val="009304CE"/>
    <w:rsid w:val="009332C2"/>
    <w:rsid w:val="0093599D"/>
    <w:rsid w:val="00936377"/>
    <w:rsid w:val="00936425"/>
    <w:rsid w:val="00937235"/>
    <w:rsid w:val="00937AEC"/>
    <w:rsid w:val="009401C9"/>
    <w:rsid w:val="00940D63"/>
    <w:rsid w:val="00940E66"/>
    <w:rsid w:val="009410B1"/>
    <w:rsid w:val="0094206D"/>
    <w:rsid w:val="00944809"/>
    <w:rsid w:val="00945073"/>
    <w:rsid w:val="009466B7"/>
    <w:rsid w:val="00946D85"/>
    <w:rsid w:val="0095143C"/>
    <w:rsid w:val="00953AFB"/>
    <w:rsid w:val="0095450A"/>
    <w:rsid w:val="009563AE"/>
    <w:rsid w:val="00957066"/>
    <w:rsid w:val="00960EA9"/>
    <w:rsid w:val="00962709"/>
    <w:rsid w:val="0096352E"/>
    <w:rsid w:val="0096473A"/>
    <w:rsid w:val="00965E38"/>
    <w:rsid w:val="00970874"/>
    <w:rsid w:val="00971414"/>
    <w:rsid w:val="00973DCE"/>
    <w:rsid w:val="00974546"/>
    <w:rsid w:val="00974B3B"/>
    <w:rsid w:val="009844AF"/>
    <w:rsid w:val="00984C08"/>
    <w:rsid w:val="00985684"/>
    <w:rsid w:val="00990E3F"/>
    <w:rsid w:val="0099275B"/>
    <w:rsid w:val="0099677F"/>
    <w:rsid w:val="00996976"/>
    <w:rsid w:val="0099736D"/>
    <w:rsid w:val="009977F0"/>
    <w:rsid w:val="009A0813"/>
    <w:rsid w:val="009A2FF9"/>
    <w:rsid w:val="009A335E"/>
    <w:rsid w:val="009A3BAB"/>
    <w:rsid w:val="009A49E5"/>
    <w:rsid w:val="009A4B03"/>
    <w:rsid w:val="009A5DAD"/>
    <w:rsid w:val="009A7D0C"/>
    <w:rsid w:val="009B0BA5"/>
    <w:rsid w:val="009B149B"/>
    <w:rsid w:val="009B1933"/>
    <w:rsid w:val="009B2291"/>
    <w:rsid w:val="009B249D"/>
    <w:rsid w:val="009B31A1"/>
    <w:rsid w:val="009B4FDC"/>
    <w:rsid w:val="009B5299"/>
    <w:rsid w:val="009B738D"/>
    <w:rsid w:val="009B7F55"/>
    <w:rsid w:val="009C06C5"/>
    <w:rsid w:val="009C0F7A"/>
    <w:rsid w:val="009C6741"/>
    <w:rsid w:val="009C6F7C"/>
    <w:rsid w:val="009D06F8"/>
    <w:rsid w:val="009D56CE"/>
    <w:rsid w:val="009D605D"/>
    <w:rsid w:val="009D754A"/>
    <w:rsid w:val="009E1260"/>
    <w:rsid w:val="009E1CB2"/>
    <w:rsid w:val="009E2831"/>
    <w:rsid w:val="009E2DCA"/>
    <w:rsid w:val="009E51FA"/>
    <w:rsid w:val="009E617D"/>
    <w:rsid w:val="009E68EE"/>
    <w:rsid w:val="009E70FA"/>
    <w:rsid w:val="009E7D8E"/>
    <w:rsid w:val="009E7DC7"/>
    <w:rsid w:val="009F07B6"/>
    <w:rsid w:val="009F3464"/>
    <w:rsid w:val="009F5A9E"/>
    <w:rsid w:val="009F6B91"/>
    <w:rsid w:val="00A079E3"/>
    <w:rsid w:val="00A10B90"/>
    <w:rsid w:val="00A11BBD"/>
    <w:rsid w:val="00A13E2C"/>
    <w:rsid w:val="00A15922"/>
    <w:rsid w:val="00A240B2"/>
    <w:rsid w:val="00A24C5E"/>
    <w:rsid w:val="00A25792"/>
    <w:rsid w:val="00A3015B"/>
    <w:rsid w:val="00A30B50"/>
    <w:rsid w:val="00A32403"/>
    <w:rsid w:val="00A34093"/>
    <w:rsid w:val="00A35F7D"/>
    <w:rsid w:val="00A4154E"/>
    <w:rsid w:val="00A43CE0"/>
    <w:rsid w:val="00A44712"/>
    <w:rsid w:val="00A457AE"/>
    <w:rsid w:val="00A46892"/>
    <w:rsid w:val="00A46D3D"/>
    <w:rsid w:val="00A46D4E"/>
    <w:rsid w:val="00A479BC"/>
    <w:rsid w:val="00A5124F"/>
    <w:rsid w:val="00A51302"/>
    <w:rsid w:val="00A51817"/>
    <w:rsid w:val="00A5699B"/>
    <w:rsid w:val="00A56FB9"/>
    <w:rsid w:val="00A60031"/>
    <w:rsid w:val="00A60311"/>
    <w:rsid w:val="00A60371"/>
    <w:rsid w:val="00A603EF"/>
    <w:rsid w:val="00A62474"/>
    <w:rsid w:val="00A62531"/>
    <w:rsid w:val="00A6253A"/>
    <w:rsid w:val="00A6417B"/>
    <w:rsid w:val="00A6569C"/>
    <w:rsid w:val="00A7035D"/>
    <w:rsid w:val="00A71450"/>
    <w:rsid w:val="00A7206B"/>
    <w:rsid w:val="00A72F59"/>
    <w:rsid w:val="00A73D6E"/>
    <w:rsid w:val="00A743C1"/>
    <w:rsid w:val="00A74655"/>
    <w:rsid w:val="00A74815"/>
    <w:rsid w:val="00A74FA2"/>
    <w:rsid w:val="00A75F60"/>
    <w:rsid w:val="00A77036"/>
    <w:rsid w:val="00A77B0E"/>
    <w:rsid w:val="00A80C85"/>
    <w:rsid w:val="00A82EA8"/>
    <w:rsid w:val="00A86B12"/>
    <w:rsid w:val="00A902FA"/>
    <w:rsid w:val="00A9260D"/>
    <w:rsid w:val="00A94414"/>
    <w:rsid w:val="00A949FC"/>
    <w:rsid w:val="00AA4698"/>
    <w:rsid w:val="00AA6453"/>
    <w:rsid w:val="00AB0760"/>
    <w:rsid w:val="00AB0FDE"/>
    <w:rsid w:val="00AB16BB"/>
    <w:rsid w:val="00AB4F9A"/>
    <w:rsid w:val="00AB59CB"/>
    <w:rsid w:val="00AC03E1"/>
    <w:rsid w:val="00AC05E2"/>
    <w:rsid w:val="00AC4408"/>
    <w:rsid w:val="00AC4EA0"/>
    <w:rsid w:val="00AC5E88"/>
    <w:rsid w:val="00AC6CDD"/>
    <w:rsid w:val="00AC79C2"/>
    <w:rsid w:val="00AD0F51"/>
    <w:rsid w:val="00AD13E8"/>
    <w:rsid w:val="00AD1705"/>
    <w:rsid w:val="00AD2151"/>
    <w:rsid w:val="00AD2559"/>
    <w:rsid w:val="00AD5E1A"/>
    <w:rsid w:val="00AD5EBF"/>
    <w:rsid w:val="00AE042F"/>
    <w:rsid w:val="00AE31E0"/>
    <w:rsid w:val="00AE42AE"/>
    <w:rsid w:val="00AE43EE"/>
    <w:rsid w:val="00AE7650"/>
    <w:rsid w:val="00AF0917"/>
    <w:rsid w:val="00AF2DC5"/>
    <w:rsid w:val="00AF3673"/>
    <w:rsid w:val="00AF5555"/>
    <w:rsid w:val="00AF621B"/>
    <w:rsid w:val="00AF75BA"/>
    <w:rsid w:val="00AF7EB7"/>
    <w:rsid w:val="00B0091C"/>
    <w:rsid w:val="00B00F75"/>
    <w:rsid w:val="00B064C8"/>
    <w:rsid w:val="00B072D5"/>
    <w:rsid w:val="00B1070E"/>
    <w:rsid w:val="00B10CD5"/>
    <w:rsid w:val="00B11977"/>
    <w:rsid w:val="00B14401"/>
    <w:rsid w:val="00B155B8"/>
    <w:rsid w:val="00B20356"/>
    <w:rsid w:val="00B25F2B"/>
    <w:rsid w:val="00B26C57"/>
    <w:rsid w:val="00B26F05"/>
    <w:rsid w:val="00B27C4D"/>
    <w:rsid w:val="00B31093"/>
    <w:rsid w:val="00B340A9"/>
    <w:rsid w:val="00B349B5"/>
    <w:rsid w:val="00B34E59"/>
    <w:rsid w:val="00B34EE0"/>
    <w:rsid w:val="00B35A5B"/>
    <w:rsid w:val="00B36D2A"/>
    <w:rsid w:val="00B40DB7"/>
    <w:rsid w:val="00B417D4"/>
    <w:rsid w:val="00B41D90"/>
    <w:rsid w:val="00B472EA"/>
    <w:rsid w:val="00B50C5A"/>
    <w:rsid w:val="00B517E3"/>
    <w:rsid w:val="00B527CD"/>
    <w:rsid w:val="00B57F86"/>
    <w:rsid w:val="00B60605"/>
    <w:rsid w:val="00B60A6C"/>
    <w:rsid w:val="00B61265"/>
    <w:rsid w:val="00B62B13"/>
    <w:rsid w:val="00B63C15"/>
    <w:rsid w:val="00B67221"/>
    <w:rsid w:val="00B67C50"/>
    <w:rsid w:val="00B7129C"/>
    <w:rsid w:val="00B72AE5"/>
    <w:rsid w:val="00B73711"/>
    <w:rsid w:val="00B73EAA"/>
    <w:rsid w:val="00B824B0"/>
    <w:rsid w:val="00B8335C"/>
    <w:rsid w:val="00B8695E"/>
    <w:rsid w:val="00B915C4"/>
    <w:rsid w:val="00B92B29"/>
    <w:rsid w:val="00B943AA"/>
    <w:rsid w:val="00B94BA0"/>
    <w:rsid w:val="00B97711"/>
    <w:rsid w:val="00BA6D72"/>
    <w:rsid w:val="00BB0681"/>
    <w:rsid w:val="00BB140C"/>
    <w:rsid w:val="00BB1DB3"/>
    <w:rsid w:val="00BB3BD7"/>
    <w:rsid w:val="00BB3CAB"/>
    <w:rsid w:val="00BB41AB"/>
    <w:rsid w:val="00BC0E0B"/>
    <w:rsid w:val="00BC3C2F"/>
    <w:rsid w:val="00BC4CF7"/>
    <w:rsid w:val="00BC6EDC"/>
    <w:rsid w:val="00BC7566"/>
    <w:rsid w:val="00BC7E8E"/>
    <w:rsid w:val="00BD0331"/>
    <w:rsid w:val="00BD097D"/>
    <w:rsid w:val="00BD23A7"/>
    <w:rsid w:val="00BD4644"/>
    <w:rsid w:val="00BD4BDC"/>
    <w:rsid w:val="00BD5457"/>
    <w:rsid w:val="00BD62ED"/>
    <w:rsid w:val="00BD6334"/>
    <w:rsid w:val="00BD6B2E"/>
    <w:rsid w:val="00BD74F9"/>
    <w:rsid w:val="00BE01B4"/>
    <w:rsid w:val="00BE2ABA"/>
    <w:rsid w:val="00BE5056"/>
    <w:rsid w:val="00BE6AF1"/>
    <w:rsid w:val="00BE7A05"/>
    <w:rsid w:val="00BF2174"/>
    <w:rsid w:val="00BF27AD"/>
    <w:rsid w:val="00BF3142"/>
    <w:rsid w:val="00C006B6"/>
    <w:rsid w:val="00C00904"/>
    <w:rsid w:val="00C02136"/>
    <w:rsid w:val="00C03167"/>
    <w:rsid w:val="00C037AA"/>
    <w:rsid w:val="00C06D62"/>
    <w:rsid w:val="00C104B3"/>
    <w:rsid w:val="00C10D1A"/>
    <w:rsid w:val="00C15C09"/>
    <w:rsid w:val="00C1719B"/>
    <w:rsid w:val="00C20919"/>
    <w:rsid w:val="00C212B9"/>
    <w:rsid w:val="00C2237D"/>
    <w:rsid w:val="00C233DD"/>
    <w:rsid w:val="00C25F60"/>
    <w:rsid w:val="00C26853"/>
    <w:rsid w:val="00C26A54"/>
    <w:rsid w:val="00C26D5B"/>
    <w:rsid w:val="00C2759C"/>
    <w:rsid w:val="00C30E2F"/>
    <w:rsid w:val="00C32103"/>
    <w:rsid w:val="00C342B0"/>
    <w:rsid w:val="00C35424"/>
    <w:rsid w:val="00C455C2"/>
    <w:rsid w:val="00C45AD7"/>
    <w:rsid w:val="00C46212"/>
    <w:rsid w:val="00C473A4"/>
    <w:rsid w:val="00C50D03"/>
    <w:rsid w:val="00C5228F"/>
    <w:rsid w:val="00C52D3C"/>
    <w:rsid w:val="00C54F52"/>
    <w:rsid w:val="00C56A9C"/>
    <w:rsid w:val="00C601D8"/>
    <w:rsid w:val="00C609B6"/>
    <w:rsid w:val="00C62179"/>
    <w:rsid w:val="00C6280F"/>
    <w:rsid w:val="00C635A0"/>
    <w:rsid w:val="00C63B02"/>
    <w:rsid w:val="00C646D7"/>
    <w:rsid w:val="00C657F2"/>
    <w:rsid w:val="00C65922"/>
    <w:rsid w:val="00C661DA"/>
    <w:rsid w:val="00C738A7"/>
    <w:rsid w:val="00C744FA"/>
    <w:rsid w:val="00C76135"/>
    <w:rsid w:val="00C8099A"/>
    <w:rsid w:val="00C866DA"/>
    <w:rsid w:val="00C8736B"/>
    <w:rsid w:val="00C879CA"/>
    <w:rsid w:val="00C87D84"/>
    <w:rsid w:val="00C90266"/>
    <w:rsid w:val="00C90819"/>
    <w:rsid w:val="00C918E1"/>
    <w:rsid w:val="00C926B6"/>
    <w:rsid w:val="00C92B96"/>
    <w:rsid w:val="00C967BA"/>
    <w:rsid w:val="00C97290"/>
    <w:rsid w:val="00CA1292"/>
    <w:rsid w:val="00CA3258"/>
    <w:rsid w:val="00CA4230"/>
    <w:rsid w:val="00CA4493"/>
    <w:rsid w:val="00CA5DE9"/>
    <w:rsid w:val="00CA7A14"/>
    <w:rsid w:val="00CB121E"/>
    <w:rsid w:val="00CB1620"/>
    <w:rsid w:val="00CB30C6"/>
    <w:rsid w:val="00CB7379"/>
    <w:rsid w:val="00CB764C"/>
    <w:rsid w:val="00CC197E"/>
    <w:rsid w:val="00CC1D22"/>
    <w:rsid w:val="00CC42B2"/>
    <w:rsid w:val="00CC4991"/>
    <w:rsid w:val="00CC675A"/>
    <w:rsid w:val="00CC7610"/>
    <w:rsid w:val="00CD0A12"/>
    <w:rsid w:val="00CD5078"/>
    <w:rsid w:val="00CD6485"/>
    <w:rsid w:val="00CE0482"/>
    <w:rsid w:val="00CE12A9"/>
    <w:rsid w:val="00CE4548"/>
    <w:rsid w:val="00CE48A9"/>
    <w:rsid w:val="00CE56A9"/>
    <w:rsid w:val="00CF16FD"/>
    <w:rsid w:val="00CF1C7B"/>
    <w:rsid w:val="00CF226D"/>
    <w:rsid w:val="00CF24FA"/>
    <w:rsid w:val="00CF32B4"/>
    <w:rsid w:val="00CF344E"/>
    <w:rsid w:val="00CF459D"/>
    <w:rsid w:val="00CF5627"/>
    <w:rsid w:val="00D0091C"/>
    <w:rsid w:val="00D02958"/>
    <w:rsid w:val="00D04472"/>
    <w:rsid w:val="00D04E79"/>
    <w:rsid w:val="00D06B74"/>
    <w:rsid w:val="00D06DDA"/>
    <w:rsid w:val="00D10389"/>
    <w:rsid w:val="00D10800"/>
    <w:rsid w:val="00D11519"/>
    <w:rsid w:val="00D1424A"/>
    <w:rsid w:val="00D14D77"/>
    <w:rsid w:val="00D152FB"/>
    <w:rsid w:val="00D163BC"/>
    <w:rsid w:val="00D17558"/>
    <w:rsid w:val="00D21D1F"/>
    <w:rsid w:val="00D2516B"/>
    <w:rsid w:val="00D259F5"/>
    <w:rsid w:val="00D2604C"/>
    <w:rsid w:val="00D30206"/>
    <w:rsid w:val="00D30D7E"/>
    <w:rsid w:val="00D31B49"/>
    <w:rsid w:val="00D33797"/>
    <w:rsid w:val="00D41A99"/>
    <w:rsid w:val="00D41CC9"/>
    <w:rsid w:val="00D450FA"/>
    <w:rsid w:val="00D45BDE"/>
    <w:rsid w:val="00D47F3E"/>
    <w:rsid w:val="00D61650"/>
    <w:rsid w:val="00D61AE4"/>
    <w:rsid w:val="00D637B6"/>
    <w:rsid w:val="00D664C4"/>
    <w:rsid w:val="00D67E00"/>
    <w:rsid w:val="00D7021E"/>
    <w:rsid w:val="00D738B7"/>
    <w:rsid w:val="00D740FD"/>
    <w:rsid w:val="00D7472F"/>
    <w:rsid w:val="00D74D9C"/>
    <w:rsid w:val="00D74F7B"/>
    <w:rsid w:val="00D800B7"/>
    <w:rsid w:val="00D82AED"/>
    <w:rsid w:val="00D83B91"/>
    <w:rsid w:val="00D84988"/>
    <w:rsid w:val="00D8498B"/>
    <w:rsid w:val="00D87CEF"/>
    <w:rsid w:val="00D92B77"/>
    <w:rsid w:val="00D93DB2"/>
    <w:rsid w:val="00D960DE"/>
    <w:rsid w:val="00D96370"/>
    <w:rsid w:val="00D967C1"/>
    <w:rsid w:val="00D96A14"/>
    <w:rsid w:val="00DA2BE5"/>
    <w:rsid w:val="00DA4C97"/>
    <w:rsid w:val="00DA5040"/>
    <w:rsid w:val="00DA56F4"/>
    <w:rsid w:val="00DA5B96"/>
    <w:rsid w:val="00DB046A"/>
    <w:rsid w:val="00DB0BD1"/>
    <w:rsid w:val="00DB129C"/>
    <w:rsid w:val="00DB1995"/>
    <w:rsid w:val="00DB2DB8"/>
    <w:rsid w:val="00DB347B"/>
    <w:rsid w:val="00DB7FA5"/>
    <w:rsid w:val="00DC0367"/>
    <w:rsid w:val="00DC0F63"/>
    <w:rsid w:val="00DC169F"/>
    <w:rsid w:val="00DC172B"/>
    <w:rsid w:val="00DC25A8"/>
    <w:rsid w:val="00DC2E18"/>
    <w:rsid w:val="00DC3B4C"/>
    <w:rsid w:val="00DC3CEF"/>
    <w:rsid w:val="00DC444D"/>
    <w:rsid w:val="00DC68DD"/>
    <w:rsid w:val="00DC78EA"/>
    <w:rsid w:val="00DD11B4"/>
    <w:rsid w:val="00DD2B00"/>
    <w:rsid w:val="00DD450F"/>
    <w:rsid w:val="00DD4E8A"/>
    <w:rsid w:val="00DD57E8"/>
    <w:rsid w:val="00DD7F9D"/>
    <w:rsid w:val="00DE0E9F"/>
    <w:rsid w:val="00DE0F63"/>
    <w:rsid w:val="00DE3398"/>
    <w:rsid w:val="00DE3812"/>
    <w:rsid w:val="00DE5971"/>
    <w:rsid w:val="00DE6FC8"/>
    <w:rsid w:val="00DF167F"/>
    <w:rsid w:val="00DF3E18"/>
    <w:rsid w:val="00DF714C"/>
    <w:rsid w:val="00DF7FAE"/>
    <w:rsid w:val="00E04879"/>
    <w:rsid w:val="00E0514A"/>
    <w:rsid w:val="00E10834"/>
    <w:rsid w:val="00E11B38"/>
    <w:rsid w:val="00E1229E"/>
    <w:rsid w:val="00E1297A"/>
    <w:rsid w:val="00E12DA5"/>
    <w:rsid w:val="00E13F46"/>
    <w:rsid w:val="00E170D7"/>
    <w:rsid w:val="00E20C0E"/>
    <w:rsid w:val="00E22C27"/>
    <w:rsid w:val="00E22F00"/>
    <w:rsid w:val="00E236FB"/>
    <w:rsid w:val="00E26423"/>
    <w:rsid w:val="00E32DA8"/>
    <w:rsid w:val="00E3309D"/>
    <w:rsid w:val="00E34BD9"/>
    <w:rsid w:val="00E358FA"/>
    <w:rsid w:val="00E3620C"/>
    <w:rsid w:val="00E3682E"/>
    <w:rsid w:val="00E401AC"/>
    <w:rsid w:val="00E42239"/>
    <w:rsid w:val="00E43397"/>
    <w:rsid w:val="00E43E94"/>
    <w:rsid w:val="00E44584"/>
    <w:rsid w:val="00E47EFA"/>
    <w:rsid w:val="00E50CAA"/>
    <w:rsid w:val="00E55A97"/>
    <w:rsid w:val="00E5762E"/>
    <w:rsid w:val="00E61458"/>
    <w:rsid w:val="00E61B14"/>
    <w:rsid w:val="00E63661"/>
    <w:rsid w:val="00E63883"/>
    <w:rsid w:val="00E64118"/>
    <w:rsid w:val="00E67B0E"/>
    <w:rsid w:val="00E71431"/>
    <w:rsid w:val="00E73FE4"/>
    <w:rsid w:val="00E75AFD"/>
    <w:rsid w:val="00E763F7"/>
    <w:rsid w:val="00E76D26"/>
    <w:rsid w:val="00E77628"/>
    <w:rsid w:val="00E77F13"/>
    <w:rsid w:val="00E807A2"/>
    <w:rsid w:val="00E80A45"/>
    <w:rsid w:val="00E8310E"/>
    <w:rsid w:val="00E83CCF"/>
    <w:rsid w:val="00E91558"/>
    <w:rsid w:val="00E928D5"/>
    <w:rsid w:val="00E961AC"/>
    <w:rsid w:val="00EA0FEF"/>
    <w:rsid w:val="00EA1302"/>
    <w:rsid w:val="00EA1EAF"/>
    <w:rsid w:val="00EA3B1F"/>
    <w:rsid w:val="00EB1B0F"/>
    <w:rsid w:val="00EB27F7"/>
    <w:rsid w:val="00EB51BC"/>
    <w:rsid w:val="00EC138B"/>
    <w:rsid w:val="00EC66D8"/>
    <w:rsid w:val="00EC6A71"/>
    <w:rsid w:val="00ED27D2"/>
    <w:rsid w:val="00ED3719"/>
    <w:rsid w:val="00ED56B4"/>
    <w:rsid w:val="00ED7815"/>
    <w:rsid w:val="00EE0617"/>
    <w:rsid w:val="00EE1FAF"/>
    <w:rsid w:val="00EE20CB"/>
    <w:rsid w:val="00EE35E2"/>
    <w:rsid w:val="00EE3E9F"/>
    <w:rsid w:val="00EE7783"/>
    <w:rsid w:val="00EF2F91"/>
    <w:rsid w:val="00EF4D86"/>
    <w:rsid w:val="00EF5355"/>
    <w:rsid w:val="00EF5E7F"/>
    <w:rsid w:val="00EF5FC1"/>
    <w:rsid w:val="00EF6156"/>
    <w:rsid w:val="00EF7034"/>
    <w:rsid w:val="00F00584"/>
    <w:rsid w:val="00F00FB1"/>
    <w:rsid w:val="00F030CC"/>
    <w:rsid w:val="00F05BC4"/>
    <w:rsid w:val="00F05DED"/>
    <w:rsid w:val="00F11C7F"/>
    <w:rsid w:val="00F130FB"/>
    <w:rsid w:val="00F1411E"/>
    <w:rsid w:val="00F14F4B"/>
    <w:rsid w:val="00F170E6"/>
    <w:rsid w:val="00F203FE"/>
    <w:rsid w:val="00F21D5F"/>
    <w:rsid w:val="00F26248"/>
    <w:rsid w:val="00F268F2"/>
    <w:rsid w:val="00F34524"/>
    <w:rsid w:val="00F4162F"/>
    <w:rsid w:val="00F43160"/>
    <w:rsid w:val="00F439A9"/>
    <w:rsid w:val="00F45C68"/>
    <w:rsid w:val="00F4641A"/>
    <w:rsid w:val="00F46D86"/>
    <w:rsid w:val="00F53F1D"/>
    <w:rsid w:val="00F544CA"/>
    <w:rsid w:val="00F612BD"/>
    <w:rsid w:val="00F65E22"/>
    <w:rsid w:val="00F72CF1"/>
    <w:rsid w:val="00F80F78"/>
    <w:rsid w:val="00F81164"/>
    <w:rsid w:val="00F82635"/>
    <w:rsid w:val="00F84F6E"/>
    <w:rsid w:val="00F8721D"/>
    <w:rsid w:val="00F90628"/>
    <w:rsid w:val="00F92E09"/>
    <w:rsid w:val="00F93E7A"/>
    <w:rsid w:val="00F95925"/>
    <w:rsid w:val="00FA171F"/>
    <w:rsid w:val="00FA2618"/>
    <w:rsid w:val="00FA4B14"/>
    <w:rsid w:val="00FA70F3"/>
    <w:rsid w:val="00FB169F"/>
    <w:rsid w:val="00FB5D43"/>
    <w:rsid w:val="00FB60C7"/>
    <w:rsid w:val="00FB746C"/>
    <w:rsid w:val="00FB7E8C"/>
    <w:rsid w:val="00FC1259"/>
    <w:rsid w:val="00FC12F4"/>
    <w:rsid w:val="00FC1D62"/>
    <w:rsid w:val="00FC46FC"/>
    <w:rsid w:val="00FD0E4A"/>
    <w:rsid w:val="00FD1F66"/>
    <w:rsid w:val="00FD639F"/>
    <w:rsid w:val="00FE03F9"/>
    <w:rsid w:val="00FE11B8"/>
    <w:rsid w:val="00FE1D9E"/>
    <w:rsid w:val="00FE2521"/>
    <w:rsid w:val="00FE27F3"/>
    <w:rsid w:val="00FE2C7E"/>
    <w:rsid w:val="00FE3E29"/>
    <w:rsid w:val="00FE403C"/>
    <w:rsid w:val="00FE5F5E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D6F640-3226-4642-B2F4-B42E9090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6B12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86B12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86B12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F463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8660D"/>
    <w:pPr>
      <w:spacing w:before="240" w:after="60"/>
      <w:outlineLvl w:val="5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56E7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9"/>
    <w:semiHidden/>
    <w:locked/>
    <w:rsid w:val="00756E7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9"/>
    <w:semiHidden/>
    <w:locked/>
    <w:rsid w:val="00756E7C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9"/>
    <w:semiHidden/>
    <w:locked/>
    <w:rsid w:val="00756E7C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link w:val="5"/>
    <w:uiPriority w:val="99"/>
    <w:semiHidden/>
    <w:locked/>
    <w:rsid w:val="00756E7C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лавие 6 Знак"/>
    <w:link w:val="6"/>
    <w:uiPriority w:val="99"/>
    <w:locked/>
    <w:rsid w:val="0088660D"/>
    <w:rPr>
      <w:rFonts w:ascii="Calibri" w:hAnsi="Calibri" w:cs="Calibri"/>
      <w:b/>
      <w:bCs/>
      <w:lang w:val="en-US" w:eastAsia="en-US"/>
    </w:rPr>
  </w:style>
  <w:style w:type="paragraph" w:customStyle="1" w:styleId="Char">
    <w:name w:val="Char Знак"/>
    <w:basedOn w:val="a"/>
    <w:uiPriority w:val="99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32066B"/>
    <w:rPr>
      <w:rFonts w:ascii="Arial" w:hAnsi="Arial" w:cs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</w:style>
  <w:style w:type="character" w:customStyle="1" w:styleId="a8">
    <w:name w:val="Основен текст Знак"/>
    <w:link w:val="a7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</w:style>
  <w:style w:type="character" w:customStyle="1" w:styleId="22">
    <w:name w:val="Основен текст 2 Знак"/>
    <w:link w:val="21"/>
    <w:uiPriority w:val="99"/>
    <w:semiHidden/>
    <w:locked/>
    <w:rsid w:val="00756E7C"/>
    <w:rPr>
      <w:rFonts w:ascii="Arial" w:hAnsi="Arial" w:cs="Arial"/>
      <w:lang w:val="en-US" w:eastAsia="en-US"/>
    </w:rPr>
  </w:style>
  <w:style w:type="character" w:styleId="a9">
    <w:name w:val="Hyperlink"/>
    <w:uiPriority w:val="99"/>
    <w:rsid w:val="00A86B12"/>
    <w:rPr>
      <w:rFonts w:cs="Times New Roman"/>
      <w:color w:val="0000FF"/>
      <w:u w:val="single"/>
    </w:rPr>
  </w:style>
  <w:style w:type="character" w:styleId="aa">
    <w:name w:val="Emphasis"/>
    <w:uiPriority w:val="99"/>
    <w:qFormat/>
    <w:rsid w:val="005B69F7"/>
    <w:rPr>
      <w:rFonts w:cs="Times New Roman"/>
      <w:i/>
      <w:iCs/>
    </w:rPr>
  </w:style>
  <w:style w:type="paragraph" w:styleId="ab">
    <w:name w:val="Balloon Text"/>
    <w:basedOn w:val="a"/>
    <w:link w:val="ac"/>
    <w:uiPriority w:val="99"/>
    <w:semiHidden/>
    <w:rsid w:val="00DB046A"/>
    <w:rPr>
      <w:sz w:val="2"/>
      <w:szCs w:val="2"/>
    </w:rPr>
  </w:style>
  <w:style w:type="character" w:customStyle="1" w:styleId="ac">
    <w:name w:val="Изнесен текст Знак"/>
    <w:link w:val="ab"/>
    <w:uiPriority w:val="99"/>
    <w:semiHidden/>
    <w:locked/>
    <w:rsid w:val="00756E7C"/>
    <w:rPr>
      <w:rFonts w:cs="Times New Roman"/>
      <w:sz w:val="2"/>
      <w:szCs w:val="2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customStyle="1" w:styleId="Style">
    <w:name w:val="Style"/>
    <w:uiPriority w:val="99"/>
    <w:rsid w:val="001F5C24"/>
    <w:pPr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4"/>
      <w:szCs w:val="24"/>
    </w:rPr>
  </w:style>
  <w:style w:type="paragraph" w:styleId="23">
    <w:name w:val="Body Text Indent 2"/>
    <w:basedOn w:val="a"/>
    <w:link w:val="24"/>
    <w:uiPriority w:val="99"/>
    <w:rsid w:val="002F463D"/>
    <w:pPr>
      <w:overflowPunct/>
      <w:autoSpaceDE/>
      <w:autoSpaceDN/>
      <w:adjustRightInd/>
      <w:spacing w:after="120" w:line="480" w:lineRule="auto"/>
      <w:ind w:left="283"/>
      <w:textAlignment w:val="auto"/>
    </w:pPr>
  </w:style>
  <w:style w:type="character" w:customStyle="1" w:styleId="24">
    <w:name w:val="Основен текст с отстъп 2 Знак"/>
    <w:link w:val="23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ae">
    <w:name w:val="Title"/>
    <w:basedOn w:val="a"/>
    <w:link w:val="af"/>
    <w:uiPriority w:val="99"/>
    <w:qFormat/>
    <w:rsid w:val="002F463D"/>
    <w:pPr>
      <w:overflowPunct/>
      <w:autoSpaceDE/>
      <w:autoSpaceDN/>
      <w:adjustRightInd/>
      <w:jc w:val="center"/>
      <w:textAlignment w:val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">
    <w:name w:val="Заглавие Знак"/>
    <w:link w:val="ae"/>
    <w:uiPriority w:val="99"/>
    <w:locked/>
    <w:rsid w:val="00756E7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f0">
    <w:name w:val="Body Text Indent"/>
    <w:basedOn w:val="a"/>
    <w:link w:val="af1"/>
    <w:uiPriority w:val="99"/>
    <w:rsid w:val="002F463D"/>
    <w:pPr>
      <w:overflowPunct/>
      <w:autoSpaceDE/>
      <w:autoSpaceDN/>
      <w:adjustRightInd/>
      <w:ind w:left="720"/>
      <w:jc w:val="both"/>
      <w:textAlignment w:val="auto"/>
    </w:pPr>
  </w:style>
  <w:style w:type="character" w:customStyle="1" w:styleId="af1">
    <w:name w:val="Основен текст с отстъп Знак"/>
    <w:link w:val="af0"/>
    <w:uiPriority w:val="99"/>
    <w:semiHidden/>
    <w:locked/>
    <w:rsid w:val="00756E7C"/>
    <w:rPr>
      <w:rFonts w:ascii="Arial" w:hAnsi="Arial" w:cs="Arial"/>
      <w:lang w:val="en-US" w:eastAsia="en-US"/>
    </w:rPr>
  </w:style>
  <w:style w:type="paragraph" w:styleId="31">
    <w:name w:val="Body Text Indent 3"/>
    <w:basedOn w:val="a"/>
    <w:link w:val="32"/>
    <w:uiPriority w:val="99"/>
    <w:rsid w:val="002F463D"/>
    <w:pPr>
      <w:overflowPunct/>
      <w:autoSpaceDE/>
      <w:autoSpaceDN/>
      <w:adjustRightInd/>
      <w:ind w:left="-360" w:firstLine="1800"/>
      <w:jc w:val="both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semiHidden/>
    <w:locked/>
    <w:rsid w:val="00756E7C"/>
    <w:rPr>
      <w:rFonts w:ascii="Arial" w:hAnsi="Arial" w:cs="Arial"/>
      <w:sz w:val="16"/>
      <w:szCs w:val="16"/>
      <w:lang w:val="en-US" w:eastAsia="en-US"/>
    </w:rPr>
  </w:style>
  <w:style w:type="character" w:styleId="af2">
    <w:name w:val="Strong"/>
    <w:uiPriority w:val="99"/>
    <w:qFormat/>
    <w:rsid w:val="002F463D"/>
    <w:rPr>
      <w:rFonts w:cs="Times New Roman"/>
      <w:b/>
      <w:bCs/>
    </w:rPr>
  </w:style>
  <w:style w:type="paragraph" w:customStyle="1" w:styleId="Char0">
    <w:name w:val="Char Знак Знак Знак"/>
    <w:basedOn w:val="a"/>
    <w:uiPriority w:val="99"/>
    <w:rsid w:val="002F463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table" w:styleId="af3">
    <w:name w:val="Table Grid"/>
    <w:basedOn w:val="a1"/>
    <w:uiPriority w:val="99"/>
    <w:rsid w:val="002F463D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2F46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page number"/>
    <w:uiPriority w:val="99"/>
    <w:rsid w:val="002F463D"/>
    <w:rPr>
      <w:rFonts w:cs="Times New Roman"/>
    </w:rPr>
  </w:style>
  <w:style w:type="paragraph" w:customStyle="1" w:styleId="CharCharChar">
    <w:name w:val="Char Знак Char Char Знак"/>
    <w:basedOn w:val="a"/>
    <w:uiPriority w:val="99"/>
    <w:rsid w:val="002B52A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Char Знак Char Знак"/>
    <w:basedOn w:val="a"/>
    <w:uiPriority w:val="99"/>
    <w:rsid w:val="005773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0">
    <w:name w:val="Char Знак Char"/>
    <w:basedOn w:val="a"/>
    <w:uiPriority w:val="99"/>
    <w:rsid w:val="00F8116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Style3">
    <w:name w:val="Style3"/>
    <w:basedOn w:val="a"/>
    <w:uiPriority w:val="99"/>
    <w:rsid w:val="00C342B0"/>
    <w:pPr>
      <w:widowControl w:val="0"/>
      <w:overflowPunct/>
      <w:textAlignment w:val="auto"/>
    </w:pPr>
    <w:rPr>
      <w:lang w:val="en-AU"/>
    </w:rPr>
  </w:style>
  <w:style w:type="character" w:customStyle="1" w:styleId="FontStyle11">
    <w:name w:val="Font Style11"/>
    <w:uiPriority w:val="99"/>
    <w:rsid w:val="00C342B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uiPriority w:val="99"/>
    <w:rsid w:val="00C342B0"/>
    <w:rPr>
      <w:rFonts w:ascii="Times New Roman" w:hAnsi="Times New Roman" w:cs="Times New Roman"/>
      <w:sz w:val="22"/>
      <w:szCs w:val="22"/>
    </w:rPr>
  </w:style>
  <w:style w:type="paragraph" w:customStyle="1" w:styleId="1CharChar">
    <w:name w:val="Знак Знак1 Char Char"/>
    <w:basedOn w:val="a"/>
    <w:uiPriority w:val="99"/>
    <w:rsid w:val="00C342B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6">
    <w:name w:val="caption"/>
    <w:basedOn w:val="a"/>
    <w:next w:val="a"/>
    <w:uiPriority w:val="99"/>
    <w:qFormat/>
    <w:locked/>
    <w:rsid w:val="005C6EAB"/>
    <w:rPr>
      <w:b/>
      <w:bCs/>
    </w:rPr>
  </w:style>
  <w:style w:type="paragraph" w:customStyle="1" w:styleId="Style1">
    <w:name w:val="Style1"/>
    <w:basedOn w:val="a"/>
    <w:uiPriority w:val="99"/>
    <w:rsid w:val="0042690B"/>
    <w:pPr>
      <w:widowControl w:val="0"/>
      <w:overflowPunct/>
      <w:textAlignment w:val="auto"/>
    </w:pPr>
    <w:rPr>
      <w:lang w:val="en-AU"/>
    </w:rPr>
  </w:style>
  <w:style w:type="paragraph" w:customStyle="1" w:styleId="TimesNewRoman">
    <w:name w:val="Нормален + Times New Roman"/>
    <w:aliases w:val="12 pt"/>
    <w:basedOn w:val="a"/>
    <w:link w:val="TimesNewRoman0"/>
    <w:uiPriority w:val="99"/>
    <w:rsid w:val="0042690B"/>
    <w:pPr>
      <w:ind w:firstLine="720"/>
      <w:jc w:val="both"/>
    </w:pPr>
    <w:rPr>
      <w:rFonts w:cs="Times New Roman"/>
      <w:sz w:val="24"/>
      <w:szCs w:val="24"/>
      <w:lang w:val="bg-BG"/>
    </w:rPr>
  </w:style>
  <w:style w:type="character" w:customStyle="1" w:styleId="TimesNewRoman0">
    <w:name w:val="Нормален + Times New Roman Знак"/>
    <w:aliases w:val="12 pt Знак"/>
    <w:link w:val="TimesNewRoman"/>
    <w:uiPriority w:val="99"/>
    <w:locked/>
    <w:rsid w:val="0096352E"/>
    <w:rPr>
      <w:rFonts w:cs="Times New Roman"/>
      <w:sz w:val="24"/>
      <w:szCs w:val="24"/>
      <w:lang w:val="bg-BG" w:eastAsia="en-US"/>
    </w:rPr>
  </w:style>
  <w:style w:type="character" w:customStyle="1" w:styleId="61">
    <w:name w:val="Знак Знак6"/>
    <w:uiPriority w:val="99"/>
    <w:semiHidden/>
    <w:locked/>
    <w:rsid w:val="001C54E7"/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uiPriority w:val="99"/>
    <w:rsid w:val="002F68A7"/>
    <w:rPr>
      <w:rFonts w:cs="Times New Roman"/>
    </w:rPr>
  </w:style>
  <w:style w:type="paragraph" w:customStyle="1" w:styleId="1CharChar1">
    <w:name w:val="Знак Знак1 Char Char1"/>
    <w:basedOn w:val="a"/>
    <w:uiPriority w:val="99"/>
    <w:rsid w:val="00396E1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af7">
    <w:name w:val="FollowedHyperlink"/>
    <w:uiPriority w:val="99"/>
    <w:semiHidden/>
    <w:rsid w:val="0042153A"/>
    <w:rPr>
      <w:rFonts w:cs="Times New Roman"/>
      <w:color w:val="800080"/>
      <w:u w:val="single"/>
    </w:rPr>
  </w:style>
  <w:style w:type="paragraph" w:customStyle="1" w:styleId="CharCharCharChar">
    <w:name w:val="Char Char Char Char"/>
    <w:basedOn w:val="a"/>
    <w:rsid w:val="00DE0E9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imes New Roman"/>
      <w:sz w:val="24"/>
      <w:szCs w:val="24"/>
      <w:lang w:val="pl-PL" w:eastAsia="pl-PL"/>
    </w:rPr>
  </w:style>
  <w:style w:type="character" w:customStyle="1" w:styleId="ui-news-record-body">
    <w:name w:val="ui-news-record-body"/>
    <w:basedOn w:val="a0"/>
    <w:rsid w:val="00E4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3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3798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%D0%9E%D0%B1%D0%BB%D0%B0%D1%81%D1%82%D0%B8_%D0%BD%D0%B0_%D0%91%D1%8A%D0%BB%D0%B3%D0%B0%D1%80%D0%B8%D1%8F" TargetMode="External"/><Relationship Id="rId13" Type="http://schemas.openxmlformats.org/officeDocument/2006/relationships/hyperlink" Target="https://bg.wikipedia.org/wiki/%D0%94%D0%B6%D0%B5%D0%B1%D0%B5%D0%B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g.wikipedia.org/wiki/%D0%90%D1%80%D0%B4%D0%B8%D0%BD%D0%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.wikipedia.org/wiki/%D0%9A%D1%80%D1%83%D0%BC%D0%BE%D0%B2%D0%B3%D1%80%D0%B0%D0%B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g.wikipedia.org/wiki/%D0%9C%D0%BE%D0%BC%D1%87%D0%B8%D0%BB%D0%B3%D1%80%D0%B0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g.wikipedia.org/wiki/%D0%9A%D1%8A%D1%80%D0%B4%D0%B6%D0%B0%D0%BB%D0%B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561F-3150-497B-9146-A30842DE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5806</Words>
  <Characters>33097</Characters>
  <Application>Microsoft Office Word</Application>
  <DocSecurity>0</DocSecurity>
  <Lines>275</Lines>
  <Paragraphs>77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damqn</cp:lastModifiedBy>
  <cp:revision>2</cp:revision>
  <cp:lastPrinted>2022-02-02T07:35:00Z</cp:lastPrinted>
  <dcterms:created xsi:type="dcterms:W3CDTF">2025-08-07T13:45:00Z</dcterms:created>
  <dcterms:modified xsi:type="dcterms:W3CDTF">2025-08-07T13:45:00Z</dcterms:modified>
</cp:coreProperties>
</file>