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46" w:rsidRPr="0042153A" w:rsidRDefault="00E13F46" w:rsidP="00B1070E">
      <w:pPr>
        <w:ind w:left="-540" w:hanging="540"/>
        <w:jc w:val="both"/>
      </w:pPr>
      <w:bookmarkStart w:id="0" w:name="_GoBack"/>
      <w:bookmarkEnd w:id="0"/>
    </w:p>
    <w:p w:rsidR="00A51302" w:rsidRDefault="00A51302" w:rsidP="002E25BD">
      <w:pPr>
        <w:pStyle w:val="2"/>
        <w:jc w:val="center"/>
        <w:rPr>
          <w:rFonts w:ascii="Times New Roman" w:hAnsi="Times New Roman" w:cs="Times New Roman"/>
        </w:rPr>
      </w:pPr>
    </w:p>
    <w:p w:rsidR="00E13F46" w:rsidRPr="00F203FE" w:rsidRDefault="00E13F46" w:rsidP="002E25BD">
      <w:pPr>
        <w:pStyle w:val="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F203FE">
        <w:rPr>
          <w:rFonts w:ascii="Times New Roman" w:hAnsi="Times New Roman" w:cs="Times New Roman"/>
        </w:rPr>
        <w:t>Д О К Л А Д</w:t>
      </w:r>
    </w:p>
    <w:p w:rsidR="00E13F46" w:rsidRPr="00FB60C7" w:rsidRDefault="00E13F46" w:rsidP="002E25BD">
      <w:pPr>
        <w:rPr>
          <w:lang w:val="ru-RU"/>
        </w:rPr>
      </w:pPr>
    </w:p>
    <w:p w:rsidR="00E13F46" w:rsidRPr="00FB60C7" w:rsidRDefault="00E13F46" w:rsidP="002F46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СЪСТОЯНИЕТО НА ЗЕМЕДЕЛИЕТО И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ДЕЙНОСТТА НА ОД “ЗЕМЕДЕЛИЕ”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ГРАД КЪРДЖАЛИ 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ПЕРИОДА 01.01.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13F46" w:rsidRPr="00FB60C7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ОБЩА АГРОХАРАКТЕРИСТИКА НА ОБЛАСТ КЪРДЖАЛИ ЗА ПЕРИОДА </w:t>
      </w:r>
    </w:p>
    <w:p w:rsidR="00E13F46" w:rsidRPr="00FB60C7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01.01.20</w:t>
      </w:r>
      <w:r w:rsidR="003A46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20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 – 3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12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.20</w:t>
      </w:r>
      <w:r w:rsidR="003A46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20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</w:t>
      </w:r>
    </w:p>
    <w:p w:rsidR="00E13F46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9F6B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30C">
        <w:rPr>
          <w:rFonts w:ascii="Times New Roman" w:hAnsi="Times New Roman" w:cs="Times New Roman"/>
          <w:b/>
          <w:bCs/>
          <w:sz w:val="24"/>
          <w:szCs w:val="24"/>
        </w:rPr>
        <w:t>Област Кърджали</w:t>
      </w:r>
      <w:r w:rsidRPr="0013430C">
        <w:rPr>
          <w:rFonts w:ascii="Times New Roman" w:hAnsi="Times New Roman" w:cs="Times New Roman"/>
          <w:sz w:val="24"/>
          <w:szCs w:val="24"/>
        </w:rPr>
        <w:t xml:space="preserve"> е една от 28-те </w:t>
      </w:r>
      <w:hyperlink r:id="rId9" w:tooltip="Области на България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области на България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</w:t>
      </w:r>
      <w:r w:rsidRPr="0013430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13430C">
        <w:rPr>
          <w:rFonts w:ascii="Times New Roman" w:hAnsi="Times New Roman" w:cs="Times New Roman"/>
          <w:sz w:val="24"/>
          <w:szCs w:val="24"/>
        </w:rPr>
        <w:t>аема площ 3 209,1 km</w:t>
      </w:r>
      <w:r w:rsidRPr="00134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430C">
        <w:rPr>
          <w:rFonts w:ascii="Times New Roman" w:hAnsi="Times New Roman" w:cs="Times New Roman"/>
          <w:sz w:val="24"/>
          <w:szCs w:val="24"/>
        </w:rPr>
        <w:t xml:space="preserve"> и има население 149 661 души (по експресни данни от преброяване 2011).</w:t>
      </w:r>
      <w:r>
        <w:rPr>
          <w:rFonts w:ascii="Times New Roman" w:hAnsi="Times New Roman" w:cs="Times New Roman"/>
          <w:sz w:val="24"/>
          <w:szCs w:val="24"/>
        </w:rPr>
        <w:t xml:space="preserve"> Тя </w:t>
      </w:r>
      <w:r>
        <w:rPr>
          <w:rFonts w:ascii="Times New Roman" w:hAnsi="Times New Roman" w:cs="Times New Roman"/>
          <w:sz w:val="24"/>
          <w:szCs w:val="24"/>
          <w:lang w:val="bg-BG"/>
        </w:rPr>
        <w:t>граничи на запад със Смолянска област, на север с Хасковска и пловдивска област, на юг и югоизток с държавната граница на страната с Република Гърция.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административно-териториалните граници на Област Кърджали са включени </w:t>
      </w:r>
      <w:r w:rsidRPr="0013430C">
        <w:rPr>
          <w:rFonts w:ascii="Times New Roman" w:hAnsi="Times New Roman" w:cs="Times New Roman"/>
          <w:sz w:val="24"/>
          <w:szCs w:val="24"/>
        </w:rPr>
        <w:t>7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Ардино, Джебел, Кирково, Крумовград, Кърджали Момчилград и Черноочене, като </w:t>
      </w:r>
      <w:r w:rsidRPr="0013430C">
        <w:rPr>
          <w:rFonts w:ascii="Times New Roman" w:hAnsi="Times New Roman" w:cs="Times New Roman"/>
          <w:sz w:val="24"/>
          <w:szCs w:val="24"/>
        </w:rPr>
        <w:t xml:space="preserve">общият брой на населените места е 470, от които градовете са едва 5 – </w:t>
      </w:r>
      <w:hyperlink r:id="rId10" w:tooltip="Кърджали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Кърджали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Момчил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Момчилград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Крумов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Крумовград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Ардино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Ардино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Джебел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Джебел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Черноочене и Кирково са двете общини в областта, съставени изцяло от </w:t>
      </w:r>
      <w:r>
        <w:rPr>
          <w:rFonts w:ascii="Times New Roman" w:hAnsi="Times New Roman" w:cs="Times New Roman"/>
          <w:sz w:val="24"/>
          <w:szCs w:val="24"/>
          <w:lang w:val="bg-BG"/>
        </w:rPr>
        <w:t>села.</w:t>
      </w:r>
    </w:p>
    <w:p w:rsidR="00E13F46" w:rsidRDefault="00E13F46" w:rsidP="009F6B9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9F6B91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РАСТЕНИЕВЪДСТВО</w:t>
      </w:r>
    </w:p>
    <w:p w:rsidR="00E13F46" w:rsidRPr="006C1A91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FB60C7" w:rsidRDefault="00E13F46" w:rsidP="002E25B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sz w:val="24"/>
          <w:szCs w:val="24"/>
          <w:lang w:val="bg-BG"/>
        </w:rPr>
        <w:t>Преобладаващият почвен тип в област Кърджали са канелените горски почви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 Срещат се също в по-ма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лък размер кафяви горски почви,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>алувиални, канелено-подзолисти, делувиални и в незначителен размер други почвени типове. Най-плодоро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дните почви са по долините на река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Арда и нейните притоци и в северните части на областта на границата с Хасковска област. </w:t>
      </w:r>
    </w:p>
    <w:p w:rsidR="00E13F46" w:rsidRPr="00A51302" w:rsidRDefault="00E13F46" w:rsidP="002E25BD">
      <w:pPr>
        <w:pStyle w:val="a7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sz w:val="24"/>
          <w:szCs w:val="24"/>
        </w:rPr>
        <w:t>На база данни от общинските служби по земеделие в област Кърджали, селскостопанския фонд</w:t>
      </w:r>
      <w:r w:rsidRPr="00227B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BEE">
        <w:rPr>
          <w:rFonts w:ascii="Times New Roman" w:hAnsi="Times New Roman" w:cs="Times New Roman"/>
          <w:sz w:val="24"/>
          <w:szCs w:val="24"/>
        </w:rPr>
        <w:t>на територията на областта е в размер на 1</w:t>
      </w:r>
      <w:r w:rsidRPr="00227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4F52">
        <w:rPr>
          <w:rFonts w:ascii="Times New Roman" w:hAnsi="Times New Roman" w:cs="Times New Roman"/>
          <w:sz w:val="24"/>
          <w:szCs w:val="24"/>
        </w:rPr>
        <w:t>284682,882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дка, в това число по о</w:t>
      </w:r>
      <w:r w:rsidR="00C54F52">
        <w:rPr>
          <w:rFonts w:ascii="Times New Roman" w:hAnsi="Times New Roman" w:cs="Times New Roman"/>
          <w:sz w:val="24"/>
          <w:szCs w:val="24"/>
        </w:rPr>
        <w:t>бщини както следва: Ардино – 123168,927 дка, Джебел – 77</w:t>
      </w:r>
      <w:r w:rsidR="00C54F5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C54F52">
        <w:rPr>
          <w:rFonts w:ascii="Times New Roman" w:hAnsi="Times New Roman" w:cs="Times New Roman"/>
          <w:sz w:val="24"/>
          <w:szCs w:val="24"/>
        </w:rPr>
        <w:t>011,</w:t>
      </w:r>
      <w:r w:rsidR="00C54F52">
        <w:rPr>
          <w:rFonts w:ascii="Times New Roman" w:hAnsi="Times New Roman" w:cs="Times New Roman"/>
          <w:sz w:val="24"/>
          <w:szCs w:val="24"/>
          <w:lang w:val="bg-BG"/>
        </w:rPr>
        <w:t>236</w:t>
      </w:r>
      <w:r>
        <w:rPr>
          <w:rFonts w:ascii="Times New Roman" w:hAnsi="Times New Roman" w:cs="Times New Roman"/>
          <w:sz w:val="24"/>
          <w:szCs w:val="24"/>
        </w:rPr>
        <w:t xml:space="preserve"> дка, Кирково </w:t>
      </w:r>
      <w:r w:rsidR="00C54F52">
        <w:rPr>
          <w:rFonts w:ascii="Times New Roman" w:hAnsi="Times New Roman" w:cs="Times New Roman"/>
          <w:sz w:val="24"/>
          <w:szCs w:val="24"/>
        </w:rPr>
        <w:t>– 201987</w:t>
      </w:r>
      <w:r w:rsidR="00C54F52">
        <w:rPr>
          <w:rFonts w:ascii="Times New Roman" w:hAnsi="Times New Roman" w:cs="Times New Roman"/>
          <w:sz w:val="24"/>
          <w:szCs w:val="24"/>
          <w:lang w:val="bg-BG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</w:rPr>
        <w:t>дка, Крумовград – 384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561,847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</w:t>
      </w:r>
      <w:r w:rsidR="00A51302">
        <w:rPr>
          <w:rFonts w:ascii="Times New Roman" w:hAnsi="Times New Roman" w:cs="Times New Roman"/>
          <w:sz w:val="24"/>
          <w:szCs w:val="24"/>
        </w:rPr>
        <w:t>, Кърджали – 222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987,463</w:t>
      </w:r>
      <w:r w:rsidR="00A51302">
        <w:rPr>
          <w:rFonts w:ascii="Times New Roman" w:hAnsi="Times New Roman" w:cs="Times New Roman"/>
          <w:sz w:val="24"/>
          <w:szCs w:val="24"/>
        </w:rPr>
        <w:t xml:space="preserve"> дка, Момчилград – 158</w:t>
      </w:r>
      <w:r w:rsidR="00A5130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51302">
        <w:rPr>
          <w:rFonts w:ascii="Times New Roman" w:hAnsi="Times New Roman" w:cs="Times New Roman"/>
          <w:sz w:val="24"/>
          <w:szCs w:val="24"/>
        </w:rPr>
        <w:t>290,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271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</w:t>
      </w:r>
      <w:r w:rsidR="00A51302">
        <w:rPr>
          <w:rFonts w:ascii="Times New Roman" w:hAnsi="Times New Roman" w:cs="Times New Roman"/>
          <w:sz w:val="24"/>
          <w:szCs w:val="24"/>
        </w:rPr>
        <w:t>а и Черноочене – 116675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,248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дка.</w:t>
      </w:r>
      <w:r w:rsidRPr="00227BEE"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Видно от данните в таблица 1, площа на имотите за нуждите на селското стопанство представляват  40,57% от общата площ на област Кърджали.</w:t>
      </w:r>
    </w:p>
    <w:p w:rsidR="00E13F46" w:rsidRDefault="00E13F46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</w:t>
      </w:r>
    </w:p>
    <w:p w:rsidR="00A51302" w:rsidRPr="00227BEE" w:rsidRDefault="00A51302" w:rsidP="00A5130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1</w:t>
      </w:r>
    </w:p>
    <w:p w:rsidR="00A51302" w:rsidRDefault="00A51302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3231E9" w:rsidRPr="00A51302" w:rsidTr="00A80C85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1E9" w:rsidRPr="00A51302" w:rsidRDefault="003231E9" w:rsidP="003231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3231E9" w:rsidRPr="00A51302" w:rsidTr="00A80C85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Вид на територия по предназначение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1E9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3231E9" w:rsidRPr="00A51302" w:rsidRDefault="003231E9" w:rsidP="00A513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A479BC" w:rsidRPr="00A51302" w:rsidTr="00A80C85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селското стопанство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color w:val="000000"/>
              </w:rPr>
              <w:t>340509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color w:val="000000"/>
              </w:rPr>
              <w:t>1284682,882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40,57</w:t>
            </w:r>
          </w:p>
        </w:tc>
      </w:tr>
      <w:tr w:rsidR="00A479BC" w:rsidRPr="00A51302" w:rsidTr="00A80C85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горското стопанство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1778177,619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56,16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Населени места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10261,421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</w:tr>
      <w:tr w:rsidR="00A479BC" w:rsidRPr="00A51302" w:rsidTr="00A80C85">
        <w:trPr>
          <w:trHeight w:val="4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Водни течения и водни площи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74085,832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A479BC" w:rsidRPr="00A51302" w:rsidTr="00A80C85">
        <w:trPr>
          <w:trHeight w:val="4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 нуждите на транспорта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16602,035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</w:tr>
      <w:tr w:rsidR="00A479BC" w:rsidRPr="00A51302" w:rsidTr="00A80C85">
        <w:trPr>
          <w:trHeight w:val="40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други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2571,209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</w:tr>
      <w:tr w:rsidR="00A479BC" w:rsidRPr="00A51302" w:rsidTr="00A80C85">
        <w:trPr>
          <w:trHeight w:val="4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9BC" w:rsidRDefault="00A479BC" w:rsidP="00A4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C54F52" w:rsidRPr="00A479BC" w:rsidRDefault="003231E9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В таблица 2 е изнесена информация по видове собственост.</w:t>
      </w:r>
      <w:r w:rsidR="00A47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79BC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държавната частна собственост, представлява 59,54 % от общата собственост в областта.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479BC" w:rsidRDefault="003231E9" w:rsidP="00294F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Таблица 2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3231E9" w:rsidRPr="00A51302" w:rsidTr="00A80C85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3231E9" w:rsidRPr="00A51302" w:rsidTr="00A80C85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Вид собственост</w:t>
            </w:r>
          </w:p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1E9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3231E9" w:rsidRPr="00A51302" w:rsidRDefault="003231E9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A479BC" w:rsidRPr="00A51302" w:rsidTr="00A80C85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Държавна 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35071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1885159,710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59,54</w:t>
            </w:r>
          </w:p>
        </w:tc>
      </w:tr>
      <w:tr w:rsidR="00A479BC" w:rsidRPr="00A51302" w:rsidTr="00A80C85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Държавна публична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113029,677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120349,890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3,80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112917,678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3,57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Смесена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14780,158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0,47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юридически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15596,090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0,49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384478,550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12,14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Изключителна държ. собственост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400,381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религиозни организации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0,01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стопанисвана от община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463396,295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14,63</w:t>
            </w:r>
          </w:p>
        </w:tc>
      </w:tr>
      <w:tr w:rsidR="00A479BC" w:rsidRPr="00A51302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BC" w:rsidRDefault="00A479BC" w:rsidP="00A479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чуждестранни лица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55952,448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1,77</w:t>
            </w:r>
          </w:p>
        </w:tc>
      </w:tr>
      <w:tr w:rsidR="00A479BC" w:rsidRPr="00A51302" w:rsidTr="00A80C85">
        <w:trPr>
          <w:trHeight w:val="4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BC" w:rsidRPr="00A51302" w:rsidRDefault="00A479BC" w:rsidP="00A479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BC" w:rsidRDefault="00A479BC" w:rsidP="00A479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9BC" w:rsidRDefault="00A479BC" w:rsidP="00A479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A479BC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3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е изнесена информация по начин на трайно ползване на имоти с НТП ниви, ливади, пасища и мери. От имотите предназначени за нуждите на селското стопанство, най-голям е делът на пасищата и мерите. Те представляват 17,15.%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цялата площ в областта, с площ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543008,113 дка. На второ място са нивите с 15,63%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площ 494935,793 дка.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82628" w:rsidRPr="00A479BC" w:rsidRDefault="00882628" w:rsidP="0088262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аблица 3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352" w:type="dxa"/>
        <w:tblInd w:w="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20"/>
        <w:gridCol w:w="1360"/>
        <w:gridCol w:w="1700"/>
        <w:gridCol w:w="1272"/>
      </w:tblGrid>
      <w:tr w:rsidR="00882628" w:rsidRPr="00A51302" w:rsidTr="00A80C85">
        <w:trPr>
          <w:trHeight w:val="358"/>
        </w:trPr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628" w:rsidRPr="00A51302" w:rsidRDefault="00882628" w:rsidP="00AB0F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 за област Кърджали</w:t>
            </w:r>
          </w:p>
        </w:tc>
      </w:tr>
      <w:tr w:rsidR="00882628" w:rsidRPr="00A51302" w:rsidTr="00A80C85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Видове земи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Имоти       брой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A5130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в дка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882628" w:rsidRPr="00A51302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%</w:t>
            </w:r>
          </w:p>
        </w:tc>
      </w:tr>
      <w:tr w:rsidR="00882628" w:rsidTr="00A80C85">
        <w:trPr>
          <w:trHeight w:val="36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Ниви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218633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</w:rPr>
              <w:t>494935,793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15,63</w:t>
            </w:r>
          </w:p>
        </w:tc>
      </w:tr>
      <w:tr w:rsidR="00882628" w:rsidTr="00A80C85">
        <w:trPr>
          <w:trHeight w:val="4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Ливади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64062,317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2,02</w:t>
            </w:r>
          </w:p>
        </w:tc>
      </w:tr>
      <w:tr w:rsidR="00882628" w:rsidTr="00A80C8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Пасища, мери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543008,113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17,15</w:t>
            </w:r>
          </w:p>
        </w:tc>
      </w:tr>
      <w:tr w:rsidR="00882628" w:rsidTr="00A80C85">
        <w:trPr>
          <w:trHeight w:val="4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Pr="00882628" w:rsidRDefault="00882628" w:rsidP="00882628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 xml:space="preserve">Друг вид 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НТП 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bg-BG"/>
              </w:rPr>
              <w:t>вкл.игл. и шир. гора/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71953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2064374,775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65,20</w:t>
            </w:r>
          </w:p>
        </w:tc>
      </w:tr>
      <w:tr w:rsidR="00882628" w:rsidTr="00A80C85">
        <w:trPr>
          <w:trHeight w:val="4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628" w:rsidRDefault="00882628" w:rsidP="00882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ВСИЧКО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628" w:rsidRDefault="00882628" w:rsidP="00882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3166380,998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628" w:rsidRDefault="00882628" w:rsidP="008826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B0FDE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65D" w:rsidRPr="00227BEE" w:rsidRDefault="00AB0FDE" w:rsidP="003A465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 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стопанската 201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en-GB"/>
        </w:rPr>
        <w:t>9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/2020</w:t>
      </w:r>
      <w:r w:rsidR="003A465D"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година в област Кърджали с есенници с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 засети </w:t>
      </w:r>
      <w:r w:rsidR="003A465D">
        <w:rPr>
          <w:rFonts w:ascii="Times New Roman" w:hAnsi="Times New Roman" w:cs="Times New Roman"/>
          <w:color w:val="000000"/>
          <w:sz w:val="24"/>
          <w:szCs w:val="24"/>
        </w:rPr>
        <w:t>574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="003A46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A465D" w:rsidRPr="00E740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ха, от които </w:t>
      </w:r>
      <w:r w:rsidR="003A465D">
        <w:rPr>
          <w:rFonts w:ascii="Times New Roman" w:hAnsi="Times New Roman" w:cs="Times New Roman"/>
          <w:color w:val="000000"/>
          <w:sz w:val="24"/>
          <w:szCs w:val="24"/>
        </w:rPr>
        <w:t>449.0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ха пшеница</w:t>
      </w:r>
      <w:r w:rsidR="003A465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75.0</w:t>
      </w:r>
      <w:r w:rsidR="003A465D" w:rsidRPr="00227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</w:t>
      </w:r>
      <w:r w:rsidR="003A465D"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ечемик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50.0 ха рапица. В таблици 4 </w:t>
      </w:r>
      <w:r w:rsidR="003A465D"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е видно изменението на заетите площи с есенници за последните години:</w:t>
      </w:r>
    </w:p>
    <w:p w:rsidR="003A465D" w:rsidRDefault="003A465D" w:rsidP="003A465D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3A465D" w:rsidRPr="00AB0FDE" w:rsidRDefault="003A465D" w:rsidP="003A465D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992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</w:tblGrid>
      <w:tr w:rsidR="003A465D" w:rsidRPr="00227BEE" w:rsidTr="00A80C85">
        <w:trPr>
          <w:trHeight w:val="691"/>
        </w:trPr>
        <w:tc>
          <w:tcPr>
            <w:tcW w:w="1519" w:type="dxa"/>
            <w:vMerge w:val="restart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394" w:type="dxa"/>
            <w:gridSpan w:val="5"/>
            <w:vAlign w:val="center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пшеница</w:t>
            </w:r>
          </w:p>
          <w:p w:rsidR="003A465D" w:rsidRPr="00A24A51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  <w:tc>
          <w:tcPr>
            <w:tcW w:w="3969" w:type="dxa"/>
            <w:gridSpan w:val="5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ечемик</w:t>
            </w:r>
          </w:p>
          <w:p w:rsidR="003A465D" w:rsidRPr="00295E3C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</w:tr>
      <w:tr w:rsidR="003A465D" w:rsidRPr="00227BEE" w:rsidTr="00A80C85">
        <w:trPr>
          <w:trHeight w:val="284"/>
        </w:trPr>
        <w:tc>
          <w:tcPr>
            <w:tcW w:w="1519" w:type="dxa"/>
            <w:vMerge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851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709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3A465D" w:rsidRPr="00227BEE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10.0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92" w:type="dxa"/>
            <w:vAlign w:val="center"/>
          </w:tcPr>
          <w:p w:rsidR="003A465D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1A6663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92" w:type="dxa"/>
            <w:vAlign w:val="center"/>
          </w:tcPr>
          <w:p w:rsidR="003A465D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205.0</w:t>
            </w:r>
          </w:p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222.0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40.0</w:t>
            </w:r>
          </w:p>
        </w:tc>
        <w:tc>
          <w:tcPr>
            <w:tcW w:w="850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</w:tr>
      <w:tr w:rsidR="003A465D" w:rsidRPr="001A6663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130.0</w:t>
            </w:r>
          </w:p>
        </w:tc>
        <w:tc>
          <w:tcPr>
            <w:tcW w:w="851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52.0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31.0</w:t>
            </w:r>
          </w:p>
        </w:tc>
        <w:tc>
          <w:tcPr>
            <w:tcW w:w="850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.0</w:t>
            </w:r>
          </w:p>
        </w:tc>
      </w:tr>
      <w:tr w:rsidR="003A465D" w:rsidRPr="00227BEE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92" w:type="dxa"/>
            <w:vAlign w:val="center"/>
          </w:tcPr>
          <w:p w:rsidR="003A465D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2.7</w:t>
            </w:r>
          </w:p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1A6663" w:rsidTr="00A80C85">
        <w:trPr>
          <w:trHeight w:hRule="exact" w:val="284"/>
        </w:trPr>
        <w:tc>
          <w:tcPr>
            <w:tcW w:w="1519" w:type="dxa"/>
          </w:tcPr>
          <w:p w:rsidR="003A465D" w:rsidRPr="00227BEE" w:rsidRDefault="003A465D" w:rsidP="00F90628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160.0</w:t>
            </w:r>
          </w:p>
        </w:tc>
        <w:tc>
          <w:tcPr>
            <w:tcW w:w="851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175.0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30.0</w:t>
            </w:r>
          </w:p>
        </w:tc>
        <w:tc>
          <w:tcPr>
            <w:tcW w:w="850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25.0</w:t>
            </w:r>
          </w:p>
        </w:tc>
      </w:tr>
      <w:tr w:rsidR="003A465D" w:rsidRPr="001A6663" w:rsidTr="00A80C85">
        <w:trPr>
          <w:trHeight w:val="397"/>
        </w:trPr>
        <w:tc>
          <w:tcPr>
            <w:tcW w:w="151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92" w:type="dxa"/>
            <w:vAlign w:val="center"/>
          </w:tcPr>
          <w:p w:rsidR="003A465D" w:rsidRPr="00A24A51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507.7</w:t>
            </w:r>
          </w:p>
        </w:tc>
        <w:tc>
          <w:tcPr>
            <w:tcW w:w="851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360.0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449.0</w:t>
            </w:r>
          </w:p>
        </w:tc>
        <w:tc>
          <w:tcPr>
            <w:tcW w:w="851" w:type="dxa"/>
            <w:vAlign w:val="center"/>
          </w:tcPr>
          <w:p w:rsidR="003A465D" w:rsidRPr="00D9641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101.0</w:t>
            </w:r>
          </w:p>
        </w:tc>
        <w:tc>
          <w:tcPr>
            <w:tcW w:w="850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75.0</w:t>
            </w:r>
          </w:p>
        </w:tc>
      </w:tr>
    </w:tbl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изнесените данн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и в таблицата е видно слабо намаление на заетите площи с есенници 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през стопанската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/2020 </w:t>
      </w:r>
      <w:r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</w:p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периода в община Черноочене, обл. Кърджали се наблюдава засята рапица от 50.0</w:t>
      </w:r>
      <w:r w:rsidR="00F90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ха. със среден добив от 200кг/дка.</w:t>
      </w:r>
    </w:p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- </w:t>
      </w:r>
      <w:r w:rsidRPr="00227BE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пшеница</w:t>
      </w: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083"/>
        <w:gridCol w:w="1134"/>
        <w:gridCol w:w="992"/>
        <w:gridCol w:w="993"/>
        <w:gridCol w:w="850"/>
        <w:gridCol w:w="709"/>
        <w:gridCol w:w="709"/>
        <w:gridCol w:w="850"/>
        <w:gridCol w:w="709"/>
        <w:gridCol w:w="709"/>
      </w:tblGrid>
      <w:tr w:rsidR="003A465D" w:rsidRPr="00227BEE" w:rsidTr="00F90628">
        <w:trPr>
          <w:trHeight w:val="659"/>
        </w:trPr>
        <w:tc>
          <w:tcPr>
            <w:tcW w:w="1435" w:type="dxa"/>
            <w:vMerge w:val="restart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5052" w:type="dxa"/>
            <w:gridSpan w:val="5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686" w:type="dxa"/>
            <w:gridSpan w:val="5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  <w:vMerge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1134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99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709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193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2.0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525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993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3A465D" w:rsidRPr="00F84B4C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153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471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570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474</w:t>
            </w:r>
          </w:p>
        </w:tc>
        <w:tc>
          <w:tcPr>
            <w:tcW w:w="993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475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950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230</w:t>
            </w:r>
          </w:p>
        </w:tc>
        <w:tc>
          <w:tcPr>
            <w:tcW w:w="709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427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364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</w:t>
            </w:r>
          </w:p>
        </w:tc>
        <w:tc>
          <w:tcPr>
            <w:tcW w:w="993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203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709" w:type="dxa"/>
            <w:vAlign w:val="center"/>
          </w:tcPr>
          <w:p w:rsidR="003A465D" w:rsidRPr="00F84B4C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204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390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185</w:t>
            </w:r>
          </w:p>
        </w:tc>
        <w:tc>
          <w:tcPr>
            <w:tcW w:w="709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435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320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368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</w:p>
        </w:tc>
        <w:tc>
          <w:tcPr>
            <w:tcW w:w="993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306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655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709" w:type="dxa"/>
            <w:vAlign w:val="center"/>
          </w:tcPr>
          <w:p w:rsidR="003A465D" w:rsidRPr="00F84B4C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320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374</w:t>
            </w:r>
          </w:p>
        </w:tc>
      </w:tr>
      <w:tr w:rsidR="003A465D" w:rsidRPr="00227BEE" w:rsidTr="00F90628">
        <w:trPr>
          <w:trHeight w:val="397"/>
        </w:trPr>
        <w:tc>
          <w:tcPr>
            <w:tcW w:w="1435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083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1180</w:t>
            </w:r>
          </w:p>
        </w:tc>
        <w:tc>
          <w:tcPr>
            <w:tcW w:w="1134" w:type="dxa"/>
            <w:vAlign w:val="center"/>
          </w:tcPr>
          <w:p w:rsidR="003A465D" w:rsidRPr="00E55BC0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1270,5</w:t>
            </w:r>
          </w:p>
        </w:tc>
        <w:tc>
          <w:tcPr>
            <w:tcW w:w="992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1120</w:t>
            </w:r>
          </w:p>
        </w:tc>
        <w:tc>
          <w:tcPr>
            <w:tcW w:w="993" w:type="dxa"/>
            <w:vAlign w:val="center"/>
          </w:tcPr>
          <w:p w:rsidR="003A465D" w:rsidRPr="002121D5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850" w:type="dxa"/>
            <w:vAlign w:val="center"/>
          </w:tcPr>
          <w:p w:rsidR="003A465D" w:rsidRPr="00E740B9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1808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232</w:t>
            </w:r>
          </w:p>
        </w:tc>
        <w:tc>
          <w:tcPr>
            <w:tcW w:w="709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709" w:type="dxa"/>
            <w:vAlign w:val="center"/>
          </w:tcPr>
          <w:p w:rsidR="003A465D" w:rsidRPr="002121D5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239</w:t>
            </w:r>
          </w:p>
        </w:tc>
        <w:tc>
          <w:tcPr>
            <w:tcW w:w="709" w:type="dxa"/>
            <w:vAlign w:val="center"/>
          </w:tcPr>
          <w:p w:rsidR="003A465D" w:rsidRPr="00E740B9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397</w:t>
            </w:r>
          </w:p>
        </w:tc>
      </w:tr>
    </w:tbl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3A465D" w:rsidRPr="00227BEE" w:rsidRDefault="003A465D" w:rsidP="003A465D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- Ечемик</w:t>
      </w: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844"/>
        <w:gridCol w:w="992"/>
        <w:gridCol w:w="850"/>
        <w:gridCol w:w="851"/>
        <w:gridCol w:w="850"/>
        <w:gridCol w:w="851"/>
        <w:gridCol w:w="709"/>
        <w:gridCol w:w="850"/>
        <w:gridCol w:w="858"/>
      </w:tblGrid>
      <w:tr w:rsidR="003A465D" w:rsidRPr="00227BEE" w:rsidTr="00F90628">
        <w:tc>
          <w:tcPr>
            <w:tcW w:w="1668" w:type="dxa"/>
            <w:vMerge w:val="restart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387" w:type="dxa"/>
            <w:gridSpan w:val="5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4118" w:type="dxa"/>
            <w:gridSpan w:val="5"/>
          </w:tcPr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3A465D" w:rsidRPr="00227BEE" w:rsidRDefault="003A465D" w:rsidP="00F90628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  <w:vMerge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844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1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850" w:type="dxa"/>
            <w:vAlign w:val="center"/>
          </w:tcPr>
          <w:p w:rsidR="003A465D" w:rsidRPr="002D4F3A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8" w:type="dxa"/>
            <w:vAlign w:val="center"/>
          </w:tcPr>
          <w:p w:rsidR="003A465D" w:rsidRPr="00D450C2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DC3B4C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3A465D" w:rsidRPr="00DC3B4C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104</w:t>
            </w:r>
          </w:p>
        </w:tc>
        <w:tc>
          <w:tcPr>
            <w:tcW w:w="844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86.8</w:t>
            </w:r>
          </w:p>
        </w:tc>
        <w:tc>
          <w:tcPr>
            <w:tcW w:w="992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84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260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858" w:type="dxa"/>
            <w:vAlign w:val="center"/>
          </w:tcPr>
          <w:p w:rsidR="003A465D" w:rsidRPr="00546EA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280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</w:t>
            </w:r>
          </w:p>
        </w:tc>
        <w:tc>
          <w:tcPr>
            <w:tcW w:w="844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75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851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261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</w:t>
            </w:r>
          </w:p>
        </w:tc>
        <w:tc>
          <w:tcPr>
            <w:tcW w:w="858" w:type="dxa"/>
            <w:vAlign w:val="center"/>
          </w:tcPr>
          <w:p w:rsidR="003A465D" w:rsidRPr="00546EA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350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3A465D" w:rsidRPr="00227BEE" w:rsidTr="00F90628">
        <w:trPr>
          <w:trHeight w:val="284"/>
        </w:trPr>
        <w:tc>
          <w:tcPr>
            <w:tcW w:w="1668" w:type="dxa"/>
          </w:tcPr>
          <w:p w:rsidR="003A465D" w:rsidRPr="00227BEE" w:rsidRDefault="003A465D" w:rsidP="00F90628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850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63</w:t>
            </w:r>
          </w:p>
        </w:tc>
        <w:tc>
          <w:tcPr>
            <w:tcW w:w="844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992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851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130.2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</w:p>
        </w:tc>
        <w:tc>
          <w:tcPr>
            <w:tcW w:w="850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858" w:type="dxa"/>
            <w:vAlign w:val="center"/>
          </w:tcPr>
          <w:p w:rsidR="003A465D" w:rsidRPr="00546EAE" w:rsidRDefault="003A465D" w:rsidP="00F906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310</w:t>
            </w:r>
          </w:p>
        </w:tc>
      </w:tr>
      <w:tr w:rsidR="003A465D" w:rsidRPr="00227BEE" w:rsidTr="00F90628">
        <w:trPr>
          <w:trHeight w:val="397"/>
        </w:trPr>
        <w:tc>
          <w:tcPr>
            <w:tcW w:w="1668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248</w:t>
            </w:r>
          </w:p>
        </w:tc>
        <w:tc>
          <w:tcPr>
            <w:tcW w:w="844" w:type="dxa"/>
            <w:vAlign w:val="center"/>
          </w:tcPr>
          <w:p w:rsidR="003A465D" w:rsidRPr="003553F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197.3</w:t>
            </w:r>
          </w:p>
        </w:tc>
        <w:tc>
          <w:tcPr>
            <w:tcW w:w="992" w:type="dxa"/>
            <w:vAlign w:val="center"/>
          </w:tcPr>
          <w:p w:rsidR="003A465D" w:rsidRPr="00CF7060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178.5</w:t>
            </w:r>
          </w:p>
        </w:tc>
        <w:tc>
          <w:tcPr>
            <w:tcW w:w="850" w:type="dxa"/>
            <w:vAlign w:val="center"/>
          </w:tcPr>
          <w:p w:rsidR="003A465D" w:rsidRPr="002121D5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205</w:t>
            </w:r>
          </w:p>
        </w:tc>
        <w:tc>
          <w:tcPr>
            <w:tcW w:w="851" w:type="dxa"/>
            <w:vAlign w:val="center"/>
          </w:tcPr>
          <w:p w:rsidR="003A465D" w:rsidRPr="00A3735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284.2</w:t>
            </w:r>
          </w:p>
        </w:tc>
        <w:tc>
          <w:tcPr>
            <w:tcW w:w="850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221</w:t>
            </w:r>
          </w:p>
        </w:tc>
        <w:tc>
          <w:tcPr>
            <w:tcW w:w="851" w:type="dxa"/>
            <w:vAlign w:val="center"/>
          </w:tcPr>
          <w:p w:rsidR="003A465D" w:rsidRPr="00626A3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709" w:type="dxa"/>
            <w:vAlign w:val="center"/>
          </w:tcPr>
          <w:p w:rsidR="003A465D" w:rsidRPr="001A6663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274</w:t>
            </w:r>
          </w:p>
        </w:tc>
        <w:tc>
          <w:tcPr>
            <w:tcW w:w="850" w:type="dxa"/>
            <w:vAlign w:val="center"/>
          </w:tcPr>
          <w:p w:rsidR="003A465D" w:rsidRPr="002121D5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A465D" w:rsidRPr="00A3735B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313</w:t>
            </w:r>
          </w:p>
        </w:tc>
      </w:tr>
    </w:tbl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3A465D" w:rsidRDefault="00F90628" w:rsidP="00F9062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  <w:r w:rsidR="003A465D"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област Кърджали посевната площ с осно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>вните пролетни култури през 2020 г. е 2113.75</w:t>
      </w:r>
      <w:r w:rsidR="003A465D" w:rsidRPr="00227BEE"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 xml:space="preserve">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xа. </w:t>
      </w:r>
    </w:p>
    <w:p w:rsidR="003A465D" w:rsidRPr="00227BEE" w:rsidRDefault="00F90628" w:rsidP="00F9062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  <w:r w:rsidR="003A465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</w:t>
      </w:r>
      <w:r w:rsidR="003A465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465D" w:rsidRPr="00227BE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изнесени данни за последните пет години:</w:t>
      </w:r>
    </w:p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3A465D" w:rsidRPr="00227BEE" w:rsidRDefault="003A465D" w:rsidP="003A465D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7</w:t>
      </w:r>
    </w:p>
    <w:p w:rsidR="003A465D" w:rsidRPr="00227BEE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7"/>
        <w:gridCol w:w="1417"/>
        <w:gridCol w:w="1417"/>
        <w:gridCol w:w="1417"/>
        <w:gridCol w:w="1417"/>
        <w:gridCol w:w="1417"/>
      </w:tblGrid>
      <w:tr w:rsidR="003A465D" w:rsidRPr="00227BEE" w:rsidTr="00A80C85">
        <w:tc>
          <w:tcPr>
            <w:tcW w:w="247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3A465D" w:rsidRPr="00D7773C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ха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2016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площ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3A465D" w:rsidRPr="00227BEE" w:rsidTr="00A80C85">
        <w:trPr>
          <w:trHeight w:val="298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Картофи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826,0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852,0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810,5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784,5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492,3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Царевица за зърно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180,5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78,0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105,8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Фасул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110,0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50,0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Масл. слънчоглед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215,0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340,0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363,0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5. Домати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206,0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178,0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164,0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94,0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 Пипер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596,0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531,0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360,0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348,5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293,2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 Дини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61,5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59,3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22,7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30,9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50,3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8. Краставици 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18,35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Пъпеши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33,3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31,2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16,5</w:t>
            </w:r>
          </w:p>
        </w:tc>
        <w:tc>
          <w:tcPr>
            <w:tcW w:w="1417" w:type="dxa"/>
            <w:vAlign w:val="center"/>
          </w:tcPr>
          <w:p w:rsidR="003A465D" w:rsidRPr="00227BEE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13,7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33,15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Ориенталски тютюн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670,0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603,5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836,5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1110,8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880,0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012128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Ечемик - пролетен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17,0</w:t>
            </w:r>
          </w:p>
        </w:tc>
      </w:tr>
      <w:tr w:rsidR="003A465D" w:rsidRPr="00227BEE" w:rsidTr="00A80C85">
        <w:trPr>
          <w:trHeight w:val="284"/>
        </w:trPr>
        <w:tc>
          <w:tcPr>
            <w:tcW w:w="2477" w:type="dxa"/>
            <w:vAlign w:val="center"/>
          </w:tcPr>
          <w:p w:rsidR="003A465D" w:rsidRPr="0035453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12. Зеле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14,2</w:t>
            </w:r>
          </w:p>
        </w:tc>
      </w:tr>
      <w:tr w:rsidR="003A465D" w:rsidRPr="00227BEE" w:rsidTr="00A80C85">
        <w:trPr>
          <w:trHeight w:val="478"/>
        </w:trPr>
        <w:tc>
          <w:tcPr>
            <w:tcW w:w="2477" w:type="dxa"/>
            <w:vAlign w:val="center"/>
          </w:tcPr>
          <w:p w:rsidR="003A465D" w:rsidRPr="006260A5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2898,3</w:t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fldChar w:fldCharType="begin"/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instrText xml:space="preserve"> =SUM(ABOVE) </w:instrText>
            </w: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2622,0</w:t>
            </w:r>
          </w:p>
        </w:tc>
        <w:tc>
          <w:tcPr>
            <w:tcW w:w="1417" w:type="dxa"/>
            <w:vAlign w:val="center"/>
          </w:tcPr>
          <w:p w:rsidR="003A465D" w:rsidRPr="006260A5" w:rsidRDefault="003A465D" w:rsidP="00F9062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2656,2</w:t>
            </w:r>
          </w:p>
        </w:tc>
        <w:tc>
          <w:tcPr>
            <w:tcW w:w="1417" w:type="dxa"/>
            <w:vAlign w:val="center"/>
          </w:tcPr>
          <w:p w:rsidR="003A465D" w:rsidRPr="00D7773C" w:rsidRDefault="003A465D" w:rsidP="00F9062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2920,4</w:t>
            </w:r>
          </w:p>
        </w:tc>
        <w:tc>
          <w:tcPr>
            <w:tcW w:w="1417" w:type="dxa"/>
            <w:vAlign w:val="center"/>
          </w:tcPr>
          <w:p w:rsidR="003A465D" w:rsidRPr="00F90628" w:rsidRDefault="003A465D" w:rsidP="00F9062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</w:t>
            </w: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61</w:t>
            </w: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,3</w:t>
            </w:r>
          </w:p>
        </w:tc>
      </w:tr>
    </w:tbl>
    <w:p w:rsidR="003A465D" w:rsidRDefault="003A465D" w:rsidP="003A465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</w:p>
    <w:p w:rsidR="003A465D" w:rsidRPr="00B155B8" w:rsidRDefault="003A465D" w:rsidP="003A465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дно от таблицата е, че през 2020 </w:t>
      </w:r>
      <w:r w:rsidR="006A11B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спрямо 2019 </w:t>
      </w:r>
      <w:r w:rsidR="006A11B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г. 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област Кърджали площите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засети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пролетни култури са намалели с 559</w:t>
      </w:r>
      <w:r>
        <w:rPr>
          <w:rFonts w:ascii="Times New Roman" w:hAnsi="Times New Roman" w:cs="Times New Roman"/>
          <w:color w:val="000000"/>
          <w:sz w:val="24"/>
          <w:szCs w:val="24"/>
        </w:rPr>
        <w:t>,1</w:t>
      </w:r>
      <w:r w:rsidR="00F90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ха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Отчитаме </w:t>
      </w:r>
      <w:r w:rsidR="00F90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292,2</w:t>
      </w:r>
      <w:r w:rsidR="00F90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намаление на засетите площи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 картофи, 70</w:t>
      </w:r>
      <w:r w:rsidR="00F90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 намаление на площите с домати. 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основни причини за намаляването на засетите площи са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:</w:t>
      </w:r>
      <w:r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демографски/ намаляване на жителите по селата, младите хора търсят по-добри алтернативни източници на доходи/, икономически /високи разходи и ниска изкупна цена на произведената продукция/. Възможността на земеделските стопани за участие в схемите по директни плащания, както и по схемите и мерките по ПРСР доведе до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промени в отглежданите култури, както също и преориентиране на стопанствата от </w:t>
      </w:r>
      <w:r w:rsidRPr="00B155B8">
        <w:rPr>
          <w:rFonts w:ascii="Times New Roman" w:hAnsi="Times New Roman" w:cs="Times New Roman"/>
          <w:color w:val="000000"/>
          <w:sz w:val="24"/>
          <w:szCs w:val="24"/>
          <w:lang w:val="bg-BG"/>
        </w:rPr>
        <w:t>растениевъдни към животновъдни дейности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3A465D" w:rsidRDefault="003A465D" w:rsidP="003A465D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3A465D" w:rsidRPr="00227BEE" w:rsidRDefault="003A465D" w:rsidP="003A465D">
      <w:pPr>
        <w:pStyle w:val="a7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таблица 8</w:t>
      </w:r>
      <w:r w:rsidRPr="00227BEE">
        <w:rPr>
          <w:rFonts w:ascii="Times New Roman" w:hAnsi="Times New Roman"/>
          <w:color w:val="000000"/>
          <w:sz w:val="24"/>
          <w:szCs w:val="24"/>
        </w:rPr>
        <w:t xml:space="preserve"> са изнесени данните за получената продукция от пролетни култури през отчетния период:</w:t>
      </w:r>
    </w:p>
    <w:p w:rsidR="003A465D" w:rsidRPr="00227BEE" w:rsidRDefault="003A465D" w:rsidP="003A465D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3A465D" w:rsidRDefault="003A465D" w:rsidP="003A465D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Таблица 8</w:t>
      </w:r>
    </w:p>
    <w:p w:rsidR="003A465D" w:rsidRDefault="003A465D" w:rsidP="003A465D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A465D" w:rsidRPr="00FE403C" w:rsidRDefault="003A465D" w:rsidP="003A465D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19"/>
        <w:gridCol w:w="2319"/>
        <w:gridCol w:w="2319"/>
      </w:tblGrid>
      <w:tr w:rsidR="003A465D" w:rsidRPr="00227BEE" w:rsidTr="00F90628">
        <w:tc>
          <w:tcPr>
            <w:tcW w:w="2336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Култура</w:t>
            </w:r>
          </w:p>
        </w:tc>
        <w:tc>
          <w:tcPr>
            <w:tcW w:w="231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Засадени площи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ха</w:t>
            </w:r>
          </w:p>
        </w:tc>
        <w:tc>
          <w:tcPr>
            <w:tcW w:w="231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Получена продукция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2319" w:type="dxa"/>
            <w:vAlign w:val="center"/>
          </w:tcPr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3A465D" w:rsidRPr="00227BEE" w:rsidRDefault="003A465D" w:rsidP="00F90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 Пипер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9" w:type="dxa"/>
          </w:tcPr>
          <w:p w:rsidR="003A465D" w:rsidRPr="008B3E0F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531,0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9924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1869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5544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1540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348,5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5825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1671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293,2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7345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251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 Домати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178,0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2236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1256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01.12.2018 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1562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935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F90628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94,0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933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F90628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3. Картофи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9" w:type="dxa"/>
          </w:tcPr>
          <w:p w:rsidR="003A465D" w:rsidRPr="00FE403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852,0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10471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1229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810,5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8356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1031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784,5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7404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944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492,3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4352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884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4. Дини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59,3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448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755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22,7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198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30,9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50,3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441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877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5. Пъпеши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3A465D" w:rsidRPr="00FE403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31,2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316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16,5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63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13,7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192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33,15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562</w:t>
            </w:r>
          </w:p>
        </w:tc>
      </w:tr>
      <w:tr w:rsidR="003A465D" w:rsidRPr="00227BEE" w:rsidTr="00F90628">
        <w:trPr>
          <w:trHeight w:val="208"/>
        </w:trPr>
        <w:tc>
          <w:tcPr>
            <w:tcW w:w="2336" w:type="dxa"/>
          </w:tcPr>
          <w:p w:rsidR="003A465D" w:rsidRPr="00D450C2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6. Тютюн ориенталски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771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603,5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760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126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836,5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1196</w:t>
            </w:r>
          </w:p>
        </w:tc>
        <w:tc>
          <w:tcPr>
            <w:tcW w:w="2319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1110,8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1476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6260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880,0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1236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487C6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7. Фасул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319" w:type="dxa"/>
          </w:tcPr>
          <w:p w:rsidR="003A465D" w:rsidRPr="009B0B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134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129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F90628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8. Слънчоглед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2319" w:type="dxa"/>
          </w:tcPr>
          <w:p w:rsidR="003A465D" w:rsidRPr="009B0BA5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2319" w:type="dxa"/>
          </w:tcPr>
          <w:p w:rsidR="003A465D" w:rsidRPr="00626A33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184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395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155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363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382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9.</w:t>
            </w: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0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1805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542</w:t>
            </w:r>
          </w:p>
        </w:tc>
        <w:tc>
          <w:tcPr>
            <w:tcW w:w="2319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1F7AA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</w:p>
        </w:tc>
        <w:tc>
          <w:tcPr>
            <w:tcW w:w="2319" w:type="dxa"/>
          </w:tcPr>
          <w:p w:rsidR="003A465D" w:rsidRPr="001F7AA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429</w:t>
            </w:r>
          </w:p>
        </w:tc>
        <w:tc>
          <w:tcPr>
            <w:tcW w:w="2319" w:type="dxa"/>
          </w:tcPr>
          <w:p w:rsidR="003A465D" w:rsidRPr="001F7AA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353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Pr="00227BEE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</w:t>
            </w: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279</w:t>
            </w:r>
          </w:p>
        </w:tc>
        <w:tc>
          <w:tcPr>
            <w:tcW w:w="2319" w:type="dxa"/>
          </w:tcPr>
          <w:p w:rsidR="003A465D" w:rsidRPr="0003326C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358</w:t>
            </w:r>
          </w:p>
        </w:tc>
      </w:tr>
      <w:tr w:rsidR="003A465D" w:rsidRPr="00227BEE" w:rsidTr="00F90628">
        <w:tc>
          <w:tcPr>
            <w:tcW w:w="2336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105,8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183,7</w:t>
            </w:r>
          </w:p>
        </w:tc>
        <w:tc>
          <w:tcPr>
            <w:tcW w:w="2319" w:type="dxa"/>
          </w:tcPr>
          <w:p w:rsidR="003A465D" w:rsidRDefault="003A465D" w:rsidP="00F906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174</w:t>
            </w:r>
          </w:p>
        </w:tc>
      </w:tr>
    </w:tbl>
    <w:p w:rsidR="003A465D" w:rsidRDefault="003A465D" w:rsidP="003A465D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553EA1" w:rsidRDefault="00553EA1" w:rsidP="00553EA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област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 развива екс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тензивно земеделие -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дребни частни стопанства, които обработват малки по размер площи и произвеждат продукция с висока себестойност. Характерно за производителите от областта е, че работят със собствени средства.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Липсата на з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емеделски кооперации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, групи производители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арендатори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, както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наличие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>то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голям брой наследници на 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имоти и липса на делби между тях</w:t>
      </w:r>
      <w:r w:rsidRPr="003A209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правят невъзможен процеса по комасация на земеделските земи в регион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1B4CD2" w:rsidRDefault="001B4CD2" w:rsidP="001B4CD2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стопанс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ката 2020/2021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, процедура по създаване на масиви за ползване на земеделски земи и изготвяне на споразумения между собственици и/или ползватели е проведена на територията на </w:t>
      </w:r>
      <w:r w:rsidR="0092464E">
        <w:rPr>
          <w:rFonts w:ascii="Times New Roman" w:hAnsi="Times New Roman" w:cs="Times New Roman"/>
          <w:bCs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община Крумовград, община Кърджали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, общ. Момчилград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община Черноочене.</w:t>
      </w:r>
    </w:p>
    <w:p w:rsidR="001B4CD2" w:rsidRDefault="001B4CD2" w:rsidP="001B4CD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Проведени са заседания на комисиите по чл. 37в, ал. 1 на които са присъствали собственици, ползватели и други заинтересовани лица. За всяко заседание на комисиите по чл. 37, ал. е съставен протокол. </w:t>
      </w:r>
    </w:p>
    <w:p w:rsidR="0092464E" w:rsidRDefault="0092464E" w:rsidP="00924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Сключените доброволни споразумения за ползване са </w:t>
      </w:r>
      <w:r w:rsidRPr="00216CD2">
        <w:rPr>
          <w:rFonts w:ascii="Times New Roman" w:hAnsi="Times New Roman" w:cs="Times New Roman"/>
          <w:bCs/>
          <w:sz w:val="24"/>
          <w:szCs w:val="24"/>
          <w:lang w:val="bg-BG"/>
        </w:rPr>
        <w:t>65 бр.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обща площ 27975.522 дка. </w:t>
      </w:r>
      <w:r w:rsidRPr="00216CD2">
        <w:rPr>
          <w:rFonts w:ascii="Times New Roman" w:hAnsi="Times New Roman" w:cs="Times New Roman"/>
          <w:sz w:val="24"/>
          <w:szCs w:val="24"/>
          <w:lang w:val="bg-BG"/>
        </w:rPr>
        <w:t>Изготвени са</w:t>
      </w:r>
      <w:r w:rsidRPr="00216CD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18 бр. </w:t>
      </w:r>
      <w:r w:rsidRPr="00216CD2">
        <w:rPr>
          <w:rFonts w:ascii="Times New Roman" w:hAnsi="Times New Roman" w:cs="Times New Roman"/>
          <w:bCs/>
          <w:sz w:val="24"/>
          <w:szCs w:val="24"/>
          <w:lang w:val="ru-RU"/>
        </w:rPr>
        <w:t>проекти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разпределение на масивите за ползване с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обща площ 1395.571 дка.</w:t>
      </w:r>
    </w:p>
    <w:p w:rsidR="0092464E" w:rsidRDefault="0092464E" w:rsidP="0092464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територията на област Кърджали са издадени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общо 83 бр. заповеди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37в, ал. 4 от ЗСПЗЗ. Площ на включените имоти по чл. 37в, ал.3, т. 2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е общо 15060.003 дка.</w:t>
      </w:r>
    </w:p>
    <w:p w:rsidR="0092464E" w:rsidRDefault="0092464E" w:rsidP="00924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чл.3, ал. 4 от Устройствения правилник на областните дирекции „Земеделие“, чл. 37в, ал. 4 от ЗСПЗЗ, във връзка с чл. 37в, ал. 16 от ЗСПЗЗ и изтекъл едномесечен срок за приемане на решение от Общински съвет – Черноочене  и общински съвет Крумовград по искане на директора на ОД „Земеделие“ за предоставяне за ползване на имотите – полски пътища, включени в заповедта са издадени заповеди за 20 землища на територията на община Черноочене и 7 бр. землища на територията на община Крумовград.</w:t>
      </w:r>
    </w:p>
    <w:p w:rsidR="0092464E" w:rsidRDefault="0092464E" w:rsidP="009246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Издадени са 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17 бр. заповеди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E13F46" w:rsidRPr="00097770" w:rsidRDefault="00E13F46" w:rsidP="00521B7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2464E" w:rsidRPr="006C1A91" w:rsidRDefault="0092464E" w:rsidP="0092464E">
      <w:pPr>
        <w:tabs>
          <w:tab w:val="left" w:pos="11070"/>
        </w:tabs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ЖИВОТНОВЪДСТВО</w:t>
      </w:r>
    </w:p>
    <w:p w:rsidR="0092464E" w:rsidRPr="006C1A91" w:rsidRDefault="0092464E" w:rsidP="0092464E">
      <w:pPr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bg-BG"/>
        </w:rPr>
      </w:pPr>
    </w:p>
    <w:p w:rsidR="0092464E" w:rsidRPr="005B3E96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ru-RU"/>
        </w:rPr>
        <w:t xml:space="preserve">Животновъдството е основен поминък на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земеделските стопани</w:t>
      </w:r>
      <w:r w:rsidRPr="005B3E96">
        <w:rPr>
          <w:rFonts w:ascii="Times New Roman" w:hAnsi="Times New Roman" w:cs="Times New Roman"/>
          <w:sz w:val="24"/>
          <w:szCs w:val="24"/>
          <w:lang w:val="ru-RU"/>
        </w:rPr>
        <w:t xml:space="preserve"> от Кърджалийска област. Отглеждат се предимно крави за мляко и месо, добре развито е и овцевъдството. По брой говеда областта се нарежда на второ място в страната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464E" w:rsidRPr="005B3E96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област Кърджали към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01.2020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г. се отглеждат следните видове и брой животни, както и птици по данни, предоставени от общинските служби по земеделие.</w:t>
      </w:r>
    </w:p>
    <w:p w:rsidR="0092464E" w:rsidRPr="005B3E96" w:rsidRDefault="0092464E" w:rsidP="009246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9</w:t>
      </w: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1010"/>
        <w:gridCol w:w="1255"/>
        <w:gridCol w:w="1276"/>
        <w:gridCol w:w="1134"/>
        <w:gridCol w:w="1276"/>
        <w:gridCol w:w="1197"/>
      </w:tblGrid>
      <w:tr w:rsidR="0092464E" w:rsidRPr="006260A5" w:rsidTr="00A80C85">
        <w:tc>
          <w:tcPr>
            <w:tcW w:w="2379" w:type="dxa"/>
          </w:tcPr>
          <w:p w:rsidR="0092464E" w:rsidRPr="006260A5" w:rsidRDefault="0092464E" w:rsidP="00617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животни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2016г.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2017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2018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197" w:type="dxa"/>
          </w:tcPr>
          <w:p w:rsidR="0092464E" w:rsidRPr="008B1DCA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Говеда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69651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71884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68994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68305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60763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крави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55720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57500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55195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47810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42530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Овце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96570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90543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87162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85329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77258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овце–майки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93000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82 000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78445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73309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69532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Кози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7458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7250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7546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8301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кози–майки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6800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6500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6550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6571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7470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 Свине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205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свине–майки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</w:tr>
      <w:tr w:rsidR="0092464E" w:rsidRPr="006260A5" w:rsidTr="00A80C85">
        <w:trPr>
          <w:trHeight w:hRule="exact"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Птици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286,00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177, 000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285.00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277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</w:t>
            </w:r>
          </w:p>
        </w:tc>
      </w:tr>
      <w:tr w:rsidR="0092464E" w:rsidRPr="006260A5" w:rsidTr="00A80C85">
        <w:tc>
          <w:tcPr>
            <w:tcW w:w="2379" w:type="dxa"/>
          </w:tcPr>
          <w:p w:rsidR="0092464E" w:rsidRPr="006260A5" w:rsidRDefault="0092464E" w:rsidP="00617AF4">
            <w:pPr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 ч. кокошки–носачки</w:t>
            </w:r>
          </w:p>
        </w:tc>
        <w:tc>
          <w:tcPr>
            <w:tcW w:w="1010" w:type="dxa"/>
            <w:vAlign w:val="bottom"/>
          </w:tcPr>
          <w:p w:rsidR="0092464E" w:rsidRPr="006260A5" w:rsidRDefault="0092464E" w:rsidP="00617AF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92464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160,0</w:t>
            </w:r>
          </w:p>
        </w:tc>
        <w:tc>
          <w:tcPr>
            <w:tcW w:w="1134" w:type="dxa"/>
          </w:tcPr>
          <w:p w:rsidR="0092464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280.00</w:t>
            </w:r>
          </w:p>
        </w:tc>
        <w:tc>
          <w:tcPr>
            <w:tcW w:w="1276" w:type="dxa"/>
          </w:tcPr>
          <w:p w:rsidR="0092464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  <w:tc>
          <w:tcPr>
            <w:tcW w:w="1197" w:type="dxa"/>
          </w:tcPr>
          <w:p w:rsidR="0092464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</w:t>
            </w:r>
          </w:p>
        </w:tc>
      </w:tr>
      <w:tr w:rsidR="0092464E" w:rsidRPr="006260A5" w:rsidTr="00A80C85">
        <w:trPr>
          <w:trHeight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бройлери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2464E" w:rsidRPr="006260A5" w:rsidTr="00A80C85">
        <w:trPr>
          <w:trHeight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Зайци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1524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2446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2500</w:t>
            </w:r>
          </w:p>
        </w:tc>
      </w:tr>
      <w:tr w:rsidR="0092464E" w:rsidRPr="006260A5" w:rsidTr="00A80C85">
        <w:trPr>
          <w:trHeight w:val="550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зайкини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1524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2330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2300</w:t>
            </w:r>
          </w:p>
        </w:tc>
      </w:tr>
      <w:tr w:rsidR="0092464E" w:rsidRPr="006260A5" w:rsidTr="00A80C85">
        <w:trPr>
          <w:trHeight w:val="288"/>
        </w:trPr>
        <w:tc>
          <w:tcPr>
            <w:tcW w:w="2379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 Пчелни семейства</w:t>
            </w:r>
          </w:p>
        </w:tc>
        <w:tc>
          <w:tcPr>
            <w:tcW w:w="1010" w:type="dxa"/>
          </w:tcPr>
          <w:p w:rsidR="0092464E" w:rsidRPr="006260A5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16677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16000</w:t>
            </w:r>
          </w:p>
        </w:tc>
        <w:tc>
          <w:tcPr>
            <w:tcW w:w="1134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15421</w:t>
            </w:r>
          </w:p>
        </w:tc>
        <w:tc>
          <w:tcPr>
            <w:tcW w:w="1276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16265</w:t>
            </w:r>
          </w:p>
        </w:tc>
        <w:tc>
          <w:tcPr>
            <w:tcW w:w="1197" w:type="dxa"/>
          </w:tcPr>
          <w:p w:rsidR="0092464E" w:rsidRPr="006260A5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16110</w:t>
            </w:r>
          </w:p>
        </w:tc>
      </w:tr>
    </w:tbl>
    <w:p w:rsidR="0092464E" w:rsidRPr="005B3E96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5B3E96" w:rsidRDefault="0092464E" w:rsidP="0092464E">
      <w:pPr>
        <w:ind w:left="-9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59264" behindDoc="0" locked="0" layoutInCell="1" allowOverlap="1" wp14:anchorId="73A31ADB" wp14:editId="534A37FF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5701030" cy="3303905"/>
            <wp:effectExtent l="0" t="0" r="0" b="0"/>
            <wp:wrapSquare wrapText="right"/>
            <wp:docPr id="6" name="Об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2635" w:rsidRPr="005B3E96" w:rsidRDefault="0092464E" w:rsidP="00F8263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От изнесените данни </w:t>
      </w:r>
      <w:r w:rsidR="006A11B8">
        <w:rPr>
          <w:rFonts w:ascii="Times New Roman" w:hAnsi="Times New Roman" w:cs="Times New Roman"/>
          <w:sz w:val="24"/>
          <w:szCs w:val="24"/>
          <w:lang w:val="bg-BG"/>
        </w:rPr>
        <w:t>през 2020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>
        <w:rPr>
          <w:rFonts w:ascii="Times New Roman" w:hAnsi="Times New Roman" w:cs="Times New Roman"/>
          <w:sz w:val="24"/>
          <w:szCs w:val="24"/>
          <w:lang w:val="bg-BG"/>
        </w:rPr>
        <w:t>е видно намаление при броя на говедата, в т.ч. крави, при овцете.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 xml:space="preserve"> Запазва се тенденцията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 xml:space="preserve">за намаляване на стопанствата, в които се отглеждат 1 - 2 крави. Като основна причина за намаляване на броя на говедата </w:t>
      </w:r>
      <w:r w:rsidR="00F82635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>ниските изкупни цени на млякото и месото.</w:t>
      </w:r>
    </w:p>
    <w:p w:rsidR="0092464E" w:rsidRPr="005B3E96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Схемите и мерките по директни плащания, както също и ПРСР, оказват влияние на броя на  животните.  </w:t>
      </w: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Овцевъдството в нашия регион е традиционен отрасъл. Има създадени две сдружения на овцевъдите. Проблемите пред отрасъла са високите цени на фуражите и ниските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изкупни цени на живите агнета.</w:t>
      </w:r>
    </w:p>
    <w:p w:rsidR="0092464E" w:rsidRPr="0050406C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областта има създаден областен консултативен съвет по животновъдство. Целите на областния консултативен съвет са:</w:t>
      </w:r>
    </w:p>
    <w:p w:rsidR="0092464E" w:rsidRPr="0050406C" w:rsidRDefault="00002F0C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Обсъждане на п</w:t>
      </w:r>
      <w:r w:rsidR="0092464E" w:rsidRPr="0050406C">
        <w:rPr>
          <w:rFonts w:ascii="Times New Roman" w:hAnsi="Times New Roman" w:cs="Times New Roman"/>
          <w:sz w:val="24"/>
          <w:szCs w:val="24"/>
        </w:rPr>
        <w:t xml:space="preserve">роблемите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областно ниво </w:t>
      </w:r>
      <w:r w:rsidR="0092464E" w:rsidRPr="0050406C">
        <w:rPr>
          <w:rFonts w:ascii="Times New Roman" w:hAnsi="Times New Roman" w:cs="Times New Roman"/>
          <w:sz w:val="24"/>
          <w:szCs w:val="24"/>
        </w:rPr>
        <w:t>в сектор животновъдство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464E" w:rsidRPr="0050406C" w:rsidRDefault="0092464E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Да се информират животновъдите за новостите в сектора. /отдаването на пасища и мери от ОПФ и ДПФ, схеми и мерки за подпомагане.</w:t>
      </w:r>
    </w:p>
    <w:p w:rsidR="0092464E" w:rsidRPr="0050406C" w:rsidRDefault="0092464E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Законодателни инициативи предложения.</w:t>
      </w:r>
    </w:p>
    <w:p w:rsidR="0092464E" w:rsidRPr="0050406C" w:rsidRDefault="0092464E" w:rsidP="009246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4. </w:t>
      </w:r>
      <w:r w:rsidRPr="0050406C">
        <w:rPr>
          <w:rFonts w:ascii="Times New Roman" w:hAnsi="Times New Roman" w:cs="Times New Roman"/>
          <w:sz w:val="24"/>
          <w:szCs w:val="24"/>
        </w:rPr>
        <w:t>Допълнителни срещи с друг институции / Развъдни организации, изп. Агенция по селекция и репродукция в животновъдството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464E" w:rsidRDefault="0092464E" w:rsidP="00F826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92464E" w:rsidRDefault="0092464E" w:rsidP="0092464E">
      <w:pPr>
        <w:ind w:right="-8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464E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2464E" w:rsidRPr="006C1A91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ІІІ. РЕГИСТРАЦИЯ НА ЗЕМЕДЕЛСКИ СТОПАНИ</w:t>
      </w:r>
    </w:p>
    <w:p w:rsidR="0092464E" w:rsidRPr="006C1A91" w:rsidRDefault="0092464E" w:rsidP="0092464E">
      <w:pPr>
        <w:ind w:left="1080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  <w:lang w:val="bg-BG"/>
        </w:rPr>
      </w:pPr>
    </w:p>
    <w:p w:rsidR="0092464E" w:rsidRPr="005B3E96" w:rsidRDefault="00002F0C" w:rsidP="00D800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2020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г. поддържането на Регистъра на земеделските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обхвана следните дейности: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Набиране и актуализиране на информация за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и за дейността им с цел подпомагане на земеделието;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Поддържане на информационна система за регистъра на областно и централно ниво;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списък с регистрираните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на Агенцията по заетостта;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предоставяне на кредити и субсидии от ДФ „Земеделие”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стопаните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акту</w:t>
      </w:r>
      <w:r>
        <w:rPr>
          <w:rFonts w:ascii="Times New Roman" w:hAnsi="Times New Roman" w:cs="Times New Roman"/>
          <w:sz w:val="24"/>
          <w:szCs w:val="24"/>
          <w:lang w:val="bg-BG"/>
        </w:rPr>
        <w:t>ализират данните си в Регистъра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, като отразяват всяка промяна, попълвайки анкетни формуляри. </w:t>
      </w:r>
    </w:p>
    <w:p w:rsidR="0092464E" w:rsidRPr="005B3E96" w:rsidRDefault="0092464E" w:rsidP="009246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    През отчетният период бе създадена добра организация от ОДЗ Кърджа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 и общинските служби, относно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уведомяване на всички регистрирани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и в областта за предстоящата кампания по пререгистрация.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10</w:t>
      </w:r>
    </w:p>
    <w:p w:rsidR="0092464E" w:rsidRPr="005B3E96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92464E" w:rsidRPr="005B3E96" w:rsidTr="00617AF4">
        <w:tc>
          <w:tcPr>
            <w:tcW w:w="9743" w:type="dxa"/>
            <w:gridSpan w:val="6"/>
          </w:tcPr>
          <w:p w:rsidR="0092464E" w:rsidRPr="00CE48A9" w:rsidRDefault="0092464E" w:rsidP="00617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E4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Регистрирани  земеделски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стопани</w:t>
            </w:r>
            <w:r w:rsidRPr="00CE4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в област Кърджали</w:t>
            </w:r>
          </w:p>
          <w:p w:rsidR="0092464E" w:rsidRPr="00CE48A9" w:rsidRDefault="0092464E" w:rsidP="00617A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2464E" w:rsidRPr="005B3E96" w:rsidTr="00617AF4">
        <w:tc>
          <w:tcPr>
            <w:tcW w:w="1623" w:type="dxa"/>
          </w:tcPr>
          <w:p w:rsidR="0092464E" w:rsidRPr="007C6720" w:rsidRDefault="0092464E" w:rsidP="00617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2015г.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2016г.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2017г.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2018г.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2019г.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2020</w:t>
            </w:r>
            <w:r w:rsidRPr="007C672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92464E" w:rsidRPr="005B3E96" w:rsidTr="00617AF4">
        <w:tc>
          <w:tcPr>
            <w:tcW w:w="1623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7085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</w:rPr>
              <w:t>7497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8086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8527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C672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8455</w:t>
            </w:r>
          </w:p>
        </w:tc>
        <w:tc>
          <w:tcPr>
            <w:tcW w:w="1624" w:type="dxa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5497</w:t>
            </w:r>
          </w:p>
        </w:tc>
      </w:tr>
    </w:tbl>
    <w:p w:rsidR="0092464E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800B7" w:rsidRDefault="0092464E" w:rsidP="009246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D800B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92464E" w:rsidRDefault="00D800B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В таблица 11 е видно разпределението на регистрираните земеделски стопани на територията на област Кърджали:</w:t>
      </w:r>
    </w:p>
    <w:p w:rsidR="0092464E" w:rsidRDefault="0092464E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00B7" w:rsidRDefault="00D800B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</w:t>
      </w:r>
    </w:p>
    <w:p w:rsidR="0092464E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81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2316"/>
        <w:gridCol w:w="2126"/>
        <w:gridCol w:w="2115"/>
        <w:gridCol w:w="2137"/>
      </w:tblGrid>
      <w:tr w:rsidR="0092464E" w:rsidRPr="00282B96" w:rsidTr="00617AF4">
        <w:trPr>
          <w:trHeight w:val="585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 xml:space="preserve">№ 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>ОСЗ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>Бр. землища на територията на общината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282B96">
              <w:rPr>
                <w:b/>
                <w:bCs/>
                <w:lang w:val="bg-BG" w:eastAsia="bg-BG"/>
              </w:rPr>
              <w:t xml:space="preserve">Бр. регистрирани земеделски </w:t>
            </w:r>
            <w:r>
              <w:rPr>
                <w:b/>
                <w:bCs/>
                <w:lang w:val="bg-BG" w:eastAsia="bg-BG"/>
              </w:rPr>
              <w:t>стопан</w:t>
            </w:r>
            <w:r w:rsidRPr="00282B96">
              <w:rPr>
                <w:b/>
                <w:bCs/>
                <w:lang w:val="bg-BG" w:eastAsia="bg-BG"/>
              </w:rPr>
              <w:t xml:space="preserve">и </w:t>
            </w:r>
            <w:r>
              <w:rPr>
                <w:b/>
                <w:bCs/>
                <w:lang w:val="bg-BG" w:eastAsia="bg-BG"/>
              </w:rPr>
              <w:t>Н</w:t>
            </w:r>
            <w:r w:rsidRPr="00282B96">
              <w:rPr>
                <w:b/>
                <w:bCs/>
                <w:lang w:val="bg-BG" w:eastAsia="bg-BG"/>
              </w:rPr>
              <w:t>аредба3/1999</w:t>
            </w:r>
          </w:p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</w:p>
        </w:tc>
      </w:tr>
      <w:tr w:rsidR="0092464E" w:rsidRPr="00282B96" w:rsidTr="00617AF4">
        <w:trPr>
          <w:trHeight w:val="315"/>
        </w:trPr>
        <w:tc>
          <w:tcPr>
            <w:tcW w:w="108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</w:p>
        </w:tc>
        <w:tc>
          <w:tcPr>
            <w:tcW w:w="2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64E" w:rsidRPr="00282B96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64E" w:rsidRPr="00282B96" w:rsidRDefault="0092464E" w:rsidP="00617AF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2019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282B96" w:rsidRDefault="0092464E" w:rsidP="00617AF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2020 г.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Ардино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519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323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Джебел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567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323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Кирково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73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1437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927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Крумовград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80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1457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1054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Кърджали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11</w:t>
            </w:r>
            <w:r w:rsidRPr="007C6720">
              <w:rPr>
                <w:bCs/>
                <w:lang w:eastAsia="bg-BG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2583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1611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Момчилград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1255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760</w:t>
            </w:r>
          </w:p>
        </w:tc>
      </w:tr>
      <w:tr w:rsidR="0092464E" w:rsidRPr="00282B96" w:rsidTr="00617AF4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Черноочене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eastAsia="bg-BG"/>
              </w:rPr>
            </w:pPr>
            <w:r w:rsidRPr="007C6720">
              <w:rPr>
                <w:bCs/>
                <w:lang w:eastAsia="bg-BG"/>
              </w:rPr>
              <w:t>51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637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499</w:t>
            </w:r>
          </w:p>
        </w:tc>
      </w:tr>
      <w:tr w:rsidR="0092464E" w:rsidRPr="00282B96" w:rsidTr="00617AF4">
        <w:trPr>
          <w:trHeight w:val="27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Общо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464E" w:rsidRPr="007C6720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7C6720">
              <w:rPr>
                <w:bCs/>
                <w:lang w:val="bg-BG" w:eastAsia="bg-BG"/>
              </w:rPr>
              <w:t>4</w:t>
            </w:r>
            <w:r w:rsidRPr="007C6720">
              <w:rPr>
                <w:bCs/>
                <w:lang w:eastAsia="bg-BG"/>
              </w:rPr>
              <w:t>7</w:t>
            </w:r>
            <w:r w:rsidRPr="007C6720">
              <w:rPr>
                <w:bCs/>
                <w:lang w:val="bg-BG" w:eastAsia="bg-BG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 w:rsidRPr="00EB318E">
              <w:rPr>
                <w:bCs/>
                <w:lang w:val="bg-BG" w:eastAsia="bg-BG"/>
              </w:rPr>
              <w:t>8455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464E" w:rsidRPr="00EB318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5497</w:t>
            </w:r>
          </w:p>
        </w:tc>
      </w:tr>
    </w:tbl>
    <w:p w:rsidR="0092464E" w:rsidRPr="00282B96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800B7" w:rsidRDefault="0092464E" w:rsidP="009246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92464E" w:rsidRDefault="00D800B7" w:rsidP="0092464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92464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В таблица  12 и 13 е представена информация за регистрираните тютюнопроизводители по общини в базата на тютюнопроизводители през 2018 г. и 2019 г. Видно е намаление 523 бр. тютюнопроизводители.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12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416"/>
        <w:gridCol w:w="2415"/>
        <w:gridCol w:w="783"/>
        <w:gridCol w:w="1487"/>
        <w:gridCol w:w="2383"/>
      </w:tblGrid>
      <w:tr w:rsidR="0092464E" w:rsidRPr="0092105E" w:rsidTr="00617AF4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егистрир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ани тютнопроизводители през 2020 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г. </w:t>
            </w:r>
          </w:p>
        </w:tc>
      </w:tr>
      <w:tr w:rsidR="0092464E" w:rsidRPr="0092105E" w:rsidTr="00617AF4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92464E" w:rsidRPr="0092105E" w:rsidTr="00617AF4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1 350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11 440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1 165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982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160 374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2 435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2 132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343 403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16 045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11 670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50 870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4 283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3 748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595 152</w:t>
            </w:r>
          </w:p>
        </w:tc>
      </w:tr>
    </w:tbl>
    <w:p w:rsidR="0092464E" w:rsidRPr="0092105E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D800B7" w:rsidRDefault="00D800B7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D800B7" w:rsidRDefault="00D800B7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13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416"/>
        <w:gridCol w:w="2415"/>
        <w:gridCol w:w="783"/>
        <w:gridCol w:w="1487"/>
        <w:gridCol w:w="2383"/>
      </w:tblGrid>
      <w:tr w:rsidR="0092464E" w:rsidRPr="0092105E" w:rsidTr="00617AF4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егистрир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ани тютнопроизводители през 2019 </w:t>
            </w: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г. </w:t>
            </w:r>
          </w:p>
        </w:tc>
      </w:tr>
      <w:tr w:rsidR="0092464E" w:rsidRPr="0092105E" w:rsidTr="00617AF4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92464E" w:rsidRPr="0092105E" w:rsidTr="00617AF4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92464E" w:rsidRPr="0092105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13 310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1 828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1 574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258 695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4 211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3 471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530 514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28 724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10 340</w:t>
            </w:r>
          </w:p>
        </w:tc>
      </w:tr>
      <w:tr w:rsidR="0092464E" w:rsidRPr="0094206D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2105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92105E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94206D" w:rsidRDefault="0092464E" w:rsidP="00617A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87 140</w:t>
            </w:r>
          </w:p>
        </w:tc>
      </w:tr>
      <w:tr w:rsidR="0092464E" w:rsidRPr="00F1411E" w:rsidTr="00617AF4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14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1 235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7 121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6 023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464E" w:rsidRPr="00F1411E" w:rsidRDefault="0092464E" w:rsidP="00617A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928 723</w:t>
            </w:r>
          </w:p>
        </w:tc>
      </w:tr>
    </w:tbl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2464E" w:rsidRDefault="0092464E" w:rsidP="0092464E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4B74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7C581B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2D2324" w:rsidRDefault="00E13F46" w:rsidP="007C581B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</w:rPr>
        <w:t>V.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КАМПАНИЯ ПО РЕГИСТРИРАНЕ НА ЗАЯВЛЕНИЯ ПО СХЕМИ И МЕ</w:t>
      </w:r>
      <w:r w:rsidR="00D800B7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РКИ ЗА ДИРЕКТИ ПЛАЩАНИЯ ПРЕЗ 2020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г.</w:t>
      </w:r>
    </w:p>
    <w:p w:rsidR="00E13F46" w:rsidRPr="002D2324" w:rsidRDefault="00E13F46" w:rsidP="00B472EA">
      <w:pPr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E61458" w:rsidRDefault="00E13F46" w:rsidP="00E61458">
      <w:pPr>
        <w:tabs>
          <w:tab w:val="left" w:pos="9604"/>
        </w:tabs>
        <w:ind w:right="-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           От гледна точка на  обезпечение на цялостния процес, относно специалисти, техника и консумативи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предстоящата кампания б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е извърш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ено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следното: 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С оглед на добрата организация във всяка общинска служба се определиха  помещенията за регистрация и подаване на заявление за подпомагане;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Определиха се също така и служителите, които ще участват в цялостния процес;</w:t>
      </w:r>
    </w:p>
    <w:p w:rsidR="00E13F46" w:rsidRPr="00E61458" w:rsidRDefault="00E13F46" w:rsidP="00E61458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извършена профилактика н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аличната техника бе проверена и подготвена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работа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13F46" w:rsidRPr="00D800B7" w:rsidRDefault="00E13F46" w:rsidP="00D800B7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Осигуриха се необходимите консумативи, съобразно нуждите на всяка ОСЗ;</w:t>
      </w:r>
    </w:p>
    <w:p w:rsidR="00E13F46" w:rsidRDefault="00E13F46" w:rsidP="00562C05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Проведоха се опреснителни курсове за работа с ИСАК, а новоназначените служители преминаха успешно курс на обучение, проведен от представители на ОДЗ.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D800B7">
        <w:rPr>
          <w:rFonts w:ascii="Times New Roman" w:hAnsi="Times New Roman" w:cs="Times New Roman"/>
          <w:sz w:val="24"/>
          <w:szCs w:val="24"/>
          <w:lang w:val="bg-BG"/>
        </w:rPr>
        <w:t>В област Кърджали Кампания 2020</w:t>
      </w:r>
      <w:r w:rsidR="00EE2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>г. протеч</w:t>
      </w:r>
      <w:r w:rsidR="00DE0E9F">
        <w:rPr>
          <w:rFonts w:ascii="Times New Roman" w:hAnsi="Times New Roman" w:cs="Times New Roman"/>
          <w:sz w:val="24"/>
          <w:szCs w:val="24"/>
          <w:lang w:val="bg-BG"/>
        </w:rPr>
        <w:t xml:space="preserve">е изключително активно, при спазване на всички противоепидемични мерки и действия за ограничаване на разпространението на заболяването </w:t>
      </w:r>
      <w:r w:rsidR="00DE0E9F">
        <w:rPr>
          <w:rFonts w:ascii="Times New Roman" w:hAnsi="Times New Roman" w:cs="Times New Roman"/>
          <w:sz w:val="24"/>
          <w:szCs w:val="24"/>
        </w:rPr>
        <w:t>COVID</w:t>
      </w:r>
      <w:r w:rsidR="00B34EE0">
        <w:rPr>
          <w:rFonts w:ascii="Times New Roman" w:hAnsi="Times New Roman" w:cs="Times New Roman"/>
          <w:sz w:val="24"/>
          <w:szCs w:val="24"/>
        </w:rPr>
        <w:t xml:space="preserve">.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Броят на регистрираните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общо за областта е 15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1265">
        <w:rPr>
          <w:rFonts w:ascii="Times New Roman" w:hAnsi="Times New Roman" w:cs="Times New Roman"/>
          <w:sz w:val="24"/>
          <w:szCs w:val="24"/>
          <w:lang w:val="bg-BG"/>
        </w:rPr>
        <w:t>123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бр., което е с </w:t>
      </w:r>
      <w:r w:rsidR="00B61265">
        <w:rPr>
          <w:rFonts w:ascii="Times New Roman" w:hAnsi="Times New Roman" w:cs="Times New Roman"/>
          <w:sz w:val="24"/>
          <w:szCs w:val="24"/>
          <w:lang w:val="bg-BG"/>
        </w:rPr>
        <w:t>358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по-малко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спрямо 201</w:t>
      </w:r>
      <w:r w:rsidR="00B6126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 xml:space="preserve"> В таблица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приетите заявления по общини.</w:t>
      </w:r>
    </w:p>
    <w:p w:rsidR="00E13F46" w:rsidRDefault="00E13F46" w:rsidP="00B155B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E13F46" w:rsidRPr="00B155B8" w:rsidRDefault="00971414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14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969"/>
      </w:tblGrid>
      <w:tr w:rsidR="00E13F46" w:rsidRPr="00693227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B6126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 заявления за подпомагане 2019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693227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B61265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ти заявления за подпомагане 2020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570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797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4212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4002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2523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1438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Черноочене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1581</w:t>
            </w:r>
          </w:p>
        </w:tc>
      </w:tr>
      <w:tr w:rsidR="00B61265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693227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693227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Pr="00B61265" w:rsidRDefault="00B61265" w:rsidP="00B61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15123</w:t>
            </w:r>
          </w:p>
        </w:tc>
      </w:tr>
    </w:tbl>
    <w:p w:rsidR="00E13F46" w:rsidRDefault="00E13F46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1265" w:rsidRPr="005B3E96" w:rsidRDefault="00B61265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84988" w:rsidRDefault="00D84988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D84988" w:rsidRDefault="00D84988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D84988" w:rsidRDefault="00D84988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D84988" w:rsidRDefault="00D84988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46D86">
        <w:rPr>
          <w:rFonts w:ascii="Times New Roman" w:hAnsi="Times New Roman" w:cs="Times New Roman"/>
          <w:sz w:val="24"/>
          <w:szCs w:val="24"/>
          <w:lang w:val="ru-RU"/>
        </w:rPr>
        <w:t>В таблица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 представени най-често заявяваните култури по схемата за едино плащане на площ:</w:t>
      </w:r>
    </w:p>
    <w:p w:rsidR="00E13F46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E13F46" w:rsidRPr="00B155B8" w:rsidRDefault="00F46D8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15</w:t>
      </w: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559"/>
        <w:gridCol w:w="1418"/>
      </w:tblGrid>
      <w:tr w:rsidR="00E13F46" w:rsidRPr="003B52B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Схема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Площ 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Заявл. Бр.</w:t>
            </w:r>
          </w:p>
        </w:tc>
      </w:tr>
      <w:tr w:rsidR="00B61265" w:rsidRPr="003B52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pPr>
              <w:overflowPunct/>
              <w:autoSpaceDE/>
              <w:autoSpaceDN/>
              <w:adjustRightInd/>
              <w:textAlignment w:val="auto"/>
              <w:rPr>
                <w:lang w:val="bg-BG" w:eastAsia="bg-BG"/>
              </w:rPr>
            </w:pPr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1265" w:rsidRDefault="00B61265" w:rsidP="00B61265">
            <w:r>
              <w:t>Постоянни или временни пасища за паша на животни (пасища и мери за паша)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12205,41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1694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Ливади за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1869,56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927</w:t>
            </w:r>
          </w:p>
        </w:tc>
      </w:tr>
      <w:tr w:rsidR="00B61265" w:rsidRPr="003B52B6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1265" w:rsidRDefault="00B61265" w:rsidP="00B61265">
            <w:r>
              <w:t>Постоянно затревени площи поддържани в състояние, годно за паша или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1599,45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545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люцерна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808,55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539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мека пшеница-зимна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461,48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100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ПЛОЩИ С УГАРИ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365,23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103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слънчоглед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317,28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65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244,68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195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тютюн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194,65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281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орехи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145,88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104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пипер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134,38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172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череши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123,68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117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царевица за зърно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46,22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51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ечемик-зимен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40,21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20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ябълки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37,73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49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Десертни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30,26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24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ечемик-пролетен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3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домати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59</w:t>
            </w:r>
          </w:p>
        </w:tc>
      </w:tr>
      <w:tr w:rsidR="00B61265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B61265">
            <w:r>
              <w:t>овес - 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23,37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1265" w:rsidRDefault="00B61265" w:rsidP="00D84988">
            <w:pPr>
              <w:jc w:val="center"/>
            </w:pPr>
            <w:r>
              <w:t>56</w:t>
            </w:r>
          </w:p>
        </w:tc>
      </w:tr>
    </w:tbl>
    <w:p w:rsidR="00E13F46" w:rsidRDefault="00E13F46" w:rsidP="00E43E94">
      <w:pPr>
        <w:ind w:left="720"/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Default="00E13F46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D84988" w:rsidRPr="00B72AE5" w:rsidRDefault="00D84988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. АГРАРНО РАЗВИТИЕ</w:t>
      </w:r>
    </w:p>
    <w:p w:rsidR="00D84988" w:rsidRPr="009B1933" w:rsidRDefault="00D84988" w:rsidP="00D84988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D84988" w:rsidRPr="00844FDE" w:rsidRDefault="00D84988" w:rsidP="00D849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Стратегията за развитие на млечното животновъдство и подобряване качеството на суровото краве мляко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към 31.12.2019 </w:t>
      </w: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добрените изкупвачи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сурово краве, овче, козе и биволско мляко съгласно чл.55д, ал.4 от Закона за прилагане на общата организация на пазарите на земеделски продукти на европейския съюз 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в цялата област </w:t>
      </w:r>
      <w:r>
        <w:rPr>
          <w:rFonts w:ascii="Times New Roman" w:hAnsi="Times New Roman" w:cs="Times New Roman"/>
          <w:sz w:val="24"/>
          <w:szCs w:val="24"/>
          <w:lang w:val="bg-BG"/>
        </w:rPr>
        <w:t>са 9 бр. (5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Ардино, 1 бр. в община Дж</w:t>
      </w:r>
      <w:r>
        <w:rPr>
          <w:rFonts w:ascii="Times New Roman" w:hAnsi="Times New Roman" w:cs="Times New Roman"/>
          <w:sz w:val="24"/>
          <w:szCs w:val="24"/>
          <w:lang w:val="bg-BG"/>
        </w:rPr>
        <w:t>ебел, 1 бр. в община Момчилград, 1 бр. в община Кирково и 1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Кърджали), млекопреработвате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предприятия в региона са 7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>, а действащите кланиците са четири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84988" w:rsidRPr="00844FDE" w:rsidRDefault="00D84988" w:rsidP="00D849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FDE">
        <w:rPr>
          <w:rFonts w:ascii="Times New Roman" w:hAnsi="Times New Roman" w:cs="Times New Roman"/>
          <w:sz w:val="24"/>
          <w:szCs w:val="24"/>
          <w:lang w:val="bg-BG"/>
        </w:rPr>
        <w:t>Сектора на пчеларството се характеризира с повишен интерес от страна на местните пчелари. Създаденото пчеларско дружество “Акация” работи много активно и поддържа тесни контакти с областна дирекция ”Земеделие” гр. Кърджали.</w:t>
      </w:r>
    </w:p>
    <w:p w:rsidR="00D84988" w:rsidRPr="007540E8" w:rsidRDefault="00D84988" w:rsidP="00D849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В ОДЗ Кърджали се поддържа регистър на елитните и племенни пчелни майки и отводки. </w:t>
      </w:r>
      <w:r>
        <w:rPr>
          <w:rFonts w:ascii="Times New Roman" w:hAnsi="Times New Roman" w:cs="Times New Roman"/>
          <w:sz w:val="24"/>
          <w:szCs w:val="24"/>
          <w:lang w:val="bg-BG"/>
        </w:rPr>
        <w:t>През 2020 г. стопанствата се увеличиха с още едно - земеделските стопани производители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елитни и племенни пчелни майки и отводки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са трима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 брой пчелни семейства – 460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Pr="005773CE">
        <w:t xml:space="preserve"> </w:t>
      </w:r>
      <w:r>
        <w:rPr>
          <w:lang w:val="bg-BG"/>
        </w:rPr>
        <w:t>, в землищата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с. Рът,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общ. Джебел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и с. </w:t>
      </w:r>
      <w:r>
        <w:rPr>
          <w:rFonts w:ascii="Times New Roman" w:hAnsi="Times New Roman" w:cs="Times New Roman"/>
          <w:sz w:val="24"/>
          <w:szCs w:val="24"/>
          <w:lang w:val="bg-BG"/>
        </w:rPr>
        <w:t>Седловина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, общ. Кърджали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4988" w:rsidRPr="00D67E00" w:rsidRDefault="00D84988" w:rsidP="00D84988">
      <w:pPr>
        <w:pStyle w:val="TimesNewRoman"/>
        <w:ind w:firstLine="0"/>
        <w:rPr>
          <w:rFonts w:ascii="Times New Roman" w:hAnsi="Times New Roman"/>
          <w:lang w:val="en-AU"/>
        </w:rPr>
      </w:pPr>
      <w:r w:rsidRPr="00B72AE5">
        <w:rPr>
          <w:rStyle w:val="FontStyle19"/>
          <w:rFonts w:ascii="Arial" w:hAnsi="Arial" w:cs="Arial"/>
          <w:sz w:val="24"/>
          <w:szCs w:val="24"/>
        </w:rPr>
        <w:lastRenderedPageBreak/>
        <w:t xml:space="preserve">            </w:t>
      </w:r>
      <w:r w:rsidRPr="00D67E00">
        <w:rPr>
          <w:rStyle w:val="FontStyle19"/>
          <w:sz w:val="24"/>
          <w:szCs w:val="24"/>
        </w:rPr>
        <w:t>В изпълнение на заповед № РД09-78/08.02.2018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>г. на министъра на земеделието и храните, със заповед № РД-11-86/12.03.2018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 xml:space="preserve">г. </w:t>
      </w:r>
      <w:r w:rsidRPr="00D67E00">
        <w:rPr>
          <w:rFonts w:ascii="Times New Roman" w:hAnsi="Times New Roman"/>
        </w:rPr>
        <w:t xml:space="preserve">на директора на областна дирекция „Земеделие” гр. Кърджали бе назначена областна експертна комисия за провеждане на обследвания на площите със земеделски култури. Комисията </w:t>
      </w:r>
      <w:r w:rsidRPr="00D67E00">
        <w:rPr>
          <w:rStyle w:val="FontStyle19"/>
          <w:sz w:val="24"/>
          <w:szCs w:val="24"/>
        </w:rPr>
        <w:t xml:space="preserve">извърши пълно обследване - на 100% от заетите площи с есенни култури в землищата на с. Странджево, с. Поточница, с. Морянци, с. Котлари, с. Бряговец общ. Крумовград, с.Миладиново, с. Рудина, с. Сестринско </w:t>
      </w:r>
      <w:r w:rsidRPr="00D67E00">
        <w:rPr>
          <w:rStyle w:val="FontStyle11"/>
          <w:b w:val="0"/>
          <w:bCs w:val="0"/>
        </w:rPr>
        <w:t>общ. Кърджали, с.</w:t>
      </w:r>
      <w:r>
        <w:rPr>
          <w:rStyle w:val="FontStyle11"/>
          <w:b w:val="0"/>
          <w:bCs w:val="0"/>
        </w:rPr>
        <w:t xml:space="preserve"> </w:t>
      </w:r>
      <w:r w:rsidRPr="00D67E00">
        <w:rPr>
          <w:rStyle w:val="FontStyle11"/>
          <w:b w:val="0"/>
          <w:bCs w:val="0"/>
        </w:rPr>
        <w:t xml:space="preserve">Пчеларово, общ. Черноочене. В обследването участие взеха представители на ОДЗ Кърджали, ОДВХ-отдел КХ, ОД на ДФЗ-РТИ и ОСЗ за съответните общини. Обект на обследване са 4 бр. стопанства по предварително  изготвен поименен списък. За всяко наблюдавано стопанства е попълнен отделен наблюдателен лист. </w:t>
      </w:r>
      <w:r w:rsidRPr="00D67E00">
        <w:rPr>
          <w:rFonts w:ascii="Times New Roman" w:hAnsi="Times New Roman"/>
        </w:rPr>
        <w:t xml:space="preserve">Всички посеви в област Кърджали бяха в добро състояние. </w:t>
      </w:r>
    </w:p>
    <w:p w:rsidR="00D84988" w:rsidRDefault="00D84988" w:rsidP="00D84988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730D1">
        <w:rPr>
          <w:rFonts w:ascii="Times New Roman" w:hAnsi="Times New Roman" w:cs="Times New Roman"/>
          <w:lang w:val="bg-BG"/>
        </w:rPr>
        <w:t xml:space="preserve">           </w:t>
      </w:r>
      <w:r>
        <w:rPr>
          <w:sz w:val="24"/>
          <w:szCs w:val="24"/>
          <w:lang w:val="bg-BG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периода 01.01.2020 г. – 31.12.2020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са постъпвали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заявления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също не са издавани констативни и обикновени протоколи на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 xml:space="preserve"> земеделски стопани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пропаднали засети</w:t>
      </w:r>
      <w:r w:rsidRPr="00396E12">
        <w:rPr>
          <w:rFonts w:ascii="Times New Roman" w:hAnsi="Times New Roman" w:cs="Times New Roman"/>
          <w:sz w:val="24"/>
          <w:szCs w:val="24"/>
          <w:lang w:val="bg-BG"/>
        </w:rPr>
        <w:t xml:space="preserve"> площи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вследствие на</w:t>
      </w:r>
      <w:r w:rsidRPr="004C556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благоприятни климатични условия.</w:t>
      </w:r>
    </w:p>
    <w:p w:rsidR="00E401AC" w:rsidRDefault="00E401AC" w:rsidP="00D84988">
      <w:pPr>
        <w:jc w:val="both"/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>
        <w:rPr>
          <w:rStyle w:val="ui-news-record-body"/>
          <w:rFonts w:ascii="Times New Roman" w:hAnsi="Times New Roman" w:cs="Times New Roman"/>
          <w:sz w:val="24"/>
          <w:szCs w:val="24"/>
        </w:rPr>
        <w:t xml:space="preserve">На 31 Август 2020 г. </w:t>
      </w:r>
      <w:r w:rsidRPr="00E401AC">
        <w:rPr>
          <w:rStyle w:val="ui-news-record-body"/>
          <w:rFonts w:ascii="Times New Roman" w:hAnsi="Times New Roman" w:cs="Times New Roman"/>
          <w:sz w:val="24"/>
          <w:szCs w:val="24"/>
        </w:rPr>
        <w:t>стартира прием на заявления по схемата за държавна помощ под формата на отстъпка от стойността на акциза върху газьола, използван в първичното селскостопанско производство. Той продължи до 21 септевмри 2020 г.</w:t>
      </w: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През периода общинските служби по земеделие към областна дирекция „Земеделие“ приеха 89 бр. заявления.</w:t>
      </w:r>
    </w:p>
    <w:p w:rsidR="00E401AC" w:rsidRDefault="00E401AC" w:rsidP="00E401AC">
      <w:pPr>
        <w:jc w:val="both"/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        През 202</w:t>
      </w:r>
      <w:r w:rsidRPr="00E401AC">
        <w:rPr>
          <w:rFonts w:ascii="Times New Roman" w:hAnsi="Times New Roman" w:cs="Times New Roman"/>
          <w:sz w:val="24"/>
          <w:szCs w:val="24"/>
        </w:rPr>
        <w:t xml:space="preserve">0 г. земеделските стопани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имаха възможност </w:t>
      </w:r>
      <w:r w:rsidRPr="00E401AC">
        <w:rPr>
          <w:rFonts w:ascii="Times New Roman" w:hAnsi="Times New Roman" w:cs="Times New Roman"/>
          <w:sz w:val="24"/>
          <w:szCs w:val="24"/>
        </w:rPr>
        <w:t xml:space="preserve">да подават заявления за подпомагане по подмярка 21.1 "Извънредно временно подпомагане за земеделските стопани COVID 1” и подмярка 21.2 "Извънредно временно подпомагане за земеделските стопани COVID 2". Приемът е до 21 септември 2020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периода на приемане на заявления </w:t>
      </w: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>общинските служби по земеделие към областна дирекция „Земеделие“ приеха 1935 бр. заявления.</w:t>
      </w:r>
    </w:p>
    <w:p w:rsidR="00D84988" w:rsidRPr="001C5129" w:rsidRDefault="00E401AC" w:rsidP="00E401A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401AC">
        <w:rPr>
          <w:rFonts w:ascii="Times New Roman" w:hAnsi="Times New Roman" w:cs="Times New Roman"/>
          <w:sz w:val="24"/>
          <w:szCs w:val="24"/>
        </w:rPr>
        <w:t xml:space="preserve">  </w:t>
      </w:r>
      <w:r w:rsidR="00D84988">
        <w:rPr>
          <w:lang w:val="bg-BG"/>
        </w:rPr>
        <w:t xml:space="preserve">          </w:t>
      </w:r>
      <w:r w:rsidR="00D84988"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прилагане на общата организация на пазарите на земеделски продукти на европейския съюз /ЗПООПЗПЕС/ на областните дирекции са вменени  дейности по:</w:t>
      </w:r>
    </w:p>
    <w:p w:rsidR="00D84988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ежемесечен прием на декларации за места на съхранение на зърно и на налично количество зърно в тях;</w:t>
      </w:r>
    </w:p>
    <w:p w:rsidR="00D84988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 на всяко тримесечие на декларации от земеделските производители за произведеното и наличното зърно по видове, като през периода от юли да септември приемът на декларациите за пшеница е ежемесечен;</w:t>
      </w:r>
    </w:p>
    <w:p w:rsidR="00D84988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на обектите за съхранение на зърно и за лицата и на земеделските стопанства за достоверността  на данните, вписани в декларациите;</w:t>
      </w:r>
    </w:p>
    <w:p w:rsidR="00D84988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вземане на проби за представително окачествяване на реколтата от пшеница, ечемик, слънчоглед и царевица;</w:t>
      </w:r>
    </w:p>
    <w:p w:rsidR="00D84988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водене и съхраняване на бази данни и за лицата, които стопанисват обектите за съхранение на зърно;</w:t>
      </w:r>
    </w:p>
    <w:p w:rsidR="00D84988" w:rsidRPr="00DE0E9F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0E9F">
        <w:rPr>
          <w:rFonts w:ascii="Times New Roman" w:hAnsi="Times New Roman" w:cs="Times New Roman"/>
          <w:sz w:val="24"/>
          <w:szCs w:val="24"/>
          <w:lang w:val="bg-BG"/>
        </w:rPr>
        <w:t>съставяне на актове при установяване на нарушения.</w:t>
      </w:r>
    </w:p>
    <w:p w:rsidR="00D84988" w:rsidRPr="00DE0E9F" w:rsidRDefault="00D84988" w:rsidP="00D8498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0E9F"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 Кърджали към 31.12.2020 г. има 5 броя регистрирани обекти за съхранение на зърно. Ежемесечно се извършва прием на 5 броя декларации по приложение №2, а на тримесечие в това число за м. юли и август декларации по приложение №3 – 5 броя.</w:t>
      </w:r>
    </w:p>
    <w:p w:rsidR="00D84988" w:rsidRPr="009304CE" w:rsidRDefault="00D84988" w:rsidP="00D84988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0E9F">
        <w:rPr>
          <w:rFonts w:ascii="Times New Roman" w:hAnsi="Times New Roman" w:cs="Times New Roman"/>
          <w:sz w:val="24"/>
          <w:szCs w:val="24"/>
          <w:lang w:val="bg-BG"/>
        </w:rPr>
        <w:t>Взети и изпратени са проби за национално окачествяване на реколта 2020 г., пшеница – 1 бр., ечемик – 1бр. и слънчоглед 1 бр.</w:t>
      </w:r>
    </w:p>
    <w:p w:rsidR="00D84988" w:rsidRDefault="00D84988" w:rsidP="002558F5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АГРОСТАТИСТИКА</w:t>
      </w: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63EAF" w:rsidRDefault="00663EAF" w:rsidP="00663EAF">
      <w:pPr>
        <w:ind w:left="710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Събиране на статистическа информация</w:t>
      </w:r>
    </w:p>
    <w:p w:rsidR="00663EAF" w:rsidRDefault="00663EAF" w:rsidP="00663EA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съответствие с Програмата за провеждане на статистически изследвания през изминалата 2020 г., отдел „Агростатистика”  проведе следните наблюдения:</w:t>
      </w:r>
    </w:p>
    <w:p w:rsidR="00663EAF" w:rsidRDefault="00663EAF" w:rsidP="00663EA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63EAF" w:rsidRDefault="00663EAF" w:rsidP="00663EAF">
      <w:pPr>
        <w:numPr>
          <w:ilvl w:val="0"/>
          <w:numId w:val="14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Ежемесечни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при тези наблюдения се работи с всички съществуващи на територията на областта предприятия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приключват с годишна анкета: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млекопреработвателни предприятия през 2020 г.;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кланиците за червени меса през 2020 г.</w:t>
      </w:r>
    </w:p>
    <w:p w:rsidR="00663EAF" w:rsidRDefault="00663EAF" w:rsidP="00663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63EAF" w:rsidRDefault="00663EAF" w:rsidP="00663EAF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Продуктови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– тези наблюдения се извършват един път в годината на база извадка, подадена от отдел „Агростатистика” към МЗХ: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Използване и заетост на територията на страната през 2020 г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(БАНСИК)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общо 91 сегмента 27 бр. са с горска заетост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Добиви от земеделски култури – реколта 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основната извадка попадат общо 159 бр. стопанства, 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ч. стопанства анкетирани от други области са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 бр.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плодове през 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стопанствата за анкетиране общо за областта са 98 бр., 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ч. 8 бр. стопанства са със прекратена дейност.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зеленчуци през 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тук за наблюдение попадат общо 44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ind w:right="-11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Дейност на предприятията за преработка на плодове и зеленчуци през 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 територията на област Кърджали функционират две фирми, занимаващи се с преработвателна дейност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грозде и вино през 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наблюдение попадат общо 55 бр. стопанства, от тях 2 бр. стопанства са  прекратили дейността си.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Брой на селскостопанските животни към 01.11.2020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за наблюдение са попаднали общо </w:t>
      </w:r>
      <w:r>
        <w:rPr>
          <w:rFonts w:ascii="Times New Roman" w:hAnsi="Times New Roman" w:cs="Times New Roman"/>
          <w:color w:val="000000"/>
          <w:sz w:val="24"/>
          <w:szCs w:val="24"/>
        </w:rPr>
        <w:t>538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стопанства, като </w:t>
      </w: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от тях са прекратили дейността си.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Птицевъдството в България през 2020 г. 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общо за област Кърджали са анкетирани 58 бр. стопанства, като 3 бр. от тях  са  прекратили дейността 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63EAF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Пчеларството в България през 2020 г.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общо за област Кърджали са анкетирани 31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3EAF" w:rsidRPr="00677B61" w:rsidRDefault="00663EAF" w:rsidP="00663EA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Годишна земеделска статистика </w:t>
      </w:r>
    </w:p>
    <w:p w:rsidR="00663EAF" w:rsidRDefault="00663EAF" w:rsidP="00663EAF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63EAF" w:rsidRPr="0057386B" w:rsidRDefault="00663EAF" w:rsidP="00663EAF">
      <w:pPr>
        <w:pStyle w:val="ad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C40AB">
        <w:rPr>
          <w:rFonts w:ascii="Times New Roman" w:hAnsi="Times New Roman" w:cs="Times New Roman"/>
          <w:b/>
          <w:bCs/>
          <w:color w:val="212121"/>
          <w:sz w:val="24"/>
          <w:szCs w:val="24"/>
          <w:lang w:eastAsia="bg-BG"/>
        </w:rPr>
        <w:t>Преброяване на земеделските стопанства през 2020 г. - област Кърджали</w:t>
      </w:r>
    </w:p>
    <w:p w:rsidR="00437E1D" w:rsidRDefault="00437E1D" w:rsidP="00437E1D">
      <w:pPr>
        <w:ind w:left="81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57386B" w:rsidRPr="00437E1D" w:rsidRDefault="00437E1D" w:rsidP="00437E1D">
      <w:pPr>
        <w:ind w:left="81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437E1D">
        <w:rPr>
          <w:rFonts w:ascii="Times New Roman" w:hAnsi="Times New Roman" w:cs="Times New Roman"/>
          <w:sz w:val="24"/>
          <w:szCs w:val="24"/>
          <w:lang w:val="bg-BG"/>
        </w:rPr>
        <w:t>Във връзка с дейността по ПЗС 2020г</w:t>
      </w:r>
      <w:r>
        <w:rPr>
          <w:rFonts w:ascii="Times New Roman" w:hAnsi="Times New Roman" w:cs="Times New Roman"/>
          <w:sz w:val="24"/>
          <w:szCs w:val="24"/>
          <w:lang w:val="bg-BG"/>
        </w:rPr>
        <w:t>. се извършиха следните дейност</w:t>
      </w:r>
      <w:r w:rsidRPr="00437E1D">
        <w:rPr>
          <w:rFonts w:ascii="Times New Roman" w:hAnsi="Times New Roman" w:cs="Times New Roman"/>
          <w:sz w:val="24"/>
          <w:szCs w:val="24"/>
          <w:lang w:val="bg-BG"/>
        </w:rPr>
        <w:t>и: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Актуализирани бяха списъците на земеделските стопанства по предварително изготвен график в съответните населени места с определените за целта отговорници, със съдействието на </w:t>
      </w:r>
      <w:r w:rsidRPr="006C40AB">
        <w:rPr>
          <w:rFonts w:ascii="Times New Roman" w:hAnsi="Times New Roman" w:cs="Times New Roman"/>
          <w:sz w:val="24"/>
          <w:szCs w:val="24"/>
        </w:rPr>
        <w:t>кметове и кметски наместници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>;,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C40AB">
        <w:rPr>
          <w:rFonts w:ascii="Times New Roman" w:hAnsi="Times New Roman" w:cs="Times New Roman"/>
          <w:sz w:val="24"/>
          <w:szCs w:val="24"/>
          <w:lang w:val="bg-BG"/>
        </w:rPr>
        <w:t>Служителите от отдел Агростатистика, след изготвяне на окончателния списък за ПЗС 2020 извърши райониране по населени места;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В съответните срокове се набра нужния брой анкетьори по определени критерии, съгласно Приложение 2 към Заповед № РД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C40AB">
        <w:rPr>
          <w:rFonts w:ascii="Times New Roman" w:hAnsi="Times New Roman" w:cs="Times New Roman"/>
          <w:sz w:val="24"/>
          <w:szCs w:val="24"/>
        </w:rPr>
        <w:t xml:space="preserve">09-570/17.07.2020 г. на министъра на земеделието храните и горите. 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6C40AB">
        <w:rPr>
          <w:rFonts w:ascii="Times New Roman" w:hAnsi="Times New Roman" w:cs="Times New Roman"/>
          <w:sz w:val="24"/>
          <w:szCs w:val="24"/>
        </w:rPr>
        <w:t>азпределение на контролните райони и преброителни участъци на територията на област Кърджали, както следва:</w:t>
      </w:r>
    </w:p>
    <w:p w:rsidR="00663EAF" w:rsidRPr="006C40AB" w:rsidRDefault="00663EAF" w:rsidP="00663EAF">
      <w:pPr>
        <w:pStyle w:val="ad"/>
        <w:ind w:left="1189"/>
        <w:jc w:val="both"/>
        <w:rPr>
          <w:rFonts w:ascii="Times New Roman" w:hAnsi="Times New Roman" w:cs="Times New Roman"/>
          <w:sz w:val="24"/>
          <w:szCs w:val="24"/>
        </w:rPr>
      </w:pP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Ардино - 4 броя анкетьора /4 преброителни участъка/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Джебел - 5 броя анкетьора /5 преброителни участъка/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Кирково - 6 броя анкетьора /6 преброителни участъка/ 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Крумовград - 9 броя анкетьора /9</w:t>
      </w:r>
      <w:r w:rsidRPr="006C40AB">
        <w:rPr>
          <w:rFonts w:ascii="Times New Roman" w:hAnsi="Times New Roman" w:cs="Times New Roman"/>
          <w:sz w:val="24"/>
          <w:szCs w:val="24"/>
        </w:rPr>
        <w:t xml:space="preserve"> преброителни участъка/ 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Кърджали - 9 броя анкетьора /9 преброителни участъка/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Момчилград - 8 броя анкетьора /8 преброителни участъка/ и 1 брой контрольор</w:t>
      </w:r>
    </w:p>
    <w:p w:rsidR="00663EAF" w:rsidRPr="006C40AB" w:rsidRDefault="00663EAF" w:rsidP="00663EAF">
      <w:pPr>
        <w:pStyle w:val="ad"/>
        <w:numPr>
          <w:ilvl w:val="0"/>
          <w:numId w:val="18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община Черноочене - 7 броя анкетьора /7 преброителни участъка/  и 1 брой контрольор</w:t>
      </w:r>
    </w:p>
    <w:p w:rsidR="00663EAF" w:rsidRDefault="00663EAF" w:rsidP="00663EAF">
      <w:pPr>
        <w:pStyle w:val="ad"/>
        <w:overflowPunct/>
        <w:autoSpaceDE/>
        <w:autoSpaceDN/>
        <w:adjustRightInd/>
        <w:ind w:left="1189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</w:t>
      </w:r>
      <w:r w:rsidRPr="006C40AB">
        <w:rPr>
          <w:rFonts w:ascii="Times New Roman" w:hAnsi="Times New Roman" w:cs="Times New Roman"/>
          <w:sz w:val="24"/>
          <w:szCs w:val="24"/>
        </w:rPr>
        <w:t xml:space="preserve"> се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Pr="006C40AB">
        <w:rPr>
          <w:rFonts w:ascii="Times New Roman" w:hAnsi="Times New Roman" w:cs="Times New Roman"/>
          <w:sz w:val="24"/>
          <w:szCs w:val="24"/>
        </w:rPr>
        <w:t xml:space="preserve"> по предварително изготвен график по общини за анкетьори и контрольори.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6C40AB">
        <w:rPr>
          <w:rFonts w:ascii="Times New Roman" w:hAnsi="Times New Roman" w:cs="Times New Roman"/>
          <w:sz w:val="24"/>
          <w:szCs w:val="24"/>
        </w:rPr>
        <w:t xml:space="preserve"> специално за целта уеб-базирано приложение се обезпечи нуждата от съответна техника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>, п</w:t>
      </w:r>
      <w:r w:rsidRPr="006C40AB">
        <w:rPr>
          <w:rFonts w:ascii="Times New Roman" w:hAnsi="Times New Roman" w:cs="Times New Roman"/>
          <w:sz w:val="24"/>
          <w:szCs w:val="24"/>
        </w:rPr>
        <w:t>ри желание за  on-lain анкетиране ;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</w:rPr>
        <w:t>При условия на извънредна епидемична обстановка, за участниците в преброяването са подготвени комплекти за работа на терен. Освен чанта и канцеларски материали, са включени маски, ръкавици и дезинфектанти.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На проведената </w:t>
      </w:r>
      <w:r w:rsidRPr="006C40AB">
        <w:rPr>
          <w:rFonts w:ascii="Times New Roman" w:hAnsi="Times New Roman" w:cs="Times New Roman"/>
          <w:sz w:val="24"/>
          <w:szCs w:val="24"/>
        </w:rPr>
        <w:t>областна комисия по преброяването на земеделските стопанства за дейности по ПЗС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C40AB">
        <w:rPr>
          <w:rFonts w:ascii="Times New Roman" w:hAnsi="Times New Roman" w:cs="Times New Roman"/>
          <w:sz w:val="24"/>
          <w:szCs w:val="24"/>
        </w:rPr>
        <w:t>2020 за област Кърджали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 се </w:t>
      </w:r>
      <w:r w:rsidRPr="006C40AB">
        <w:rPr>
          <w:rFonts w:ascii="Times New Roman" w:hAnsi="Times New Roman" w:cs="Times New Roman"/>
          <w:sz w:val="24"/>
          <w:szCs w:val="24"/>
        </w:rPr>
        <w:t>раздадоха брошури и рекламни материали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>, с цел информиране</w:t>
      </w:r>
      <w:r w:rsidRPr="006C40AB">
        <w:rPr>
          <w:rFonts w:ascii="Times New Roman" w:hAnsi="Times New Roman" w:cs="Times New Roman"/>
          <w:sz w:val="24"/>
          <w:szCs w:val="24"/>
        </w:rPr>
        <w:t xml:space="preserve"> на кметовете и населението.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C40AB">
        <w:rPr>
          <w:rFonts w:ascii="Times New Roman" w:hAnsi="Times New Roman" w:cs="Times New Roman"/>
          <w:sz w:val="24"/>
          <w:szCs w:val="24"/>
        </w:rPr>
        <w:t xml:space="preserve">Разясниха се правилата и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методологията за преброяването, разгледа се статистическия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  <w:t xml:space="preserve">      въпросник,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инструкцията, наръчника и съответните помагала</w:t>
      </w:r>
      <w:r w:rsidRPr="006C40AB">
        <w:rPr>
          <w:rFonts w:ascii="Times New Roman" w:hAnsi="Times New Roman" w:cs="Times New Roman"/>
          <w:sz w:val="24"/>
          <w:szCs w:val="24"/>
        </w:rPr>
        <w:t xml:space="preserve"> за </w:t>
      </w:r>
      <w:r w:rsidRPr="006C40AB">
        <w:rPr>
          <w:rFonts w:ascii="Times New Roman" w:hAnsi="Times New Roman" w:cs="Times New Roman"/>
          <w:sz w:val="24"/>
          <w:szCs w:val="24"/>
        </w:rPr>
        <w:tab/>
        <w:t>предстоящото преброяване</w:t>
      </w:r>
      <w:r w:rsidRPr="006C40A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40AB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Експертите по агростатистика, тестваха с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офтуерното приложение за преброяването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ab/>
        <w:t xml:space="preserve">      на земеделските стопанства през 2020 година;</w:t>
      </w:r>
    </w:p>
    <w:p w:rsidR="00663EAF" w:rsidRPr="006C40AB" w:rsidRDefault="00663EAF" w:rsidP="00663EAF">
      <w:pPr>
        <w:pStyle w:val="ad"/>
        <w:numPr>
          <w:ilvl w:val="0"/>
          <w:numId w:val="17"/>
        </w:numPr>
        <w:overflowPunct/>
        <w:autoSpaceDE/>
        <w:autoSpaceDN/>
        <w:adjustRightInd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C40A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През периода се сключиха граждански договори с анкетьори, контрольори, оператори, разпределени бяха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окончателните списък за анкетиране по общини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и по населени места. А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нкетьори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те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контрольори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те са </w:t>
      </w:r>
      <w:r w:rsidRPr="006C40AB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материално-технически обезпечени;</w:t>
      </w:r>
    </w:p>
    <w:p w:rsidR="00663EAF" w:rsidRPr="006C40AB" w:rsidRDefault="00663EAF" w:rsidP="00663EAF">
      <w:pPr>
        <w:ind w:left="705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6C40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ab/>
      </w:r>
    </w:p>
    <w:p w:rsidR="00663EAF" w:rsidRDefault="00663EAF" w:rsidP="00663EAF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</w:pPr>
      <w:r w:rsidRPr="006C40AB">
        <w:rPr>
          <w:rFonts w:ascii="Times New Roman" w:hAnsi="Times New Roman" w:cs="Times New Roman"/>
          <w:color w:val="212121"/>
          <w:sz w:val="24"/>
          <w:szCs w:val="24"/>
          <w:lang w:eastAsia="bg-BG"/>
        </w:rPr>
        <w:t>В област Кърджали за периода от 1 септември 2020 година до 18 септември 2020 година анкетираните земеделските стопанства онлайн бяха 33 броя, чрез предоставяне на индивидуални данни от земеделските стопани с помощта на уеб-базираното приложение и попълването на електронен статистически въпросник. В една от общините 4 броя от анкетьорите предявиха желание да анкетират и попълват електронен статистически въпросник в уеб-базираното приложение. Съответно на анкетьорите бяха предоставени преносими електронни устройства. Останалите</w:t>
      </w:r>
      <w:r>
        <w:rPr>
          <w:rFonts w:ascii="Times New Roman" w:hAnsi="Times New Roman" w:cs="Times New Roman"/>
          <w:color w:val="212121"/>
          <w:sz w:val="24"/>
          <w:szCs w:val="24"/>
          <w:lang w:eastAsia="bg-BG"/>
        </w:rPr>
        <w:t xml:space="preserve"> стопанства в областта се посети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ха</w:t>
      </w:r>
      <w:r>
        <w:rPr>
          <w:rFonts w:ascii="Times New Roman" w:hAnsi="Times New Roman" w:cs="Times New Roman"/>
          <w:color w:val="212121"/>
          <w:sz w:val="24"/>
          <w:szCs w:val="24"/>
          <w:lang w:eastAsia="bg-BG"/>
        </w:rPr>
        <w:t xml:space="preserve"> от анкетьори и анкетирането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eastAsia="bg-BG"/>
        </w:rPr>
        <w:t xml:space="preserve"> се  проведе чрез попълването на статистическия въпросник на хартиен носител.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 xml:space="preserve"> </w:t>
      </w:r>
    </w:p>
    <w:p w:rsidR="00663EAF" w:rsidRPr="006C40AB" w:rsidRDefault="00663EAF" w:rsidP="00663EAF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Спазиха се всички заложени срокове от МЗХГ гр. София и към 05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.1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2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.2020 г. на т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ериторията на област Кърджали бяха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 xml:space="preserve"> анкетирани 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>9679</w:t>
      </w:r>
      <w:r w:rsidRPr="006C40AB"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 xml:space="preserve"> бр. стопанства или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 xml:space="preserve"> 100% от общият брой за анкетиране. </w:t>
      </w:r>
      <w:r>
        <w:rPr>
          <w:rFonts w:ascii="Times New Roman" w:hAnsi="Times New Roman" w:cs="Times New Roman"/>
          <w:color w:val="212121"/>
          <w:sz w:val="24"/>
          <w:szCs w:val="24"/>
          <w:lang w:val="bg-BG" w:eastAsia="bg-BG"/>
        </w:rPr>
        <w:tab/>
        <w:t>Въвеждането на 100% на информацията за анкетираните земеделските стопанства в системата на ИСАС приключи на 07.01.2021г.</w:t>
      </w:r>
    </w:p>
    <w:p w:rsidR="00663EAF" w:rsidRDefault="00663EAF" w:rsidP="00663EAF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63EAF" w:rsidRPr="009B4226" w:rsidRDefault="00663EAF" w:rsidP="00663EAF">
      <w:pPr>
        <w:numPr>
          <w:ilvl w:val="0"/>
          <w:numId w:val="4"/>
        </w:numPr>
        <w:tabs>
          <w:tab w:val="left" w:pos="6480"/>
        </w:tabs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Система на земеделска счетоводна информация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2020 г. на територията на област Кърджали са наблюдавани и отчетени 79 стопанства, от които 76 са с едностранно счетоводство и 3 с двустранно. Всяко едно от одобрените земеделски стопанства е посетено от 2 до 4 пъти през годината с цел осъществяване на контрол на качеството на информацията и отразяването й в „Дневник на стопанина”. Попълнени са съответните формуляри, всички данни са въведени в Системата, отчетени са извършените разходи.</w:t>
      </w:r>
    </w:p>
    <w:p w:rsidR="00F46D86" w:rsidRDefault="00E13F46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</w:p>
    <w:p w:rsidR="00F46D86" w:rsidRDefault="00F46D86" w:rsidP="00F46D86">
      <w:pPr>
        <w:tabs>
          <w:tab w:val="left" w:pos="648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437E1D" w:rsidRDefault="00F46D86" w:rsidP="00437E1D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</w:t>
      </w:r>
    </w:p>
    <w:p w:rsidR="00437E1D" w:rsidRPr="00A74FA2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РЕГИСТРАЦИЯ И КОНТРОЛ НА ЗЕМЕДЕЛСКА И ГОРСКА ТЕХНИКА</w:t>
      </w:r>
    </w:p>
    <w:p w:rsidR="00437E1D" w:rsidRPr="00A74FA2" w:rsidRDefault="00437E1D" w:rsidP="00437E1D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</w:pPr>
      <w:r w:rsidRPr="00A74FA2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  <w:t xml:space="preserve">         </w:t>
      </w:r>
    </w:p>
    <w:p w:rsidR="00437E1D" w:rsidRDefault="00437E1D" w:rsidP="00437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437E1D" w:rsidRDefault="00437E1D" w:rsidP="00437E1D">
      <w:pPr>
        <w:jc w:val="both"/>
        <w:rPr>
          <w:rFonts w:ascii="Times New Roman" w:hAnsi="Times New Roman" w:cs="Times New Roman"/>
        </w:rPr>
      </w:pPr>
    </w:p>
    <w:p w:rsidR="00437E1D" w:rsidRDefault="00437E1D" w:rsidP="00437E1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</w:rPr>
        <w:t xml:space="preserve">          </w:t>
      </w:r>
      <w:r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изменение на Закона за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регистрация и контрол на земеделска и горска техника от 01.01.2016г. , в правомощията на ОД „Земеделие” гр. Кърджали са делегирани и дейности по:</w:t>
      </w:r>
    </w:p>
    <w:p w:rsidR="00437E1D" w:rsidRDefault="00437E1D" w:rsidP="00437E1D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регистрация, промяна, прекратяване, както и отчисляване на земеделската и горска техника;</w:t>
      </w:r>
    </w:p>
    <w:p w:rsidR="00437E1D" w:rsidRDefault="00437E1D" w:rsidP="00437E1D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за правоспособността на лицата, които работят с техниката, техническото състояние и безопасността на техниката;</w:t>
      </w:r>
    </w:p>
    <w:p w:rsidR="00437E1D" w:rsidRDefault="00437E1D" w:rsidP="00437E1D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извършване на годишни, сезонни и тематични прегледи на регистрираната техника;</w:t>
      </w:r>
    </w:p>
    <w:p w:rsidR="00437E1D" w:rsidRDefault="00437E1D" w:rsidP="00437E1D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издаването и подмяната на свидетелствата за правоспособност на територията на областта.</w:t>
      </w:r>
    </w:p>
    <w:p w:rsidR="00437E1D" w:rsidRPr="00F46D86" w:rsidRDefault="00437E1D" w:rsidP="00437E1D">
      <w:pPr>
        <w:pStyle w:val="TimesNewRoman"/>
        <w:ind w:firstLine="0"/>
        <w:rPr>
          <w:rFonts w:ascii="Times New Roman" w:hAnsi="Times New Roman"/>
        </w:rPr>
      </w:pPr>
      <w:r>
        <w:rPr>
          <w:rFonts w:cs="Arial"/>
        </w:rPr>
        <w:t xml:space="preserve">          </w:t>
      </w:r>
      <w:r w:rsidRPr="00F46D86">
        <w:rPr>
          <w:rFonts w:ascii="Times New Roman" w:hAnsi="Times New Roman"/>
        </w:rPr>
        <w:t>В таблица 16 е показана информация за регистрирана по видове техника на територията на област Кърджали, к</w:t>
      </w:r>
      <w:r>
        <w:rPr>
          <w:rFonts w:ascii="Times New Roman" w:hAnsi="Times New Roman"/>
        </w:rPr>
        <w:t xml:space="preserve">акто също и за периода 01.01.2020 г. - 31.12.2020 </w:t>
      </w:r>
      <w:r w:rsidRPr="00F46D86">
        <w:rPr>
          <w:rFonts w:ascii="Times New Roman" w:hAnsi="Times New Roman"/>
        </w:rPr>
        <w:t xml:space="preserve">г. в Областна дирекция „Земеделие” – гр. Кърджали: </w:t>
      </w:r>
    </w:p>
    <w:p w:rsidR="00437E1D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37E1D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E401AC" w:rsidRDefault="00E401AC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830CA" w:rsidRDefault="008830CA" w:rsidP="008830CA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5D9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Таблица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6</w:t>
      </w:r>
    </w:p>
    <w:p w:rsidR="008830CA" w:rsidRDefault="008830CA" w:rsidP="008830CA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678"/>
        <w:gridCol w:w="1780"/>
        <w:gridCol w:w="1843"/>
        <w:gridCol w:w="1417"/>
        <w:gridCol w:w="1559"/>
      </w:tblGrid>
      <w:tr w:rsidR="008830CA" w:rsidRPr="00233B0A" w:rsidTr="00D93DB2">
        <w:trPr>
          <w:trHeight w:val="10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Вид техника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за периода 01.01.201</w:t>
            </w:r>
            <w:r>
              <w:rPr>
                <w:rFonts w:ascii="Times New Roman" w:hAnsi="Times New Roman" w:cs="Times New Roman"/>
                <w:lang w:eastAsia="bg-BG"/>
              </w:rPr>
              <w:t>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г.-31.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.201</w:t>
            </w:r>
            <w:r>
              <w:rPr>
                <w:rFonts w:ascii="Times New Roman" w:hAnsi="Times New Roman" w:cs="Times New Roman"/>
                <w:lang w:eastAsia="bg-BG"/>
              </w:rPr>
              <w:t>9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</w:t>
            </w:r>
            <w:r>
              <w:rPr>
                <w:rFonts w:ascii="Times New Roman" w:hAnsi="Times New Roman" w:cs="Times New Roman"/>
                <w:lang w:val="bg-BG" w:eastAsia="bg-BG"/>
              </w:rPr>
              <w:t>ана техника за периода 01.01.2020г.-31.12.2020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Регистрирана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.2020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Отчислена техника до 31.</w:t>
            </w:r>
            <w:r w:rsidRPr="006B4D7B">
              <w:rPr>
                <w:rFonts w:ascii="Times New Roman" w:hAnsi="Times New Roman" w:cs="Times New Roman"/>
                <w:lang w:eastAsia="bg-BG"/>
              </w:rPr>
              <w:t>12</w:t>
            </w:r>
            <w:r>
              <w:rPr>
                <w:rFonts w:ascii="Times New Roman" w:hAnsi="Times New Roman" w:cs="Times New Roman"/>
                <w:lang w:val="bg-BG" w:eastAsia="bg-BG"/>
              </w:rPr>
              <w:t>.2020</w:t>
            </w:r>
            <w:r w:rsidRPr="006B4D7B">
              <w:rPr>
                <w:rFonts w:ascii="Times New Roman" w:hAnsi="Times New Roman" w:cs="Times New Roman"/>
                <w:lang w:val="bg-BG" w:eastAsia="bg-BG"/>
              </w:rPr>
              <w:t>г.</w:t>
            </w:r>
          </w:p>
        </w:tc>
      </w:tr>
      <w:tr w:rsidR="008830CA" w:rsidRPr="00233B0A" w:rsidTr="00D93DB2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2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</w:tr>
      <w:tr w:rsidR="008830CA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Верижни трактори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F318F2" w:rsidRDefault="008830CA" w:rsidP="00D93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</w:tr>
      <w:tr w:rsidR="008830CA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Колесни трактори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F318F2" w:rsidRDefault="008830CA" w:rsidP="00D93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F318F2" w:rsidRDefault="008830CA" w:rsidP="00D93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667</w:t>
            </w:r>
          </w:p>
        </w:tc>
      </w:tr>
      <w:tr w:rsidR="008830CA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830CA" w:rsidRPr="006B4D7B" w:rsidRDefault="008830CA" w:rsidP="00D93D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шасита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F318F2" w:rsidRDefault="008830CA" w:rsidP="00D93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830CA" w:rsidRPr="00D4408F" w:rsidRDefault="008830CA" w:rsidP="00D93DB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67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Друга самоходна техника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143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Тракторни ремаркета: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189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в т.ч.с общо предназначение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183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със спец.предназначение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А/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82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Зърнокомбайни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10.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Самоходни силажокомбайни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Други самоходни машини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сеидба и садене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торене и растителна защита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Фуражоприбиращи и фуражопреработващи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34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Почвообработващи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203671" w:rsidRDefault="009A3BAB" w:rsidP="009A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150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Сушилни и други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F318F2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Зърно и семепочистващи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6B4D7B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Машини за поливане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6B4D7B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</w:tr>
      <w:tr w:rsidR="009A3BAB" w:rsidRPr="00233B0A" w:rsidTr="00D93DB2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19.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Горска техника/група В/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6B4D7B" w:rsidRDefault="009A3BAB" w:rsidP="009A3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320DD2" w:rsidRDefault="009A3BAB" w:rsidP="009A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lang w:val="bg-BG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A3BAB" w:rsidRPr="00D4408F" w:rsidRDefault="009A3BAB" w:rsidP="009A3BA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123</w:t>
            </w:r>
          </w:p>
        </w:tc>
      </w:tr>
      <w:tr w:rsidR="009A3BAB" w:rsidRPr="00233B0A" w:rsidTr="00D93DB2">
        <w:trPr>
          <w:trHeight w:val="1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lang w:val="bg-BG"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6B4D7B"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 брой техника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6B4D7B" w:rsidRDefault="009A3BAB" w:rsidP="009A3B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D4408F" w:rsidRDefault="009A3BAB" w:rsidP="009A3B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D4408F" w:rsidRDefault="009A3BAB" w:rsidP="009A3B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4660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AB" w:rsidRPr="00D4408F" w:rsidRDefault="009A3BAB" w:rsidP="009A3B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1743</w:t>
            </w:r>
          </w:p>
        </w:tc>
        <w:bookmarkStart w:id="1" w:name="RANGE_H24"/>
        <w:bookmarkEnd w:id="1"/>
      </w:tr>
    </w:tbl>
    <w:p w:rsidR="00437E1D" w:rsidRPr="00233B0A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437E1D" w:rsidRPr="00857C18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През календарната 2020 г. областна дирекция „Земеделие”  извърши годишен технически преглед на </w:t>
      </w:r>
      <w:r>
        <w:rPr>
          <w:rFonts w:ascii="Times New Roman" w:hAnsi="Times New Roman" w:cs="Times New Roman"/>
          <w:sz w:val="24"/>
          <w:szCs w:val="24"/>
        </w:rPr>
        <w:t>823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земеделска и горска техника, с 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  <w:lang w:val="bg-BG"/>
        </w:rPr>
        <w:t>брой повече в сравнение с 2019 г.</w:t>
      </w:r>
    </w:p>
    <w:p w:rsidR="00F46D86" w:rsidRDefault="00F46D86" w:rsidP="00437E1D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46D86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ПОЗЕМЛЕНИ ОТНОШЕНИЯ</w:t>
      </w:r>
    </w:p>
    <w:p w:rsidR="008830CA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830CA" w:rsidRPr="00955158" w:rsidRDefault="008830CA" w:rsidP="008830CA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95515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Държавният поземлен фонд към 31.12.2020 г.  по данни на Общинските служби по земеделие е </w:t>
      </w:r>
      <w:r w:rsidRPr="00955158">
        <w:rPr>
          <w:rFonts w:ascii="Times New Roman" w:hAnsi="Times New Roman" w:cs="Times New Roman"/>
          <w:sz w:val="24"/>
          <w:szCs w:val="24"/>
          <w:lang w:val="bg-BG"/>
        </w:rPr>
        <w:t xml:space="preserve">139088.345 дка. По общини разпределението е както следва: Ардино – 4381.615 дка; Джебел – 2413.112 дка; Кирково – 45210.631 дка; Крумовград – 62430.080 дка; Кърджали – 9974.901 дка; Момчилград – 9343.420 дка и Черноочене – 5334.586 дка. </w:t>
      </w:r>
    </w:p>
    <w:p w:rsidR="008830CA" w:rsidRPr="00955158" w:rsidRDefault="008830CA" w:rsidP="008830C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955158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изпълнение на Заповед №</w:t>
      </w:r>
      <w:r w:rsidRPr="00955158">
        <w:rPr>
          <w:rFonts w:ascii="Times New Roman" w:hAnsi="Times New Roman" w:cs="Times New Roman"/>
          <w:sz w:val="24"/>
          <w:szCs w:val="24"/>
          <w:lang w:val="bg-BG"/>
        </w:rPr>
        <w:t>РД 46-143/20.03.2020 г.</w:t>
      </w:r>
      <w:r w:rsidRPr="0095515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министъра на земеделието, храните и горите и на основание чл. 24а, ал. 1 от ЗСПЗЗ и чл. 47ж, ал. 1 от ППЗСПЗЗ се обявиха две тръжни сесии за отдаване под наем или аренда на свободни земеделски земи от ДПФ на територията на област Кърджали за стопанската 2020/2021 г., както следва: </w:t>
      </w:r>
    </w:p>
    <w:p w:rsidR="008830CA" w:rsidRPr="005A01A1" w:rsidRDefault="008830CA" w:rsidP="008830CA">
      <w:pPr>
        <w:numPr>
          <w:ilvl w:val="0"/>
          <w:numId w:val="13"/>
        </w:numPr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5A01A1">
        <w:rPr>
          <w:rFonts w:ascii="Times New Roman" w:hAnsi="Times New Roman" w:cs="Times New Roman"/>
          <w:sz w:val="24"/>
          <w:szCs w:val="24"/>
          <w:lang w:val="bg-BG"/>
        </w:rPr>
        <w:t>първа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бобови и техните смески за срок от пет стопански години и за отглеждане на съществуващи трайни насаждения – 1596 бр. имоти, с обща площ 3676.848 дка, в това число 1593 бр. имоти, с обща площ 3605.636 дка за отглеждане на едногодишни полски култури и многогодишни фуражни култури-</w:t>
      </w:r>
      <w:r w:rsidRPr="005A01A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житни, бобови и техните смески за срок от пет стопански години; 3 бр. имоти за 71.212 дка за  отглеждане на съществуващи трайни насаждения. </w:t>
      </w:r>
    </w:p>
    <w:p w:rsidR="008830CA" w:rsidRPr="005A01A1" w:rsidRDefault="008830CA" w:rsidP="008830CA">
      <w:pPr>
        <w:numPr>
          <w:ilvl w:val="0"/>
          <w:numId w:val="13"/>
        </w:numPr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5A01A1">
        <w:rPr>
          <w:rFonts w:ascii="Times New Roman" w:hAnsi="Times New Roman" w:cs="Times New Roman"/>
          <w:sz w:val="24"/>
          <w:szCs w:val="24"/>
          <w:lang w:val="bg-BG"/>
        </w:rPr>
        <w:t xml:space="preserve">втора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бобови и техните смески за срок от пет стопански години и за отглеждане на съществуващи трайни насаждения – 1462 бр. имоти, с обща площ 3169.669 дка, в това число 1457 бр. имоти, с обща площ 3063.876 дка за отглеждане на едногодишни полски култури и многогодишни фуражни култури-житни, бобови и техните смески за срок от пет стопански години; 2 бр. имот за 34.581 дка за създаване и отглеждане на трайни насаждения и 3 бр. имоти за 71.212 дка за отглеждане на съществуващи трайни насаждения. </w:t>
      </w:r>
    </w:p>
    <w:p w:rsidR="008830CA" w:rsidRPr="00C85F2C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C85F2C">
        <w:rPr>
          <w:rFonts w:ascii="Times New Roman" w:hAnsi="Times New Roman" w:cs="Times New Roman"/>
          <w:sz w:val="24"/>
          <w:szCs w:val="24"/>
          <w:lang w:val="bg-BG"/>
        </w:rPr>
        <w:t>Сключените договори от проведените тръжни сесии са 20 бр. за 156 бр. имоти, с обща площ 1065.230 дка, в това число за: отглеждане на едногодишни полски култури и на многогодишни фуражни култури-житни, бобови и техните смески за срок от пет стопански години – 18 бр. договори за 154 бр. имоти, с обща площ 1030.649 дка; за създаване и отглеждане на трайни насаждения – 2 бр. договор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 с площ 34.581 дка.</w:t>
      </w:r>
    </w:p>
    <w:p w:rsidR="008830CA" w:rsidRPr="00C85F2C" w:rsidRDefault="008830CA" w:rsidP="008830CA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5F2C">
        <w:rPr>
          <w:rFonts w:ascii="Times New Roman" w:hAnsi="Times New Roman" w:cs="Times New Roman"/>
          <w:sz w:val="24"/>
          <w:szCs w:val="24"/>
          <w:lang w:val="bg-BG"/>
        </w:rPr>
        <w:t>На основание чл. 37м, ал. 1 от ЗСПЗЗ, спазени ли са условията на чл. 37и, ал. 4</w:t>
      </w:r>
      <w:r w:rsidRPr="00C85F2C">
        <w:rPr>
          <w:rFonts w:ascii="Times New Roman" w:hAnsi="Times New Roman" w:cs="Times New Roman"/>
          <w:sz w:val="24"/>
          <w:szCs w:val="24"/>
        </w:rPr>
        <w:t xml:space="preserve">, 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ал. 7 и ал. 9 от ЗСПЗЗ в изпълнение на Заповед №РД-04-24/15.01.2020 г. на директора на Областна дирекция “Земеделие“ </w:t>
      </w:r>
      <w:r w:rsidRPr="00C85F2C">
        <w:rPr>
          <w:rFonts w:cs="Times New Roman"/>
          <w:lang w:val="bg-BG"/>
        </w:rPr>
        <w:t>–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 Кърджали, комисия извърши проверка на общо 250 бр. сключени договори за наем или аренда на пасища, мери и ливади от държавния поземлен фонд.</w:t>
      </w:r>
      <w:r w:rsidRPr="00C85F2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8830CA" w:rsidRPr="00C85F2C" w:rsidRDefault="008830CA" w:rsidP="008830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5F2C">
        <w:rPr>
          <w:rFonts w:ascii="Times New Roman" w:hAnsi="Times New Roman" w:cs="Times New Roman"/>
          <w:sz w:val="24"/>
          <w:szCs w:val="24"/>
          <w:lang w:val="bg-BG"/>
        </w:rPr>
        <w:t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8830CA" w:rsidRPr="00C85F2C" w:rsidRDefault="008830CA" w:rsidP="008830CA">
      <w:pPr>
        <w:tabs>
          <w:tab w:val="left" w:pos="851"/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85F2C">
        <w:rPr>
          <w:rFonts w:ascii="Times New Roman" w:hAnsi="Times New Roman" w:cs="Times New Roman"/>
          <w:sz w:val="24"/>
          <w:szCs w:val="24"/>
          <w:lang w:val="bg-BG"/>
        </w:rPr>
        <w:t>Комисията провери всички 250 бр. договори за наем или аренда на пасища, мери и ливади от държавния поземлен фонд, сключени със 170 бр. земеделски стопани. Комисията констатира, че общо 167 ползватели отговарят на условията на чл. 37и, ал. 4 от ЗСПЗЗ. За трима от ползвателите е констатирано, че в животновъдния обект броят на регистрираните пасищни селскостопански животни е с над 30 на сто по-малък от броя им към сключването на договора за аренда, съгласно чл. 37м, ал. 4, т. 1 от ЗСПЗЗ, поради което съобразно посочената разпоредба се сключи споразумение за изменение на договорите, като площта се определи в съответствие с процентното намаление на броя на животните.</w:t>
      </w:r>
    </w:p>
    <w:p w:rsidR="008830CA" w:rsidRDefault="008830CA" w:rsidP="008830CA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дейностите, свързани с процедурата по реда на чл. 37и от Закона за собствеността и ползването на земеделските земи (ЗСПЗЗ) за отдаване под наем или аренда на пасища, мери и ливади от държавния поземлен фонд със </w:t>
      </w:r>
      <w:r w:rsidRPr="00C85F2C">
        <w:rPr>
          <w:rFonts w:ascii="Times New Roman" w:hAnsi="Times New Roman" w:cs="Times New Roman"/>
          <w:caps/>
          <w:sz w:val="24"/>
          <w:szCs w:val="24"/>
          <w:lang w:val="bg-BG"/>
        </w:rPr>
        <w:t>з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>аповед №РД 46-67/26.02.2020 г. на министъра на земеделието, храните и горите са определени свободни пасища, мери и ливади за отдаване под нае</w:t>
      </w:r>
      <w:r>
        <w:rPr>
          <w:rFonts w:ascii="Times New Roman" w:hAnsi="Times New Roman" w:cs="Times New Roman"/>
          <w:sz w:val="24"/>
          <w:szCs w:val="24"/>
          <w:lang w:val="bg-BG"/>
        </w:rPr>
        <w:t>м или аренда за стопанската 2020-2021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Pr="00C85F2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– общо 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>4166 бр. имоти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85F2C">
        <w:rPr>
          <w:rFonts w:ascii="Times New Roman" w:hAnsi="Times New Roman" w:cs="Times New Roman"/>
          <w:sz w:val="24"/>
          <w:szCs w:val="24"/>
          <w:lang w:val="bg-BG"/>
        </w:rPr>
        <w:t xml:space="preserve"> с обща площ 39864.280 дка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955158">
        <w:rPr>
          <w:rFonts w:ascii="Times New Roman" w:hAnsi="Times New Roman" w:cs="Times New Roman"/>
          <w:sz w:val="24"/>
          <w:szCs w:val="24"/>
          <w:highlight w:val="yellow"/>
          <w:lang w:val="bg-BG"/>
        </w:rPr>
        <w:t xml:space="preserve"> </w:t>
      </w:r>
    </w:p>
    <w:p w:rsidR="008830CA" w:rsidRPr="00184AA2" w:rsidRDefault="008830CA" w:rsidP="008830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bCs/>
          <w:sz w:val="24"/>
          <w:szCs w:val="24"/>
          <w:lang w:val="bg-BG"/>
        </w:rPr>
        <w:t>След проведена процедура по разпределение на пасища, мери и ливадите</w:t>
      </w:r>
      <w:r w:rsidRPr="00184AA2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 </w:t>
      </w:r>
      <w:r w:rsidRPr="00184AA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 собственици или ползватели на животновъдни обекти с пасищни селскостопански животни, регистрирани в Интегрираната информационна система на БАБХ през стопанската 2020/2021 г., </w:t>
      </w:r>
      <w:r w:rsidRPr="00184AA2"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 Кърджали са сключени 33 бр. договори за 2888 дка за 243 имота по реда на чл. 37и, ал. 12 от ЗСПЗЗ.</w:t>
      </w:r>
    </w:p>
    <w:p w:rsidR="008830CA" w:rsidRDefault="008830CA" w:rsidP="008830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издадена Заповед №РД-04-138/10.09.2020 г. на директора на ОД „Земеделие“  за открита и проведена процедура за провеждане на търг с тайно наддаване за отдаване под наем на свободни пасища, мери и ливади от ДПФ за стопанската 2020-2021 година за срок от една стопанска година за регистрирани в Интегрираната информационна система на БАБХ, собственици на регистрирани пасищни селскостопански животни, които отговарят на условията, посочени в чл. 47в от ППЗСПЗЗ се сключиха по реда на чл. 37и, ал. 13 от ЗСПЗЗ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184AA2">
        <w:rPr>
          <w:rFonts w:ascii="Times New Roman" w:hAnsi="Times New Roman" w:cs="Times New Roman"/>
          <w:sz w:val="24"/>
          <w:szCs w:val="24"/>
          <w:lang w:val="bg-BG"/>
        </w:rPr>
        <w:t>20 договора, с обща площ 4437.755 дка за 334 имота.</w:t>
      </w:r>
    </w:p>
    <w:p w:rsidR="008830CA" w:rsidRPr="00184AA2" w:rsidRDefault="008830CA" w:rsidP="008830CA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 xml:space="preserve">Общият размер на земеделските земи от държавния поземлен фонд </w:t>
      </w:r>
      <w:r w:rsidRPr="00184AA2">
        <w:rPr>
          <w:rFonts w:ascii="Times New Roman" w:hAnsi="Times New Roman" w:cs="Times New Roman"/>
          <w:sz w:val="24"/>
          <w:szCs w:val="24"/>
          <w:lang w:val="x-none" w:eastAsia="bg-BG"/>
        </w:rPr>
        <w:t>(</w:t>
      </w:r>
      <w:r w:rsidRPr="00184AA2">
        <w:rPr>
          <w:rFonts w:ascii="Times New Roman" w:hAnsi="Times New Roman" w:cs="Times New Roman"/>
          <w:sz w:val="24"/>
          <w:szCs w:val="24"/>
          <w:lang w:val="bg-BG" w:eastAsia="bg-BG"/>
        </w:rPr>
        <w:t>ДПФ</w:t>
      </w:r>
      <w:r w:rsidRPr="00184AA2">
        <w:rPr>
          <w:rFonts w:ascii="Times New Roman" w:hAnsi="Times New Roman" w:cs="Times New Roman"/>
          <w:sz w:val="24"/>
          <w:szCs w:val="24"/>
          <w:lang w:val="x-none" w:eastAsia="bg-BG"/>
        </w:rPr>
        <w:t xml:space="preserve">) </w:t>
      </w:r>
      <w:r w:rsidRPr="00184AA2"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към 30.11.2020 г. по данни на общинските служби по земеделие е 139088.345 дка, в това </w:t>
      </w:r>
      <w:r w:rsidRPr="00184AA2">
        <w:rPr>
          <w:rFonts w:ascii="Times New Roman" w:hAnsi="Times New Roman" w:cs="Times New Roman"/>
          <w:sz w:val="24"/>
          <w:szCs w:val="24"/>
          <w:lang w:val="bg-BG"/>
        </w:rPr>
        <w:lastRenderedPageBreak/>
        <w:t>число по начин на трайно ползване както следва: ниви – 17912.545 дка; ливади – 2025.292 дка; пасища – 110839.339 дка, трайни насаждения – 540.468 дка и други – 7770.701 дка.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Видно от справка за състоянието и ползването на земите от ДПФ на територията на областта към 30.11.2020 г. /</w:t>
      </w:r>
      <w:r w:rsidRPr="00184AA2">
        <w:rPr>
          <w:rFonts w:ascii="Times New Roman" w:hAnsi="Times New Roman" w:cs="Times New Roman"/>
          <w:i/>
          <w:sz w:val="24"/>
          <w:szCs w:val="24"/>
          <w:lang w:val="bg-BG"/>
        </w:rPr>
        <w:t xml:space="preserve">Образец 2/, </w:t>
      </w:r>
      <w:r w:rsidRPr="00184AA2">
        <w:rPr>
          <w:rFonts w:ascii="Times New Roman" w:hAnsi="Times New Roman" w:cs="Times New Roman"/>
          <w:sz w:val="24"/>
          <w:szCs w:val="24"/>
          <w:lang w:val="bg-BG"/>
        </w:rPr>
        <w:t>предоставени за ползване са 3805 бр. имоти, с обща площ 37714.613 дка. Свободни земеделски земи са 8876 бр. имоти, с обща площ 101373.732 дка.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Действащите договори към момента на проверката са 514 бр. за 37141.139 дка, в това число за отглеждане на едногодишни полски култури и многогодишни фуражни култури – житни, бобови и техните смески са 183 бр. за 9293.049 дка, за създаване и отглеждане на трайни насаждения и за отглеждане на съществуващи трайни насаждения са 39 бр. за 1752.518 дка и за пасища и ливади – 292 бр. за 26130.725 дка, в това число по реда на чл. 37и, ал. 13 от ЗСПЗЗ са 20 бр. договори, с обща площ 4437.755 дка.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Земите предоставени със заповеди по реда на чл. 24, ал. 2 и чл. 24б от ЗСПЗЗ, са в размер на 429.945 дка на територията на две общини – Джебел и Кърджали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За земите от ДПФ, предоставени за ползване по реда на чл. 24, ал. 2 и чл. 24б от ЗСПЗЗ, комисията по т. 1.1 от методиката е изготвила констативни протоколи по Образец 3 за установяване състоянието и ползването на земите от ДПФ за всяко землище, както следва в: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землище гр. Джебел, община Джебел – нтп: нива и др. вид нива с обща площ 72.394 дка, от тях 9.811 дка се ползват като ливада, а останалите по предназначение;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землище с. Глухар, община Кърджали – нтп: нива 141.344 дка, от тях 133 дка установеното състояние при проверката е угар и необработена нива около 8.344 дка. Овощната градина, с площ 4.900 дка е с установено състояние необработена нива. От поземлен имот с нтп: оранжерия, с обща площ 60.333 дка, около 20 дка е угар и останалите 40.333 дка са неизползваеми.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землище с. Жинзифово, община Кърджали – нтп: нива с площ 20.027 дка. Имотът не се обработва;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землище с. Пепелище, община Кърджали – нтп: овощна градина 130.947 дка, от които по предназначение се ползват около 87 дка.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ниви, са предоставени за ползване под аренда за отглеждане на едногодишни полски култури и многогодишни фуражни култури – житни, бобови и техните смески в по-голямата си част се поддържат по предназначение. Видно от информацията, предоставена от ОСЗ 174 бр. имоти с обща площ 1673.682 дка не се обработват, а се ползват като ливади и пасища.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ливади, се поддържат и ползват по предназначение за косене и паша на животните.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пасище, се поддържат от наемателите си, като се почистват от храсти и папрати.</w:t>
      </w:r>
    </w:p>
    <w:p w:rsidR="008830CA" w:rsidRPr="00184AA2" w:rsidRDefault="008830CA" w:rsidP="008830CA">
      <w:pPr>
        <w:widowControl w:val="0"/>
        <w:overflowPunct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84AA2">
        <w:rPr>
          <w:rFonts w:ascii="Times New Roman" w:hAnsi="Times New Roman" w:cs="Times New Roman"/>
          <w:sz w:val="24"/>
          <w:szCs w:val="24"/>
          <w:lang w:val="x-none" w:eastAsia="bg-BG"/>
        </w:rPr>
        <w:t>Проверките се извършват на терен и/или чрез данни от изготвено пространствено сечение между имотите от кадастралната карта</w:t>
      </w:r>
      <w:r w:rsidRPr="00184AA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кадастралните карти </w:t>
      </w:r>
      <w:r w:rsidRPr="00184AA2">
        <w:rPr>
          <w:rFonts w:ascii="Times New Roman" w:hAnsi="Times New Roman" w:cs="Times New Roman"/>
          <w:sz w:val="24"/>
          <w:szCs w:val="24"/>
          <w:lang w:val="x-none" w:eastAsia="bg-BG"/>
        </w:rPr>
        <w:t>(КК</w:t>
      </w:r>
      <w:r w:rsidRPr="00184AA2">
        <w:rPr>
          <w:rFonts w:ascii="Times New Roman" w:hAnsi="Times New Roman" w:cs="Times New Roman"/>
          <w:sz w:val="24"/>
          <w:szCs w:val="24"/>
          <w:lang w:val="bg-BG" w:eastAsia="bg-BG"/>
        </w:rPr>
        <w:t>КР</w:t>
      </w:r>
      <w:r w:rsidRPr="00184AA2">
        <w:rPr>
          <w:rFonts w:ascii="Times New Roman" w:hAnsi="Times New Roman" w:cs="Times New Roman"/>
          <w:sz w:val="24"/>
          <w:szCs w:val="24"/>
          <w:lang w:val="x-none" w:eastAsia="bg-BG"/>
        </w:rPr>
        <w:t>) и парцелите, заявени за подпомагане по схеми и мерки за директни плащания на площ.</w:t>
      </w:r>
    </w:p>
    <w:p w:rsidR="008830CA" w:rsidRPr="00184AA2" w:rsidRDefault="008830CA" w:rsidP="008830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 xml:space="preserve">По данни от общинските служби по земеделие при извършените проверки по реда на чл. 47, ал. 8 от ППЗСПЗЗ към 30.11.2020 г. няма установени неправомерни ползватели на земеделски земи от ДПФ. </w:t>
      </w:r>
    </w:p>
    <w:p w:rsidR="008830CA" w:rsidRPr="00184AA2" w:rsidRDefault="008830CA" w:rsidP="008830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184AA2">
        <w:rPr>
          <w:rFonts w:ascii="Times New Roman" w:hAnsi="Times New Roman" w:cs="Times New Roman"/>
          <w:sz w:val="24"/>
          <w:szCs w:val="24"/>
          <w:lang w:val="bg-BG"/>
        </w:rPr>
        <w:t>От направените проверки се установи, че част от имотите от ДПФ, които по КККР представляват по нтп: „нива”, „пасища с храсти“, „пасища, мери“ и „ливади“ са се самозалесили и са станали гора по смисъла на чл. 2 от Закона за горите. И</w:t>
      </w:r>
      <w:r w:rsidRPr="00184AA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мотите с нтп: „други трайни насаждения” и „други селскостопански територии” в действителност са гори в земеделски земи. </w:t>
      </w:r>
    </w:p>
    <w:p w:rsidR="008830CA" w:rsidRPr="00730227" w:rsidRDefault="008830CA" w:rsidP="008830CA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През отчетния период сключените договори за продажба на земя, частна държавна собственост, прилежаща към сгради и съоръжения на организациите по § 12 от ПЗР на ЗСПЗЗ на основание чл. 27, ал. 6 от ЗСПЗЗ при спазване изискванията на чл. 45а, ал. 2 от ППЗСПЗЗ са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4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бр. за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5.299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дка с обща стойност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14400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лева, които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>са платени с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български лева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30CA" w:rsidRPr="00730227" w:rsidRDefault="008830CA" w:rsidP="008830CA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основание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з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>аповед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на директора на ОД „Земеделие“, във връзка с чл. 27, ал. 8 от ЗСПЗЗ  и чл. 56з, ал. 1 от ППЗСПЗЗ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проведени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тръжн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са сключени договори за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продажба на 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>2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бр.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>имоти с обща площ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13.085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 xml:space="preserve"> дка</w:t>
      </w: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40000 лв.</w:t>
      </w:r>
      <w:r w:rsidRPr="00730227">
        <w:rPr>
          <w:rFonts w:ascii="Times New Roman" w:hAnsi="Times New Roman" w:cs="Times New Roman"/>
          <w:color w:val="000000"/>
          <w:sz w:val="24"/>
          <w:szCs w:val="24"/>
        </w:rPr>
        <w:t>,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ползване, неподлежащи на възстановяване по ЗСПЗЗ.</w:t>
      </w:r>
    </w:p>
    <w:p w:rsidR="008830CA" w:rsidRPr="0077340D" w:rsidRDefault="008830CA" w:rsidP="008830C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730227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За периода януари – декември 2020 година Комисията по чл.17, ал.1, т. 1 от ЗОЗЗ проведе 9 заседания</w:t>
      </w:r>
      <w:r w:rsidRPr="0077340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Разгледани са 39 бр. преписки, от тях 6 бр. за утвърждаване на площадки за 11.644 дка и 31 бр. за промяна на предназначението за 75.479 дка. Постановените такси по чл. 30 от ЗОЗЗ са в размер на 76573.48 лв. Влезлите в сила решения са 31 бр. с площ 75.479 дка. Заплатените такси по чл. 30, ал. 1 от ЗОЗЗ са в размер на 76573.48 лв. Преобладаващият вид на обектите разглеждани от Комисията по чл.17, ал. 1, т. 1 от ЗОЗЗ са за жилищно застрояване. </w:t>
      </w:r>
    </w:p>
    <w:p w:rsidR="008830CA" w:rsidRPr="004E3AB2" w:rsidRDefault="008830CA" w:rsidP="008830C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E3AB2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основание Наредба за категоризиране на земеделските земи при промяна на тяхното предназначение в ОД “Земеделие” </w:t>
      </w:r>
      <w:r w:rsidRPr="004E3AB2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 w:rsidRPr="004E3AB2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Кърджали са издадени 26 броя актове за категоризация.</w:t>
      </w:r>
      <w:r w:rsidRPr="004E3A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 годината са издадени и </w:t>
      </w:r>
      <w:r w:rsidRPr="004E3AB2">
        <w:rPr>
          <w:rFonts w:ascii="Times New Roman" w:hAnsi="Times New Roman" w:cs="Times New Roman"/>
          <w:color w:val="000000"/>
          <w:sz w:val="24"/>
          <w:szCs w:val="24"/>
          <w:lang w:val="bg-BG"/>
        </w:rPr>
        <w:t>16</w:t>
      </w:r>
      <w:r w:rsidRPr="004E3A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 Актове за установяване на административни нарушения по ЗОЗЗ.</w:t>
      </w:r>
    </w:p>
    <w:p w:rsidR="008830CA" w:rsidRPr="008A569F" w:rsidRDefault="008830CA" w:rsidP="008830C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E3AB2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прилагане на Наредба №19 от 25 октомври 2012 г. за строителство в земеделски земи без промяна на предназначението им (обн. ДВ. бр. 85 от 6 ноември 2012 г.) на основание чл. 11, ал. 1, т. 4 са издадени 11 бр. положителни становища.</w:t>
      </w:r>
    </w:p>
    <w:p w:rsidR="00056DE1" w:rsidRPr="008A569F" w:rsidRDefault="0016576C" w:rsidP="0016576C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</w:t>
      </w:r>
      <w:r w:rsidR="00056DE1"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ОД “Земеделие”</w:t>
      </w:r>
      <w:r w:rsidR="00056DE1" w:rsidRPr="008A569F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 w:rsidR="00056DE1" w:rsidRPr="008A569F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 извършва, контрол относно правомерното ползване на възстановената собственост на земи на граждани, на ДПФ, отговаря на постъпили жалби, сигнали и молби в законосъобразния срок, своевременно и точно. Предоставя на гражданите необходимата информация с оглед защита на техните права, информира ги относно възможностите на обжалване в случай на допуснати нарушения.</w:t>
      </w:r>
    </w:p>
    <w:p w:rsidR="0016576C" w:rsidRDefault="009258F2" w:rsidP="009258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ОД „Земеделие” – гр. Кърджали е второстепенен разпоредител с бюджетни средства, поради което се извършва ежедневно осчетоводяване на разходи банка и каса – като оперативна обработка на внесени депозити за участие в търгове и тяхното възстановяване, изплащане на суми по 37в., ал.3, т.2 от ЗСПЗЗ / бели петна/, изготвяне, начисляване и осчетоводяване на работни заплати и хонорари. Извършва се обработка на отпуски, изготвяне на справки, удостоверения и служебни бележки. Изчисляват се суми по сключени договори за аренда за предходни години и наеми ДПФ от проведени търгове през текущата година. Осъществява се проверка и заверка по дейности на КТИ- приходни квитанции, квитанции по Наредба 49. Водят се досиета на всички 59 служители и се обслужват дейности свързани с обработка на молби за отпуск, болнични листове начисляване на заплати и др. </w:t>
      </w:r>
    </w:p>
    <w:p w:rsidR="0016576C" w:rsidRDefault="0016576C" w:rsidP="009258F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01.01.2020 г. - 31.12.2020 г. постъпилите приходи от наем, аренда са в размер на 589520 лв,, с 31520 лв. повече от заложените 558 000лв. за финансовата 2019 г. Приходите от държавни такси са в размер на 18701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лв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., което представлява 40,65 % или с 27299 лв. по-малко от заложените. Като основна причина за намаляване на таксите са 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>издадени заповеди по реда на § 33, ал.2 от Преходните и Заключителни разпоредби към Закона за изменение и допълнение на Закона за кадастъра и имотния регистър</w:t>
      </w:r>
      <w:r w:rsidRPr="0068206D">
        <w:rPr>
          <w:rFonts w:ascii="Times New Roman" w:hAnsi="Times New Roman" w:cs="Times New Roman"/>
          <w:sz w:val="24"/>
          <w:szCs w:val="24"/>
        </w:rPr>
        <w:t xml:space="preserve"> (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ПЗР към ЗИД на ЗКИР</w:t>
      </w:r>
      <w:r w:rsidRPr="0068206D">
        <w:rPr>
          <w:rFonts w:ascii="Times New Roman" w:hAnsi="Times New Roman" w:cs="Times New Roman"/>
          <w:sz w:val="24"/>
          <w:szCs w:val="24"/>
        </w:rPr>
        <w:t>)</w:t>
      </w:r>
      <w:r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за прекратяване на дейността на ОСЗ по поддържане на картата на възстановена собственост (КВС)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Към 31.12.2020 г. на територията на област Кърджали са издадени заповеди за всички землища за прекратяване на дейността на ОСЗ по поддръжка на КВС и преминаването на поддръжката към АГКК.  </w:t>
      </w:r>
    </w:p>
    <w:p w:rsidR="0016576C" w:rsidRDefault="0016576C" w:rsidP="009258F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Юрисконсултът в ОД „Земеделие” гр. Кърджали освен процесуалното представителство на Министъра на земеделието, храните и горите и на директора на ОД „Земеделие”, изготвя становища по жалби, молби и сигнали, подпомага и дейността на ГД „АР”, като изготвя становища по преписки, свързани със стопанисването на имотите от ДПФ и имоти от стопански дворове, предложения до МЗХГ за анексиране на договори за аренда и анекси по тях. Прави искания до службата по вписване за прекратяване на договори за аренда на имоти от ДПФ при не погасяване на задълженията по тях и искания до съда за издаване на заповед по реда на чл. 417 от ГПК с цел принудително събиране на сумите, подават молби до съдия изпълнител за образуване на изпълнителни производства за събиране на сумите от некоректни платци, участват в тръжни процедури по отдаване под наем и аренда на имотите от ДПФ като член на комисии, изготвят протоколи за резултатите от търга и договори. При установяване на ползване без правно основание на имоти от ДПФ, те провеждат административното производство до издаване на индивидуален административен акт по реда на чл. 34, ал. 8 от ЗСПЗЗ за изземване на имота от неправомерния ползвател. Изготвя становища във връзка с издаването на наказателни постановления в изпълнение на ЗРКЗГТ и </w:t>
      </w:r>
      <w:r w:rsidRPr="0016566E">
        <w:rPr>
          <w:rFonts w:ascii="Times New Roman" w:hAnsi="Times New Roman" w:cs="Times New Roman"/>
          <w:sz w:val="24"/>
          <w:szCs w:val="24"/>
          <w:lang w:val="bg-BG"/>
        </w:rPr>
        <w:t>Закона за прилагане на общата организация на пазарите на земеделски продукти на европейския съюз /ЗПООПЗПЕС/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6576C" w:rsidRDefault="0016576C" w:rsidP="009258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От началото на 2020 г. до 31.12.2020 г. общият брой на постъпилите преписки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3DB2">
        <w:rPr>
          <w:rFonts w:ascii="Times New Roman" w:hAnsi="Times New Roman" w:cs="Times New Roman"/>
          <w:sz w:val="24"/>
          <w:szCs w:val="24"/>
          <w:lang w:val="bg-BG"/>
        </w:rPr>
        <w:t xml:space="preserve">заявления, </w:t>
      </w:r>
      <w:r>
        <w:rPr>
          <w:rFonts w:ascii="Times New Roman" w:hAnsi="Times New Roman" w:cs="Times New Roman"/>
          <w:sz w:val="24"/>
          <w:szCs w:val="24"/>
        </w:rPr>
        <w:t xml:space="preserve">писма </w:t>
      </w:r>
      <w:r>
        <w:rPr>
          <w:rFonts w:ascii="Times New Roman" w:hAnsi="Times New Roman" w:cs="Times New Roman"/>
          <w:sz w:val="24"/>
          <w:szCs w:val="24"/>
          <w:lang w:val="bg-BG"/>
        </w:rPr>
        <w:t>и отговорите по тях, регистрирани в деловодната система на в ОД „Земеделие” гр. Кърджали</w:t>
      </w:r>
      <w:r w:rsidR="00E401AC">
        <w:rPr>
          <w:rFonts w:ascii="Times New Roman" w:hAnsi="Times New Roman" w:cs="Times New Roman"/>
          <w:sz w:val="24"/>
          <w:szCs w:val="24"/>
          <w:lang w:val="bg-BG"/>
        </w:rPr>
        <w:t xml:space="preserve"> и общинските служби към нея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93DB2">
        <w:rPr>
          <w:rFonts w:ascii="Times New Roman" w:hAnsi="Times New Roman" w:cs="Times New Roman"/>
          <w:sz w:val="24"/>
          <w:szCs w:val="24"/>
        </w:rPr>
        <w:t>25151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</w:p>
    <w:p w:rsidR="00D93DB2" w:rsidRDefault="00382C8B" w:rsidP="00382C8B">
      <w:pPr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През 2020 год. </w:t>
      </w:r>
      <w:r w:rsidR="0052253C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аред с финансовата подкрепа, която получават българските земеделски производител, като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директни плащания, пазарна подкрепа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и средства за 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селските райони,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тяхното интегриране в европейския пазар изисква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>ше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4D4F">
        <w:rPr>
          <w:rFonts w:ascii="Times New Roman" w:hAnsi="Times New Roman" w:cs="Times New Roman"/>
          <w:sz w:val="24"/>
          <w:szCs w:val="24"/>
          <w:lang w:val="bg-BG"/>
        </w:rPr>
        <w:t xml:space="preserve">и продължава да изисква </w:t>
      </w:r>
      <w:r w:rsidRPr="00424D4F"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малко усилия за спазването на добрите и</w:t>
      </w:r>
      <w:r w:rsidR="00DC444D">
        <w:rPr>
          <w:rFonts w:ascii="Times New Roman" w:hAnsi="Times New Roman" w:cs="Times New Roman"/>
          <w:sz w:val="24"/>
          <w:szCs w:val="24"/>
          <w:lang w:val="ru-RU"/>
        </w:rPr>
        <w:t xml:space="preserve"> модерни европейски пректики, норми и стандарти за производството на висикокачествен, безопасна за потребителите и конкурентно способна продукция.</w:t>
      </w:r>
    </w:p>
    <w:p w:rsidR="00E13F46" w:rsidRPr="00424D4F" w:rsidRDefault="00DC444D" w:rsidP="00DC444D">
      <w:pPr>
        <w:ind w:left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С оглед утвърждаване на областна дирекция “Земеделие” гр. Кърджали като водеща структура в областта на земеделието в процеса на работа се стремим да повишаване качеството на изпълнението,  прозрачност и отговорност в работата, максимална информираност на населението за възможностите, ползите и ефективността, които се  откриват в тази област. </w:t>
      </w:r>
    </w:p>
    <w:p w:rsidR="00FC1D62" w:rsidRPr="00424D4F" w:rsidRDefault="00FC1D62" w:rsidP="00DC444D">
      <w:pPr>
        <w:ind w:left="7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E13F46" w:rsidP="00DC444D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25278" w:rsidRDefault="00025278" w:rsidP="00BC6E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025278" w:rsidRDefault="00E13F46" w:rsidP="00025278">
      <w:pPr>
        <w:tabs>
          <w:tab w:val="left" w:pos="120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sectPr w:rsidR="00E13F46" w:rsidRPr="00025278" w:rsidSect="00F203FE">
      <w:footerReference w:type="default" r:id="rId16"/>
      <w:headerReference w:type="first" r:id="rId17"/>
      <w:footerReference w:type="first" r:id="rId18"/>
      <w:pgSz w:w="11907" w:h="16840" w:code="9"/>
      <w:pgMar w:top="990" w:right="567" w:bottom="851" w:left="993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50" w:rsidRDefault="00CF3D50">
      <w:r>
        <w:separator/>
      </w:r>
    </w:p>
  </w:endnote>
  <w:endnote w:type="continuationSeparator" w:id="0">
    <w:p w:rsidR="00CF3D50" w:rsidRDefault="00CF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B2" w:rsidRDefault="00D93DB2" w:rsidP="00973DCE">
    <w:pPr>
      <w:pStyle w:val="a5"/>
      <w:framePr w:wrap="auto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separate"/>
    </w:r>
    <w:r w:rsidR="00BD21EF">
      <w:rPr>
        <w:rStyle w:val="af5"/>
        <w:rFonts w:cs="Arial"/>
        <w:noProof/>
      </w:rPr>
      <w:t>2</w:t>
    </w:r>
    <w:r>
      <w:rPr>
        <w:rStyle w:val="af5"/>
        <w:rFonts w:cs="Arial"/>
      </w:rPr>
      <w:fldChar w:fldCharType="end"/>
    </w:r>
  </w:p>
  <w:p w:rsidR="00D93DB2" w:rsidRDefault="00D93DB2">
    <w:pPr>
      <w:pStyle w:val="a5"/>
      <w:jc w:val="right"/>
    </w:pPr>
  </w:p>
  <w:p w:rsidR="00D93DB2" w:rsidRDefault="00D93D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B2" w:rsidRDefault="00D93DB2" w:rsidP="0099677F">
    <w:pPr>
      <w:jc w:val="center"/>
      <w:rPr>
        <w:sz w:val="18"/>
        <w:szCs w:val="18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</w:t>
    </w:r>
  </w:p>
  <w:p w:rsidR="00D93DB2" w:rsidRPr="003E2E98" w:rsidRDefault="00D93DB2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3E2E98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</w:p>
  <w:p w:rsidR="00D93DB2" w:rsidRPr="00025093" w:rsidRDefault="00D93DB2" w:rsidP="0099677F">
    <w:pPr>
      <w:jc w:val="center"/>
      <w:rPr>
        <w:sz w:val="18"/>
        <w:szCs w:val="18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r w:rsidRPr="007B50E9">
      <w:rPr>
        <w:sz w:val="18"/>
        <w:szCs w:val="18"/>
      </w:rPr>
      <w:t>Delovod</w:t>
    </w:r>
    <w:r w:rsidRPr="00025093">
      <w:rPr>
        <w:sz w:val="18"/>
        <w:szCs w:val="18"/>
        <w:lang w:val="bg-BG"/>
      </w:rPr>
      <w:t>-</w:t>
    </w:r>
    <w:r w:rsidRPr="007B50E9">
      <w:rPr>
        <w:sz w:val="18"/>
        <w:szCs w:val="18"/>
      </w:rPr>
      <w:t>ODZ</w:t>
    </w:r>
    <w:r w:rsidRPr="00025093">
      <w:rPr>
        <w:sz w:val="18"/>
        <w:szCs w:val="18"/>
        <w:lang w:val="bg-BG"/>
      </w:rPr>
      <w:t>_</w:t>
    </w:r>
    <w:r w:rsidRPr="007B50E9">
      <w:rPr>
        <w:sz w:val="18"/>
        <w:szCs w:val="18"/>
      </w:rPr>
      <w:t>Kj</w:t>
    </w:r>
    <w:r w:rsidRPr="00025093">
      <w:rPr>
        <w:sz w:val="18"/>
        <w:szCs w:val="18"/>
        <w:lang w:val="bg-BG"/>
      </w:rPr>
      <w:t>@</w:t>
    </w:r>
    <w:r w:rsidRPr="007B50E9">
      <w:rPr>
        <w:sz w:val="18"/>
        <w:szCs w:val="18"/>
      </w:rPr>
      <w:t>mbox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contact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bg</w:t>
    </w:r>
  </w:p>
  <w:p w:rsidR="00D93DB2" w:rsidRPr="00376F5E" w:rsidRDefault="00D93DB2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50" w:rsidRDefault="00CF3D50">
      <w:r>
        <w:separator/>
      </w:r>
    </w:p>
  </w:footnote>
  <w:footnote w:type="continuationSeparator" w:id="0">
    <w:p w:rsidR="00CF3D50" w:rsidRDefault="00CF3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B2" w:rsidRPr="005B69F7" w:rsidRDefault="00D93DB2" w:rsidP="005B69F7">
    <w:pPr>
      <w:pStyle w:val="2"/>
      <w:rPr>
        <w:rStyle w:val="aa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DB2" w:rsidRPr="005B69F7" w:rsidRDefault="00D93DB2" w:rsidP="0055588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8890" t="10160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835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D93DB2" w:rsidRPr="004A4785" w:rsidRDefault="00D93DB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26"/>
        <w:szCs w:val="26"/>
      </w:rPr>
    </w:pPr>
    <w:r>
      <w:rPr>
        <w:rFonts w:ascii="Helen Bg Condensed" w:hAnsi="Helen Bg Condensed" w:cs="Helen Bg Condensed"/>
        <w:spacing w:val="40"/>
        <w:sz w:val="26"/>
        <w:szCs w:val="26"/>
      </w:rPr>
      <w:t>Министерство на земеделието,</w:t>
    </w:r>
    <w:r w:rsidRPr="004A4785">
      <w:rPr>
        <w:rFonts w:ascii="Helen Bg Condensed" w:hAnsi="Helen Bg Condensed" w:cs="Helen Bg Condensed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spacing w:val="40"/>
        <w:sz w:val="26"/>
        <w:szCs w:val="26"/>
      </w:rPr>
      <w:t xml:space="preserve"> и горите</w:t>
    </w:r>
  </w:p>
  <w:p w:rsidR="00D93DB2" w:rsidRPr="004A4785" w:rsidRDefault="00D93DB2" w:rsidP="0055588A">
    <w:pPr>
      <w:rPr>
        <w:b/>
        <w:bCs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3335" t="11430" r="7620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33170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  <w:t xml:space="preserve">Областна дирекция 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“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>Земеделие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”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 xml:space="preserve"> гр.Кърджали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14A"/>
    <w:multiLevelType w:val="hybridMultilevel"/>
    <w:tmpl w:val="FFF05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335EC"/>
    <w:multiLevelType w:val="hybridMultilevel"/>
    <w:tmpl w:val="D1C27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5562EB0"/>
    <w:multiLevelType w:val="hybridMultilevel"/>
    <w:tmpl w:val="C49C5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98649E"/>
    <w:multiLevelType w:val="hybridMultilevel"/>
    <w:tmpl w:val="8CB0A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D0571C"/>
    <w:multiLevelType w:val="hybridMultilevel"/>
    <w:tmpl w:val="30A467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9447F"/>
    <w:multiLevelType w:val="hybridMultilevel"/>
    <w:tmpl w:val="0AA84D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1595C"/>
    <w:multiLevelType w:val="hybridMultilevel"/>
    <w:tmpl w:val="E04668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6B3556"/>
    <w:multiLevelType w:val="hybridMultilevel"/>
    <w:tmpl w:val="ABD48E46"/>
    <w:lvl w:ilvl="0" w:tplc="D62E6464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8">
    <w:nsid w:val="58E51E43"/>
    <w:multiLevelType w:val="hybridMultilevel"/>
    <w:tmpl w:val="3E1E4FA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>
    <w:nsid w:val="5A3C775C"/>
    <w:multiLevelType w:val="hybridMultilevel"/>
    <w:tmpl w:val="A806737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E2E06A20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7B442D44"/>
    <w:multiLevelType w:val="hybridMultilevel"/>
    <w:tmpl w:val="67AA752E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7C7F5EA0"/>
    <w:multiLevelType w:val="multilevel"/>
    <w:tmpl w:val="C48A6BC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2">
    <w:nsid w:val="7CF62A82"/>
    <w:multiLevelType w:val="hybridMultilevel"/>
    <w:tmpl w:val="0C14C2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B7598"/>
    <w:multiLevelType w:val="hybridMultilevel"/>
    <w:tmpl w:val="EFB8E8A6"/>
    <w:lvl w:ilvl="0" w:tplc="BC50D6CC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9" w:hanging="360"/>
      </w:pPr>
    </w:lvl>
    <w:lvl w:ilvl="2" w:tplc="0402001B" w:tentative="1">
      <w:start w:val="1"/>
      <w:numFmt w:val="lowerRoman"/>
      <w:lvlText w:val="%3."/>
      <w:lvlJc w:val="right"/>
      <w:pPr>
        <w:ind w:left="2629" w:hanging="180"/>
      </w:pPr>
    </w:lvl>
    <w:lvl w:ilvl="3" w:tplc="0402000F" w:tentative="1">
      <w:start w:val="1"/>
      <w:numFmt w:val="decimal"/>
      <w:lvlText w:val="%4."/>
      <w:lvlJc w:val="left"/>
      <w:pPr>
        <w:ind w:left="3349" w:hanging="360"/>
      </w:pPr>
    </w:lvl>
    <w:lvl w:ilvl="4" w:tplc="04020019" w:tentative="1">
      <w:start w:val="1"/>
      <w:numFmt w:val="lowerLetter"/>
      <w:lvlText w:val="%5."/>
      <w:lvlJc w:val="left"/>
      <w:pPr>
        <w:ind w:left="4069" w:hanging="360"/>
      </w:pPr>
    </w:lvl>
    <w:lvl w:ilvl="5" w:tplc="0402001B" w:tentative="1">
      <w:start w:val="1"/>
      <w:numFmt w:val="lowerRoman"/>
      <w:lvlText w:val="%6."/>
      <w:lvlJc w:val="right"/>
      <w:pPr>
        <w:ind w:left="4789" w:hanging="180"/>
      </w:pPr>
    </w:lvl>
    <w:lvl w:ilvl="6" w:tplc="0402000F" w:tentative="1">
      <w:start w:val="1"/>
      <w:numFmt w:val="decimal"/>
      <w:lvlText w:val="%7."/>
      <w:lvlJc w:val="left"/>
      <w:pPr>
        <w:ind w:left="5509" w:hanging="360"/>
      </w:pPr>
    </w:lvl>
    <w:lvl w:ilvl="7" w:tplc="04020019" w:tentative="1">
      <w:start w:val="1"/>
      <w:numFmt w:val="lowerLetter"/>
      <w:lvlText w:val="%8."/>
      <w:lvlJc w:val="left"/>
      <w:pPr>
        <w:ind w:left="6229" w:hanging="360"/>
      </w:pPr>
    </w:lvl>
    <w:lvl w:ilvl="8" w:tplc="0402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A9"/>
    <w:rsid w:val="0000145B"/>
    <w:rsid w:val="00001579"/>
    <w:rsid w:val="00002F0C"/>
    <w:rsid w:val="00004AE3"/>
    <w:rsid w:val="00004C03"/>
    <w:rsid w:val="00012549"/>
    <w:rsid w:val="00013B0F"/>
    <w:rsid w:val="0002279B"/>
    <w:rsid w:val="00023762"/>
    <w:rsid w:val="00024C29"/>
    <w:rsid w:val="00025093"/>
    <w:rsid w:val="00025278"/>
    <w:rsid w:val="0003326C"/>
    <w:rsid w:val="000335DD"/>
    <w:rsid w:val="0003377F"/>
    <w:rsid w:val="00034275"/>
    <w:rsid w:val="0003452F"/>
    <w:rsid w:val="00035990"/>
    <w:rsid w:val="000361AB"/>
    <w:rsid w:val="00037B0B"/>
    <w:rsid w:val="00045DAE"/>
    <w:rsid w:val="000477BF"/>
    <w:rsid w:val="000512AE"/>
    <w:rsid w:val="00052342"/>
    <w:rsid w:val="00053407"/>
    <w:rsid w:val="00054645"/>
    <w:rsid w:val="00054CC6"/>
    <w:rsid w:val="00054CEB"/>
    <w:rsid w:val="00055852"/>
    <w:rsid w:val="00055AF1"/>
    <w:rsid w:val="0005609A"/>
    <w:rsid w:val="00056DE1"/>
    <w:rsid w:val="000600F8"/>
    <w:rsid w:val="0006066A"/>
    <w:rsid w:val="0006350C"/>
    <w:rsid w:val="00067A24"/>
    <w:rsid w:val="000713C0"/>
    <w:rsid w:val="000721C7"/>
    <w:rsid w:val="00072DD6"/>
    <w:rsid w:val="000740FA"/>
    <w:rsid w:val="00075577"/>
    <w:rsid w:val="00077453"/>
    <w:rsid w:val="00077808"/>
    <w:rsid w:val="00084571"/>
    <w:rsid w:val="00094A70"/>
    <w:rsid w:val="00096130"/>
    <w:rsid w:val="00096189"/>
    <w:rsid w:val="00097770"/>
    <w:rsid w:val="000A134A"/>
    <w:rsid w:val="000A3464"/>
    <w:rsid w:val="000A3697"/>
    <w:rsid w:val="000A411D"/>
    <w:rsid w:val="000A5030"/>
    <w:rsid w:val="000A53AE"/>
    <w:rsid w:val="000B03D9"/>
    <w:rsid w:val="000B15B8"/>
    <w:rsid w:val="000B551B"/>
    <w:rsid w:val="000B56D6"/>
    <w:rsid w:val="000C04E6"/>
    <w:rsid w:val="000C523E"/>
    <w:rsid w:val="000C5E0A"/>
    <w:rsid w:val="000D0A19"/>
    <w:rsid w:val="000D1769"/>
    <w:rsid w:val="000D1A25"/>
    <w:rsid w:val="000D1AAD"/>
    <w:rsid w:val="000D5963"/>
    <w:rsid w:val="000D6523"/>
    <w:rsid w:val="000E10AE"/>
    <w:rsid w:val="000E5541"/>
    <w:rsid w:val="000E6092"/>
    <w:rsid w:val="000F0880"/>
    <w:rsid w:val="000F3064"/>
    <w:rsid w:val="000F6F37"/>
    <w:rsid w:val="000F7EB8"/>
    <w:rsid w:val="001017E3"/>
    <w:rsid w:val="00103051"/>
    <w:rsid w:val="00103E6B"/>
    <w:rsid w:val="00104539"/>
    <w:rsid w:val="00104542"/>
    <w:rsid w:val="0010613B"/>
    <w:rsid w:val="00110046"/>
    <w:rsid w:val="00116310"/>
    <w:rsid w:val="001204B2"/>
    <w:rsid w:val="001241B5"/>
    <w:rsid w:val="00130396"/>
    <w:rsid w:val="00134076"/>
    <w:rsid w:val="0013430C"/>
    <w:rsid w:val="0013700D"/>
    <w:rsid w:val="00140CBC"/>
    <w:rsid w:val="0014183E"/>
    <w:rsid w:val="00141B6A"/>
    <w:rsid w:val="001428C8"/>
    <w:rsid w:val="00146DF8"/>
    <w:rsid w:val="00150AA0"/>
    <w:rsid w:val="0015124F"/>
    <w:rsid w:val="00152A8A"/>
    <w:rsid w:val="00153E58"/>
    <w:rsid w:val="00157D1E"/>
    <w:rsid w:val="00160BE5"/>
    <w:rsid w:val="00164586"/>
    <w:rsid w:val="0016566E"/>
    <w:rsid w:val="0016576C"/>
    <w:rsid w:val="00166410"/>
    <w:rsid w:val="001679B3"/>
    <w:rsid w:val="00173477"/>
    <w:rsid w:val="001745E1"/>
    <w:rsid w:val="00177361"/>
    <w:rsid w:val="00181C6C"/>
    <w:rsid w:val="00181E3C"/>
    <w:rsid w:val="00182565"/>
    <w:rsid w:val="001825A1"/>
    <w:rsid w:val="001835B3"/>
    <w:rsid w:val="0018488B"/>
    <w:rsid w:val="00187757"/>
    <w:rsid w:val="00190220"/>
    <w:rsid w:val="00192CB2"/>
    <w:rsid w:val="00194AD0"/>
    <w:rsid w:val="00194DD4"/>
    <w:rsid w:val="00195954"/>
    <w:rsid w:val="001A03EA"/>
    <w:rsid w:val="001A3609"/>
    <w:rsid w:val="001A413F"/>
    <w:rsid w:val="001A6554"/>
    <w:rsid w:val="001A6663"/>
    <w:rsid w:val="001A72FC"/>
    <w:rsid w:val="001A7EDC"/>
    <w:rsid w:val="001B2107"/>
    <w:rsid w:val="001B2C39"/>
    <w:rsid w:val="001B4A56"/>
    <w:rsid w:val="001B4BA5"/>
    <w:rsid w:val="001B4CD2"/>
    <w:rsid w:val="001B65F9"/>
    <w:rsid w:val="001C1EB0"/>
    <w:rsid w:val="001C26BC"/>
    <w:rsid w:val="001C3519"/>
    <w:rsid w:val="001C39AC"/>
    <w:rsid w:val="001C3AC3"/>
    <w:rsid w:val="001C5129"/>
    <w:rsid w:val="001C54E7"/>
    <w:rsid w:val="001D1B49"/>
    <w:rsid w:val="001D20DE"/>
    <w:rsid w:val="001D3B22"/>
    <w:rsid w:val="001E0784"/>
    <w:rsid w:val="001E10FD"/>
    <w:rsid w:val="001E2C6E"/>
    <w:rsid w:val="001E6B5D"/>
    <w:rsid w:val="001E7F15"/>
    <w:rsid w:val="001F048A"/>
    <w:rsid w:val="001F051E"/>
    <w:rsid w:val="001F05CE"/>
    <w:rsid w:val="001F5C24"/>
    <w:rsid w:val="001F600F"/>
    <w:rsid w:val="001F6C98"/>
    <w:rsid w:val="001F7A43"/>
    <w:rsid w:val="001F7AAC"/>
    <w:rsid w:val="001F7D56"/>
    <w:rsid w:val="00201DD3"/>
    <w:rsid w:val="00202CE9"/>
    <w:rsid w:val="00203CAE"/>
    <w:rsid w:val="00203FE8"/>
    <w:rsid w:val="0020653E"/>
    <w:rsid w:val="002121D5"/>
    <w:rsid w:val="00212799"/>
    <w:rsid w:val="0021389A"/>
    <w:rsid w:val="0021419A"/>
    <w:rsid w:val="002202AB"/>
    <w:rsid w:val="00221138"/>
    <w:rsid w:val="00222CE6"/>
    <w:rsid w:val="00225564"/>
    <w:rsid w:val="00227BEE"/>
    <w:rsid w:val="00232F8E"/>
    <w:rsid w:val="00233B0A"/>
    <w:rsid w:val="002349A9"/>
    <w:rsid w:val="002426F7"/>
    <w:rsid w:val="00242A58"/>
    <w:rsid w:val="00243D7B"/>
    <w:rsid w:val="00244020"/>
    <w:rsid w:val="002443A9"/>
    <w:rsid w:val="002460AD"/>
    <w:rsid w:val="00250D9F"/>
    <w:rsid w:val="00253DF9"/>
    <w:rsid w:val="0025496F"/>
    <w:rsid w:val="00255280"/>
    <w:rsid w:val="002558F5"/>
    <w:rsid w:val="00257063"/>
    <w:rsid w:val="002575B3"/>
    <w:rsid w:val="00261A92"/>
    <w:rsid w:val="0026434D"/>
    <w:rsid w:val="00264C5B"/>
    <w:rsid w:val="00266D04"/>
    <w:rsid w:val="00276229"/>
    <w:rsid w:val="00277976"/>
    <w:rsid w:val="00280B45"/>
    <w:rsid w:val="0028145C"/>
    <w:rsid w:val="00282B96"/>
    <w:rsid w:val="002929D0"/>
    <w:rsid w:val="00294F83"/>
    <w:rsid w:val="002A05EE"/>
    <w:rsid w:val="002A1143"/>
    <w:rsid w:val="002A2F51"/>
    <w:rsid w:val="002A35C3"/>
    <w:rsid w:val="002A3A86"/>
    <w:rsid w:val="002A5BD6"/>
    <w:rsid w:val="002A5F60"/>
    <w:rsid w:val="002A7A15"/>
    <w:rsid w:val="002B1389"/>
    <w:rsid w:val="002B1D64"/>
    <w:rsid w:val="002B26C3"/>
    <w:rsid w:val="002B339C"/>
    <w:rsid w:val="002B52AA"/>
    <w:rsid w:val="002B7855"/>
    <w:rsid w:val="002C3A51"/>
    <w:rsid w:val="002C7D80"/>
    <w:rsid w:val="002D1FBA"/>
    <w:rsid w:val="002D2324"/>
    <w:rsid w:val="002D3001"/>
    <w:rsid w:val="002D40DB"/>
    <w:rsid w:val="002D4F3A"/>
    <w:rsid w:val="002D72D8"/>
    <w:rsid w:val="002E1060"/>
    <w:rsid w:val="002E25BD"/>
    <w:rsid w:val="002E25EF"/>
    <w:rsid w:val="002E4129"/>
    <w:rsid w:val="002E7516"/>
    <w:rsid w:val="002E7D0D"/>
    <w:rsid w:val="002E7D1B"/>
    <w:rsid w:val="002E7D4B"/>
    <w:rsid w:val="002F0009"/>
    <w:rsid w:val="002F1D9B"/>
    <w:rsid w:val="002F3B6B"/>
    <w:rsid w:val="002F463D"/>
    <w:rsid w:val="002F68A7"/>
    <w:rsid w:val="0030309F"/>
    <w:rsid w:val="00303D9F"/>
    <w:rsid w:val="00304624"/>
    <w:rsid w:val="00304CD3"/>
    <w:rsid w:val="003123E8"/>
    <w:rsid w:val="003139DC"/>
    <w:rsid w:val="003150BB"/>
    <w:rsid w:val="00315A7E"/>
    <w:rsid w:val="00316276"/>
    <w:rsid w:val="0032007C"/>
    <w:rsid w:val="0032066B"/>
    <w:rsid w:val="003231E9"/>
    <w:rsid w:val="003260EE"/>
    <w:rsid w:val="00331122"/>
    <w:rsid w:val="0033127D"/>
    <w:rsid w:val="0033188A"/>
    <w:rsid w:val="003356C0"/>
    <w:rsid w:val="00335F7F"/>
    <w:rsid w:val="00336792"/>
    <w:rsid w:val="003371F9"/>
    <w:rsid w:val="0034374C"/>
    <w:rsid w:val="003460A1"/>
    <w:rsid w:val="00346A0D"/>
    <w:rsid w:val="003529BD"/>
    <w:rsid w:val="00353649"/>
    <w:rsid w:val="003553FB"/>
    <w:rsid w:val="003562FA"/>
    <w:rsid w:val="003566ED"/>
    <w:rsid w:val="00361B88"/>
    <w:rsid w:val="00364509"/>
    <w:rsid w:val="0036552F"/>
    <w:rsid w:val="00366F61"/>
    <w:rsid w:val="00372296"/>
    <w:rsid w:val="00374BF8"/>
    <w:rsid w:val="0037629B"/>
    <w:rsid w:val="0037630A"/>
    <w:rsid w:val="00376A3C"/>
    <w:rsid w:val="00376F5E"/>
    <w:rsid w:val="00382C8B"/>
    <w:rsid w:val="003833B3"/>
    <w:rsid w:val="00385DEA"/>
    <w:rsid w:val="00392094"/>
    <w:rsid w:val="00393569"/>
    <w:rsid w:val="00396137"/>
    <w:rsid w:val="00396E12"/>
    <w:rsid w:val="003A209A"/>
    <w:rsid w:val="003A3B5A"/>
    <w:rsid w:val="003A3C30"/>
    <w:rsid w:val="003A465D"/>
    <w:rsid w:val="003A5B51"/>
    <w:rsid w:val="003A618F"/>
    <w:rsid w:val="003A68D3"/>
    <w:rsid w:val="003A6AE0"/>
    <w:rsid w:val="003A765F"/>
    <w:rsid w:val="003A789E"/>
    <w:rsid w:val="003B021D"/>
    <w:rsid w:val="003B32CB"/>
    <w:rsid w:val="003B45ED"/>
    <w:rsid w:val="003B52B6"/>
    <w:rsid w:val="003B7313"/>
    <w:rsid w:val="003C2FAC"/>
    <w:rsid w:val="003C475C"/>
    <w:rsid w:val="003C4D11"/>
    <w:rsid w:val="003D67C9"/>
    <w:rsid w:val="003E0535"/>
    <w:rsid w:val="003E1E3B"/>
    <w:rsid w:val="003E2414"/>
    <w:rsid w:val="003E2E98"/>
    <w:rsid w:val="003E3CBC"/>
    <w:rsid w:val="003E485E"/>
    <w:rsid w:val="003E5E2E"/>
    <w:rsid w:val="003E6929"/>
    <w:rsid w:val="003E6F3B"/>
    <w:rsid w:val="003E74BB"/>
    <w:rsid w:val="003F3AC6"/>
    <w:rsid w:val="00404969"/>
    <w:rsid w:val="0040548D"/>
    <w:rsid w:val="00411C35"/>
    <w:rsid w:val="004166D4"/>
    <w:rsid w:val="0042153A"/>
    <w:rsid w:val="00421A5D"/>
    <w:rsid w:val="0042345C"/>
    <w:rsid w:val="004249F9"/>
    <w:rsid w:val="00424D4F"/>
    <w:rsid w:val="00424D5E"/>
    <w:rsid w:val="00425B84"/>
    <w:rsid w:val="0042690B"/>
    <w:rsid w:val="004302EE"/>
    <w:rsid w:val="00430F67"/>
    <w:rsid w:val="004311AA"/>
    <w:rsid w:val="00434615"/>
    <w:rsid w:val="00435BF7"/>
    <w:rsid w:val="00436C4E"/>
    <w:rsid w:val="0043776A"/>
    <w:rsid w:val="00437E1D"/>
    <w:rsid w:val="00443C68"/>
    <w:rsid w:val="004450DE"/>
    <w:rsid w:val="00445C10"/>
    <w:rsid w:val="00445FEE"/>
    <w:rsid w:val="00446795"/>
    <w:rsid w:val="00447822"/>
    <w:rsid w:val="00450699"/>
    <w:rsid w:val="00452CC0"/>
    <w:rsid w:val="0045497D"/>
    <w:rsid w:val="004576DF"/>
    <w:rsid w:val="00462639"/>
    <w:rsid w:val="00467334"/>
    <w:rsid w:val="004679E9"/>
    <w:rsid w:val="00473F58"/>
    <w:rsid w:val="00474B87"/>
    <w:rsid w:val="004755C7"/>
    <w:rsid w:val="004837B1"/>
    <w:rsid w:val="004844C5"/>
    <w:rsid w:val="0049334D"/>
    <w:rsid w:val="00494D94"/>
    <w:rsid w:val="00495762"/>
    <w:rsid w:val="00497912"/>
    <w:rsid w:val="004A21EF"/>
    <w:rsid w:val="004A2808"/>
    <w:rsid w:val="004A4785"/>
    <w:rsid w:val="004A6165"/>
    <w:rsid w:val="004B03BA"/>
    <w:rsid w:val="004B3F7F"/>
    <w:rsid w:val="004B4D86"/>
    <w:rsid w:val="004B4DF1"/>
    <w:rsid w:val="004B58F8"/>
    <w:rsid w:val="004B741E"/>
    <w:rsid w:val="004C3144"/>
    <w:rsid w:val="004C32CB"/>
    <w:rsid w:val="004C48F8"/>
    <w:rsid w:val="004C5562"/>
    <w:rsid w:val="004D0C76"/>
    <w:rsid w:val="004D37F0"/>
    <w:rsid w:val="004D7FFA"/>
    <w:rsid w:val="004E21E3"/>
    <w:rsid w:val="004E5ADD"/>
    <w:rsid w:val="004E7A52"/>
    <w:rsid w:val="004F1A91"/>
    <w:rsid w:val="004F25DA"/>
    <w:rsid w:val="004F3BBC"/>
    <w:rsid w:val="004F468E"/>
    <w:rsid w:val="004F6274"/>
    <w:rsid w:val="004F67D7"/>
    <w:rsid w:val="004F6F3F"/>
    <w:rsid w:val="004F765C"/>
    <w:rsid w:val="004F76D2"/>
    <w:rsid w:val="00503B5F"/>
    <w:rsid w:val="0050406C"/>
    <w:rsid w:val="00506CDB"/>
    <w:rsid w:val="00511D6C"/>
    <w:rsid w:val="00514120"/>
    <w:rsid w:val="00517237"/>
    <w:rsid w:val="00517E1D"/>
    <w:rsid w:val="00517E48"/>
    <w:rsid w:val="00520564"/>
    <w:rsid w:val="0052070B"/>
    <w:rsid w:val="00521B7D"/>
    <w:rsid w:val="0052253C"/>
    <w:rsid w:val="00522C20"/>
    <w:rsid w:val="00522E19"/>
    <w:rsid w:val="0052348E"/>
    <w:rsid w:val="00523D41"/>
    <w:rsid w:val="005250EA"/>
    <w:rsid w:val="0052516B"/>
    <w:rsid w:val="00525AE5"/>
    <w:rsid w:val="005275DB"/>
    <w:rsid w:val="0052781F"/>
    <w:rsid w:val="005315B1"/>
    <w:rsid w:val="00532F9E"/>
    <w:rsid w:val="00535200"/>
    <w:rsid w:val="00536C94"/>
    <w:rsid w:val="00537AD5"/>
    <w:rsid w:val="00540A5A"/>
    <w:rsid w:val="00541674"/>
    <w:rsid w:val="0054249C"/>
    <w:rsid w:val="00542607"/>
    <w:rsid w:val="00543D65"/>
    <w:rsid w:val="005508DB"/>
    <w:rsid w:val="00550FD2"/>
    <w:rsid w:val="00553EA1"/>
    <w:rsid w:val="0055588A"/>
    <w:rsid w:val="00556D73"/>
    <w:rsid w:val="0055771C"/>
    <w:rsid w:val="00560044"/>
    <w:rsid w:val="00561905"/>
    <w:rsid w:val="00561E95"/>
    <w:rsid w:val="00562C05"/>
    <w:rsid w:val="00564624"/>
    <w:rsid w:val="005650F0"/>
    <w:rsid w:val="00567C4D"/>
    <w:rsid w:val="0057056E"/>
    <w:rsid w:val="005730D1"/>
    <w:rsid w:val="0057386B"/>
    <w:rsid w:val="005743AA"/>
    <w:rsid w:val="00574F6C"/>
    <w:rsid w:val="00575F3E"/>
    <w:rsid w:val="0057737A"/>
    <w:rsid w:val="005773CE"/>
    <w:rsid w:val="00582647"/>
    <w:rsid w:val="00583E01"/>
    <w:rsid w:val="0058547F"/>
    <w:rsid w:val="00586581"/>
    <w:rsid w:val="00590BE1"/>
    <w:rsid w:val="00593766"/>
    <w:rsid w:val="005A0A59"/>
    <w:rsid w:val="005A2020"/>
    <w:rsid w:val="005A3A19"/>
    <w:rsid w:val="005A3A87"/>
    <w:rsid w:val="005A3B17"/>
    <w:rsid w:val="005A45AA"/>
    <w:rsid w:val="005A7BEC"/>
    <w:rsid w:val="005B1EB7"/>
    <w:rsid w:val="005B3E96"/>
    <w:rsid w:val="005B5C37"/>
    <w:rsid w:val="005B69F7"/>
    <w:rsid w:val="005C2A24"/>
    <w:rsid w:val="005C401C"/>
    <w:rsid w:val="005C5A52"/>
    <w:rsid w:val="005C6EAB"/>
    <w:rsid w:val="005D268B"/>
    <w:rsid w:val="005D2765"/>
    <w:rsid w:val="005D2A08"/>
    <w:rsid w:val="005D2B3F"/>
    <w:rsid w:val="005D3E11"/>
    <w:rsid w:val="005D7788"/>
    <w:rsid w:val="005E1352"/>
    <w:rsid w:val="005E19DF"/>
    <w:rsid w:val="005E1BD9"/>
    <w:rsid w:val="005E1EDB"/>
    <w:rsid w:val="005F074B"/>
    <w:rsid w:val="005F1C54"/>
    <w:rsid w:val="005F2C5D"/>
    <w:rsid w:val="005F4BA0"/>
    <w:rsid w:val="005F4DA3"/>
    <w:rsid w:val="00600E9B"/>
    <w:rsid w:val="00602A0B"/>
    <w:rsid w:val="006037D4"/>
    <w:rsid w:val="0060444E"/>
    <w:rsid w:val="0060583E"/>
    <w:rsid w:val="00611C7C"/>
    <w:rsid w:val="00612516"/>
    <w:rsid w:val="006143E6"/>
    <w:rsid w:val="00617AF4"/>
    <w:rsid w:val="00623A19"/>
    <w:rsid w:val="00623DC0"/>
    <w:rsid w:val="0062435E"/>
    <w:rsid w:val="006260A5"/>
    <w:rsid w:val="00626A33"/>
    <w:rsid w:val="00626E13"/>
    <w:rsid w:val="00627A1B"/>
    <w:rsid w:val="0063112D"/>
    <w:rsid w:val="0063461A"/>
    <w:rsid w:val="00636C78"/>
    <w:rsid w:val="0063719B"/>
    <w:rsid w:val="00641056"/>
    <w:rsid w:val="00644290"/>
    <w:rsid w:val="00646218"/>
    <w:rsid w:val="00647308"/>
    <w:rsid w:val="0064737D"/>
    <w:rsid w:val="00650F20"/>
    <w:rsid w:val="00651AF5"/>
    <w:rsid w:val="00654317"/>
    <w:rsid w:val="006544C4"/>
    <w:rsid w:val="00655281"/>
    <w:rsid w:val="006561A8"/>
    <w:rsid w:val="006579F5"/>
    <w:rsid w:val="006617EB"/>
    <w:rsid w:val="00663EAF"/>
    <w:rsid w:val="00663EEB"/>
    <w:rsid w:val="00673668"/>
    <w:rsid w:val="00674726"/>
    <w:rsid w:val="00676070"/>
    <w:rsid w:val="00676649"/>
    <w:rsid w:val="00681C46"/>
    <w:rsid w:val="0068206D"/>
    <w:rsid w:val="00685B80"/>
    <w:rsid w:val="0068708C"/>
    <w:rsid w:val="00687D73"/>
    <w:rsid w:val="00693227"/>
    <w:rsid w:val="006956F2"/>
    <w:rsid w:val="0069600A"/>
    <w:rsid w:val="006A0299"/>
    <w:rsid w:val="006A10AF"/>
    <w:rsid w:val="006A11B8"/>
    <w:rsid w:val="006A40AC"/>
    <w:rsid w:val="006A4115"/>
    <w:rsid w:val="006A455E"/>
    <w:rsid w:val="006A558C"/>
    <w:rsid w:val="006A5D98"/>
    <w:rsid w:val="006A65FB"/>
    <w:rsid w:val="006B0B9A"/>
    <w:rsid w:val="006B1B53"/>
    <w:rsid w:val="006B4D7B"/>
    <w:rsid w:val="006B6954"/>
    <w:rsid w:val="006C1A91"/>
    <w:rsid w:val="006C7C8C"/>
    <w:rsid w:val="006D0CB3"/>
    <w:rsid w:val="006D2F5B"/>
    <w:rsid w:val="006D6113"/>
    <w:rsid w:val="006D65E8"/>
    <w:rsid w:val="006E136B"/>
    <w:rsid w:val="006E1608"/>
    <w:rsid w:val="006E181E"/>
    <w:rsid w:val="006E2C9C"/>
    <w:rsid w:val="006E4750"/>
    <w:rsid w:val="006E517E"/>
    <w:rsid w:val="006E7E92"/>
    <w:rsid w:val="006F190E"/>
    <w:rsid w:val="00703200"/>
    <w:rsid w:val="00703F62"/>
    <w:rsid w:val="007053E0"/>
    <w:rsid w:val="00706820"/>
    <w:rsid w:val="0071006D"/>
    <w:rsid w:val="0071020D"/>
    <w:rsid w:val="00710AEF"/>
    <w:rsid w:val="0071162E"/>
    <w:rsid w:val="00712124"/>
    <w:rsid w:val="00715990"/>
    <w:rsid w:val="00716805"/>
    <w:rsid w:val="007203DB"/>
    <w:rsid w:val="00720F55"/>
    <w:rsid w:val="007225FE"/>
    <w:rsid w:val="007240E7"/>
    <w:rsid w:val="007303D9"/>
    <w:rsid w:val="00731BD4"/>
    <w:rsid w:val="007334FA"/>
    <w:rsid w:val="00733F2C"/>
    <w:rsid w:val="00735898"/>
    <w:rsid w:val="00741BCB"/>
    <w:rsid w:val="00742591"/>
    <w:rsid w:val="00743037"/>
    <w:rsid w:val="00744CD5"/>
    <w:rsid w:val="007463D6"/>
    <w:rsid w:val="00747935"/>
    <w:rsid w:val="00756E7C"/>
    <w:rsid w:val="00757E7A"/>
    <w:rsid w:val="007676BB"/>
    <w:rsid w:val="00774667"/>
    <w:rsid w:val="007806DE"/>
    <w:rsid w:val="00781020"/>
    <w:rsid w:val="0078271B"/>
    <w:rsid w:val="00782BB1"/>
    <w:rsid w:val="00783315"/>
    <w:rsid w:val="00783DBD"/>
    <w:rsid w:val="00786420"/>
    <w:rsid w:val="007865D2"/>
    <w:rsid w:val="007878CA"/>
    <w:rsid w:val="00787C54"/>
    <w:rsid w:val="00792E64"/>
    <w:rsid w:val="00792FEA"/>
    <w:rsid w:val="00795AED"/>
    <w:rsid w:val="00797ECE"/>
    <w:rsid w:val="007A4628"/>
    <w:rsid w:val="007A51F7"/>
    <w:rsid w:val="007A5CEE"/>
    <w:rsid w:val="007A6290"/>
    <w:rsid w:val="007A6AD4"/>
    <w:rsid w:val="007B1B7B"/>
    <w:rsid w:val="007B20FF"/>
    <w:rsid w:val="007B332B"/>
    <w:rsid w:val="007B4812"/>
    <w:rsid w:val="007B50E9"/>
    <w:rsid w:val="007B66A3"/>
    <w:rsid w:val="007B72DD"/>
    <w:rsid w:val="007B7524"/>
    <w:rsid w:val="007C0547"/>
    <w:rsid w:val="007C4155"/>
    <w:rsid w:val="007C5214"/>
    <w:rsid w:val="007C581B"/>
    <w:rsid w:val="007D1874"/>
    <w:rsid w:val="007D2AEF"/>
    <w:rsid w:val="007D6978"/>
    <w:rsid w:val="007D6B64"/>
    <w:rsid w:val="007E0EA9"/>
    <w:rsid w:val="007E37E3"/>
    <w:rsid w:val="007E4017"/>
    <w:rsid w:val="007F0845"/>
    <w:rsid w:val="007F278D"/>
    <w:rsid w:val="007F397A"/>
    <w:rsid w:val="007F6BFD"/>
    <w:rsid w:val="0080153C"/>
    <w:rsid w:val="00810728"/>
    <w:rsid w:val="008108FD"/>
    <w:rsid w:val="00811576"/>
    <w:rsid w:val="00811C0C"/>
    <w:rsid w:val="0081403E"/>
    <w:rsid w:val="00817876"/>
    <w:rsid w:val="0082575B"/>
    <w:rsid w:val="00826BD6"/>
    <w:rsid w:val="008301E4"/>
    <w:rsid w:val="00844FDE"/>
    <w:rsid w:val="00845D49"/>
    <w:rsid w:val="008465AA"/>
    <w:rsid w:val="00852204"/>
    <w:rsid w:val="0085348A"/>
    <w:rsid w:val="00857C18"/>
    <w:rsid w:val="0086040A"/>
    <w:rsid w:val="00860957"/>
    <w:rsid w:val="00863FDB"/>
    <w:rsid w:val="00865747"/>
    <w:rsid w:val="00866D9D"/>
    <w:rsid w:val="008703C1"/>
    <w:rsid w:val="00874B06"/>
    <w:rsid w:val="00874CB4"/>
    <w:rsid w:val="008777B5"/>
    <w:rsid w:val="00882628"/>
    <w:rsid w:val="008830CA"/>
    <w:rsid w:val="0088660D"/>
    <w:rsid w:val="008915AC"/>
    <w:rsid w:val="00892E20"/>
    <w:rsid w:val="008951D5"/>
    <w:rsid w:val="00896CF7"/>
    <w:rsid w:val="00897824"/>
    <w:rsid w:val="008A073C"/>
    <w:rsid w:val="008A447F"/>
    <w:rsid w:val="008A7956"/>
    <w:rsid w:val="008B0206"/>
    <w:rsid w:val="008B1300"/>
    <w:rsid w:val="008B3E0F"/>
    <w:rsid w:val="008B4487"/>
    <w:rsid w:val="008B6E8A"/>
    <w:rsid w:val="008B739D"/>
    <w:rsid w:val="008C052B"/>
    <w:rsid w:val="008C0563"/>
    <w:rsid w:val="008D01F4"/>
    <w:rsid w:val="008D05C5"/>
    <w:rsid w:val="008D52D3"/>
    <w:rsid w:val="008D61DF"/>
    <w:rsid w:val="008D633C"/>
    <w:rsid w:val="008D792B"/>
    <w:rsid w:val="008F129E"/>
    <w:rsid w:val="008F2499"/>
    <w:rsid w:val="008F2D75"/>
    <w:rsid w:val="008F418E"/>
    <w:rsid w:val="008F708B"/>
    <w:rsid w:val="008F77F3"/>
    <w:rsid w:val="009042EB"/>
    <w:rsid w:val="00905E41"/>
    <w:rsid w:val="009073BC"/>
    <w:rsid w:val="0090761E"/>
    <w:rsid w:val="0091258A"/>
    <w:rsid w:val="009138BE"/>
    <w:rsid w:val="00914396"/>
    <w:rsid w:val="00914EB4"/>
    <w:rsid w:val="0092105E"/>
    <w:rsid w:val="00921D35"/>
    <w:rsid w:val="009222FA"/>
    <w:rsid w:val="00923F35"/>
    <w:rsid w:val="0092464E"/>
    <w:rsid w:val="009248D9"/>
    <w:rsid w:val="009258F2"/>
    <w:rsid w:val="00926111"/>
    <w:rsid w:val="009268E5"/>
    <w:rsid w:val="00927619"/>
    <w:rsid w:val="009304CE"/>
    <w:rsid w:val="009332C2"/>
    <w:rsid w:val="0093599D"/>
    <w:rsid w:val="00936377"/>
    <w:rsid w:val="00936425"/>
    <w:rsid w:val="00937235"/>
    <w:rsid w:val="00937AEC"/>
    <w:rsid w:val="009401C9"/>
    <w:rsid w:val="00940D63"/>
    <w:rsid w:val="00940E66"/>
    <w:rsid w:val="009410B1"/>
    <w:rsid w:val="0094206D"/>
    <w:rsid w:val="00944809"/>
    <w:rsid w:val="00945073"/>
    <w:rsid w:val="009466B7"/>
    <w:rsid w:val="00946D85"/>
    <w:rsid w:val="0095143C"/>
    <w:rsid w:val="00953AFB"/>
    <w:rsid w:val="0095450A"/>
    <w:rsid w:val="009563AE"/>
    <w:rsid w:val="00957066"/>
    <w:rsid w:val="00960EA9"/>
    <w:rsid w:val="00962709"/>
    <w:rsid w:val="0096352E"/>
    <w:rsid w:val="0096473A"/>
    <w:rsid w:val="00965E38"/>
    <w:rsid w:val="00970874"/>
    <w:rsid w:val="00971414"/>
    <w:rsid w:val="00973DCE"/>
    <w:rsid w:val="00974546"/>
    <w:rsid w:val="00974B3B"/>
    <w:rsid w:val="009844AF"/>
    <w:rsid w:val="00984C08"/>
    <w:rsid w:val="00985684"/>
    <w:rsid w:val="00990E3F"/>
    <w:rsid w:val="0099275B"/>
    <w:rsid w:val="0099677F"/>
    <w:rsid w:val="00996976"/>
    <w:rsid w:val="0099736D"/>
    <w:rsid w:val="009977F0"/>
    <w:rsid w:val="009A2FF9"/>
    <w:rsid w:val="009A335E"/>
    <w:rsid w:val="009A3BAB"/>
    <w:rsid w:val="009A49E5"/>
    <w:rsid w:val="009A4B03"/>
    <w:rsid w:val="009A7D0C"/>
    <w:rsid w:val="009B0BA5"/>
    <w:rsid w:val="009B149B"/>
    <w:rsid w:val="009B1933"/>
    <w:rsid w:val="009B249D"/>
    <w:rsid w:val="009B31A1"/>
    <w:rsid w:val="009B4FDC"/>
    <w:rsid w:val="009B5299"/>
    <w:rsid w:val="009B738D"/>
    <w:rsid w:val="009B7F55"/>
    <w:rsid w:val="009C06C5"/>
    <w:rsid w:val="009C0F7A"/>
    <w:rsid w:val="009C6F7C"/>
    <w:rsid w:val="009D06F8"/>
    <w:rsid w:val="009D56CE"/>
    <w:rsid w:val="009D605D"/>
    <w:rsid w:val="009D754A"/>
    <w:rsid w:val="009E1260"/>
    <w:rsid w:val="009E1CB2"/>
    <w:rsid w:val="009E2831"/>
    <w:rsid w:val="009E2DCA"/>
    <w:rsid w:val="009E617D"/>
    <w:rsid w:val="009E68EE"/>
    <w:rsid w:val="009E70FA"/>
    <w:rsid w:val="009E7D8E"/>
    <w:rsid w:val="009E7DC7"/>
    <w:rsid w:val="009F07B6"/>
    <w:rsid w:val="009F3464"/>
    <w:rsid w:val="009F6B91"/>
    <w:rsid w:val="00A079E3"/>
    <w:rsid w:val="00A10B90"/>
    <w:rsid w:val="00A11BBD"/>
    <w:rsid w:val="00A13E2C"/>
    <w:rsid w:val="00A15922"/>
    <w:rsid w:val="00A240B2"/>
    <w:rsid w:val="00A24C5E"/>
    <w:rsid w:val="00A25792"/>
    <w:rsid w:val="00A3015B"/>
    <w:rsid w:val="00A30B50"/>
    <w:rsid w:val="00A32403"/>
    <w:rsid w:val="00A34093"/>
    <w:rsid w:val="00A4154E"/>
    <w:rsid w:val="00A43CE0"/>
    <w:rsid w:val="00A44712"/>
    <w:rsid w:val="00A457AE"/>
    <w:rsid w:val="00A46892"/>
    <w:rsid w:val="00A46D4E"/>
    <w:rsid w:val="00A479BC"/>
    <w:rsid w:val="00A5124F"/>
    <w:rsid w:val="00A51302"/>
    <w:rsid w:val="00A51817"/>
    <w:rsid w:val="00A5699B"/>
    <w:rsid w:val="00A56FB9"/>
    <w:rsid w:val="00A60031"/>
    <w:rsid w:val="00A60311"/>
    <w:rsid w:val="00A60371"/>
    <w:rsid w:val="00A603EF"/>
    <w:rsid w:val="00A62474"/>
    <w:rsid w:val="00A62531"/>
    <w:rsid w:val="00A6253A"/>
    <w:rsid w:val="00A6417B"/>
    <w:rsid w:val="00A6569C"/>
    <w:rsid w:val="00A7035D"/>
    <w:rsid w:val="00A71450"/>
    <w:rsid w:val="00A7206B"/>
    <w:rsid w:val="00A72F59"/>
    <w:rsid w:val="00A73D6E"/>
    <w:rsid w:val="00A74655"/>
    <w:rsid w:val="00A74FA2"/>
    <w:rsid w:val="00A75F60"/>
    <w:rsid w:val="00A77036"/>
    <w:rsid w:val="00A77B0E"/>
    <w:rsid w:val="00A80C85"/>
    <w:rsid w:val="00A82EA8"/>
    <w:rsid w:val="00A86B12"/>
    <w:rsid w:val="00A902FA"/>
    <w:rsid w:val="00A9260D"/>
    <w:rsid w:val="00A94414"/>
    <w:rsid w:val="00A949FC"/>
    <w:rsid w:val="00AA4698"/>
    <w:rsid w:val="00AA6453"/>
    <w:rsid w:val="00AB0760"/>
    <w:rsid w:val="00AB0FDE"/>
    <w:rsid w:val="00AB16BB"/>
    <w:rsid w:val="00AB4F9A"/>
    <w:rsid w:val="00AB59CB"/>
    <w:rsid w:val="00AC03E1"/>
    <w:rsid w:val="00AC05E2"/>
    <w:rsid w:val="00AC4EA0"/>
    <w:rsid w:val="00AC5E88"/>
    <w:rsid w:val="00AC6CDD"/>
    <w:rsid w:val="00AC79C2"/>
    <w:rsid w:val="00AD0F51"/>
    <w:rsid w:val="00AD13E8"/>
    <w:rsid w:val="00AD1705"/>
    <w:rsid w:val="00AD2151"/>
    <w:rsid w:val="00AD2559"/>
    <w:rsid w:val="00AD5E1A"/>
    <w:rsid w:val="00AD5EBF"/>
    <w:rsid w:val="00AE042F"/>
    <w:rsid w:val="00AE42AE"/>
    <w:rsid w:val="00AE43EE"/>
    <w:rsid w:val="00AE7650"/>
    <w:rsid w:val="00AF0917"/>
    <w:rsid w:val="00AF2DC5"/>
    <w:rsid w:val="00AF3673"/>
    <w:rsid w:val="00AF5555"/>
    <w:rsid w:val="00AF621B"/>
    <w:rsid w:val="00AF75BA"/>
    <w:rsid w:val="00AF7EB7"/>
    <w:rsid w:val="00B0091C"/>
    <w:rsid w:val="00B00F75"/>
    <w:rsid w:val="00B064C8"/>
    <w:rsid w:val="00B072D5"/>
    <w:rsid w:val="00B1070E"/>
    <w:rsid w:val="00B10CD5"/>
    <w:rsid w:val="00B14401"/>
    <w:rsid w:val="00B155B8"/>
    <w:rsid w:val="00B20356"/>
    <w:rsid w:val="00B25F2B"/>
    <w:rsid w:val="00B26C57"/>
    <w:rsid w:val="00B26F05"/>
    <w:rsid w:val="00B27C4D"/>
    <w:rsid w:val="00B31093"/>
    <w:rsid w:val="00B340A9"/>
    <w:rsid w:val="00B349B5"/>
    <w:rsid w:val="00B34E59"/>
    <w:rsid w:val="00B34EE0"/>
    <w:rsid w:val="00B40DB7"/>
    <w:rsid w:val="00B417D4"/>
    <w:rsid w:val="00B41D90"/>
    <w:rsid w:val="00B472EA"/>
    <w:rsid w:val="00B50C5A"/>
    <w:rsid w:val="00B517E3"/>
    <w:rsid w:val="00B57F86"/>
    <w:rsid w:val="00B60605"/>
    <w:rsid w:val="00B60A6C"/>
    <w:rsid w:val="00B61265"/>
    <w:rsid w:val="00B62B13"/>
    <w:rsid w:val="00B63C15"/>
    <w:rsid w:val="00B67221"/>
    <w:rsid w:val="00B67C50"/>
    <w:rsid w:val="00B7129C"/>
    <w:rsid w:val="00B72AE5"/>
    <w:rsid w:val="00B73711"/>
    <w:rsid w:val="00B73EAA"/>
    <w:rsid w:val="00B824B0"/>
    <w:rsid w:val="00B8695E"/>
    <w:rsid w:val="00B915C4"/>
    <w:rsid w:val="00B92B29"/>
    <w:rsid w:val="00B97711"/>
    <w:rsid w:val="00BA6D72"/>
    <w:rsid w:val="00BB140C"/>
    <w:rsid w:val="00BB1DB3"/>
    <w:rsid w:val="00BB3BD7"/>
    <w:rsid w:val="00BB3CAB"/>
    <w:rsid w:val="00BB41AB"/>
    <w:rsid w:val="00BC0E0B"/>
    <w:rsid w:val="00BC3C2F"/>
    <w:rsid w:val="00BC4CF7"/>
    <w:rsid w:val="00BC6EDC"/>
    <w:rsid w:val="00BC7566"/>
    <w:rsid w:val="00BC7E8E"/>
    <w:rsid w:val="00BD0331"/>
    <w:rsid w:val="00BD097D"/>
    <w:rsid w:val="00BD21EF"/>
    <w:rsid w:val="00BD23A7"/>
    <w:rsid w:val="00BD4644"/>
    <w:rsid w:val="00BD4BDC"/>
    <w:rsid w:val="00BD5457"/>
    <w:rsid w:val="00BD62ED"/>
    <w:rsid w:val="00BD6334"/>
    <w:rsid w:val="00BD6B2E"/>
    <w:rsid w:val="00BE01B4"/>
    <w:rsid w:val="00BE2ABA"/>
    <w:rsid w:val="00BE5056"/>
    <w:rsid w:val="00BE6AF1"/>
    <w:rsid w:val="00BE7A05"/>
    <w:rsid w:val="00BF2174"/>
    <w:rsid w:val="00BF27AD"/>
    <w:rsid w:val="00C006B6"/>
    <w:rsid w:val="00C00904"/>
    <w:rsid w:val="00C02136"/>
    <w:rsid w:val="00C03167"/>
    <w:rsid w:val="00C037AA"/>
    <w:rsid w:val="00C06D62"/>
    <w:rsid w:val="00C104B3"/>
    <w:rsid w:val="00C10D1A"/>
    <w:rsid w:val="00C15C09"/>
    <w:rsid w:val="00C20919"/>
    <w:rsid w:val="00C212B9"/>
    <w:rsid w:val="00C2237D"/>
    <w:rsid w:val="00C233DD"/>
    <w:rsid w:val="00C25F60"/>
    <w:rsid w:val="00C26853"/>
    <w:rsid w:val="00C26A54"/>
    <w:rsid w:val="00C26D5B"/>
    <w:rsid w:val="00C2759C"/>
    <w:rsid w:val="00C30E2F"/>
    <w:rsid w:val="00C32103"/>
    <w:rsid w:val="00C342B0"/>
    <w:rsid w:val="00C35424"/>
    <w:rsid w:val="00C455C2"/>
    <w:rsid w:val="00C45AD7"/>
    <w:rsid w:val="00C46212"/>
    <w:rsid w:val="00C473A4"/>
    <w:rsid w:val="00C50D03"/>
    <w:rsid w:val="00C5228F"/>
    <w:rsid w:val="00C52D3C"/>
    <w:rsid w:val="00C54F52"/>
    <w:rsid w:val="00C56A9C"/>
    <w:rsid w:val="00C601D8"/>
    <w:rsid w:val="00C609B6"/>
    <w:rsid w:val="00C62179"/>
    <w:rsid w:val="00C6280F"/>
    <w:rsid w:val="00C635A0"/>
    <w:rsid w:val="00C63B02"/>
    <w:rsid w:val="00C646D7"/>
    <w:rsid w:val="00C657F2"/>
    <w:rsid w:val="00C65922"/>
    <w:rsid w:val="00C661DA"/>
    <w:rsid w:val="00C738A7"/>
    <w:rsid w:val="00C744FA"/>
    <w:rsid w:val="00C8099A"/>
    <w:rsid w:val="00C866DA"/>
    <w:rsid w:val="00C8736B"/>
    <w:rsid w:val="00C879CA"/>
    <w:rsid w:val="00C87D84"/>
    <w:rsid w:val="00C90266"/>
    <w:rsid w:val="00C90819"/>
    <w:rsid w:val="00C918E1"/>
    <w:rsid w:val="00C92B96"/>
    <w:rsid w:val="00C967BA"/>
    <w:rsid w:val="00C97290"/>
    <w:rsid w:val="00CA1292"/>
    <w:rsid w:val="00CA3258"/>
    <w:rsid w:val="00CA4230"/>
    <w:rsid w:val="00CA4493"/>
    <w:rsid w:val="00CA5DE9"/>
    <w:rsid w:val="00CA7A14"/>
    <w:rsid w:val="00CB121E"/>
    <w:rsid w:val="00CB1620"/>
    <w:rsid w:val="00CB30C6"/>
    <w:rsid w:val="00CB7379"/>
    <w:rsid w:val="00CB764C"/>
    <w:rsid w:val="00CC197E"/>
    <w:rsid w:val="00CC1D22"/>
    <w:rsid w:val="00CC42B2"/>
    <w:rsid w:val="00CC4991"/>
    <w:rsid w:val="00CC675A"/>
    <w:rsid w:val="00CC7610"/>
    <w:rsid w:val="00CD0A12"/>
    <w:rsid w:val="00CD5078"/>
    <w:rsid w:val="00CD6485"/>
    <w:rsid w:val="00CE12A9"/>
    <w:rsid w:val="00CE4548"/>
    <w:rsid w:val="00CE48A9"/>
    <w:rsid w:val="00CF16FD"/>
    <w:rsid w:val="00CF1C7B"/>
    <w:rsid w:val="00CF226D"/>
    <w:rsid w:val="00CF24FA"/>
    <w:rsid w:val="00CF32B4"/>
    <w:rsid w:val="00CF344E"/>
    <w:rsid w:val="00CF3D50"/>
    <w:rsid w:val="00CF459D"/>
    <w:rsid w:val="00CF5627"/>
    <w:rsid w:val="00D0091C"/>
    <w:rsid w:val="00D02958"/>
    <w:rsid w:val="00D04472"/>
    <w:rsid w:val="00D04E79"/>
    <w:rsid w:val="00D06B74"/>
    <w:rsid w:val="00D06DDA"/>
    <w:rsid w:val="00D10389"/>
    <w:rsid w:val="00D10800"/>
    <w:rsid w:val="00D11519"/>
    <w:rsid w:val="00D1424A"/>
    <w:rsid w:val="00D14D77"/>
    <w:rsid w:val="00D152FB"/>
    <w:rsid w:val="00D163BC"/>
    <w:rsid w:val="00D17558"/>
    <w:rsid w:val="00D21D1F"/>
    <w:rsid w:val="00D2516B"/>
    <w:rsid w:val="00D259F5"/>
    <w:rsid w:val="00D2604C"/>
    <w:rsid w:val="00D30206"/>
    <w:rsid w:val="00D30D7E"/>
    <w:rsid w:val="00D31B49"/>
    <w:rsid w:val="00D33797"/>
    <w:rsid w:val="00D41A99"/>
    <w:rsid w:val="00D41CC9"/>
    <w:rsid w:val="00D450FA"/>
    <w:rsid w:val="00D45BDE"/>
    <w:rsid w:val="00D47F3E"/>
    <w:rsid w:val="00D61650"/>
    <w:rsid w:val="00D61AE4"/>
    <w:rsid w:val="00D637B6"/>
    <w:rsid w:val="00D664C4"/>
    <w:rsid w:val="00D67E00"/>
    <w:rsid w:val="00D7021E"/>
    <w:rsid w:val="00D740FD"/>
    <w:rsid w:val="00D7472F"/>
    <w:rsid w:val="00D74D9C"/>
    <w:rsid w:val="00D74F7B"/>
    <w:rsid w:val="00D800B7"/>
    <w:rsid w:val="00D82AED"/>
    <w:rsid w:val="00D83B91"/>
    <w:rsid w:val="00D84988"/>
    <w:rsid w:val="00D8498B"/>
    <w:rsid w:val="00D92B77"/>
    <w:rsid w:val="00D93DB2"/>
    <w:rsid w:val="00D960DE"/>
    <w:rsid w:val="00D96370"/>
    <w:rsid w:val="00D967C1"/>
    <w:rsid w:val="00D96A14"/>
    <w:rsid w:val="00DA2BE5"/>
    <w:rsid w:val="00DA4C97"/>
    <w:rsid w:val="00DA5040"/>
    <w:rsid w:val="00DA56F4"/>
    <w:rsid w:val="00DA5B96"/>
    <w:rsid w:val="00DB046A"/>
    <w:rsid w:val="00DB0BD1"/>
    <w:rsid w:val="00DB129C"/>
    <w:rsid w:val="00DB1995"/>
    <w:rsid w:val="00DB2DB8"/>
    <w:rsid w:val="00DB347B"/>
    <w:rsid w:val="00DC0367"/>
    <w:rsid w:val="00DC0F63"/>
    <w:rsid w:val="00DC169F"/>
    <w:rsid w:val="00DC172B"/>
    <w:rsid w:val="00DC25A8"/>
    <w:rsid w:val="00DC2E18"/>
    <w:rsid w:val="00DC3B4C"/>
    <w:rsid w:val="00DC3CEF"/>
    <w:rsid w:val="00DC444D"/>
    <w:rsid w:val="00DC78EA"/>
    <w:rsid w:val="00DD11B4"/>
    <w:rsid w:val="00DD2B00"/>
    <w:rsid w:val="00DD450F"/>
    <w:rsid w:val="00DD4E8A"/>
    <w:rsid w:val="00DD57E8"/>
    <w:rsid w:val="00DD7F9D"/>
    <w:rsid w:val="00DE0E9F"/>
    <w:rsid w:val="00DE3398"/>
    <w:rsid w:val="00DE3812"/>
    <w:rsid w:val="00DE5971"/>
    <w:rsid w:val="00DE6FC8"/>
    <w:rsid w:val="00DF167F"/>
    <w:rsid w:val="00DF3E18"/>
    <w:rsid w:val="00DF714C"/>
    <w:rsid w:val="00DF7FAE"/>
    <w:rsid w:val="00E0514A"/>
    <w:rsid w:val="00E07FC0"/>
    <w:rsid w:val="00E10834"/>
    <w:rsid w:val="00E11B38"/>
    <w:rsid w:val="00E1229E"/>
    <w:rsid w:val="00E1297A"/>
    <w:rsid w:val="00E12DA5"/>
    <w:rsid w:val="00E13F46"/>
    <w:rsid w:val="00E170D7"/>
    <w:rsid w:val="00E20C0E"/>
    <w:rsid w:val="00E22C27"/>
    <w:rsid w:val="00E22F00"/>
    <w:rsid w:val="00E26423"/>
    <w:rsid w:val="00E32DA8"/>
    <w:rsid w:val="00E3309D"/>
    <w:rsid w:val="00E34BD9"/>
    <w:rsid w:val="00E358FA"/>
    <w:rsid w:val="00E3682E"/>
    <w:rsid w:val="00E401AC"/>
    <w:rsid w:val="00E42239"/>
    <w:rsid w:val="00E43397"/>
    <w:rsid w:val="00E43E94"/>
    <w:rsid w:val="00E44584"/>
    <w:rsid w:val="00E47EFA"/>
    <w:rsid w:val="00E50CAA"/>
    <w:rsid w:val="00E5762E"/>
    <w:rsid w:val="00E61458"/>
    <w:rsid w:val="00E61B14"/>
    <w:rsid w:val="00E63883"/>
    <w:rsid w:val="00E64118"/>
    <w:rsid w:val="00E67B0E"/>
    <w:rsid w:val="00E71431"/>
    <w:rsid w:val="00E73FE4"/>
    <w:rsid w:val="00E75AFD"/>
    <w:rsid w:val="00E763F7"/>
    <w:rsid w:val="00E76D26"/>
    <w:rsid w:val="00E77628"/>
    <w:rsid w:val="00E77F13"/>
    <w:rsid w:val="00E807A2"/>
    <w:rsid w:val="00E80A45"/>
    <w:rsid w:val="00E8310E"/>
    <w:rsid w:val="00E83CCF"/>
    <w:rsid w:val="00E91558"/>
    <w:rsid w:val="00E928D5"/>
    <w:rsid w:val="00E961AC"/>
    <w:rsid w:val="00EA0FEF"/>
    <w:rsid w:val="00EA1302"/>
    <w:rsid w:val="00EA1EAF"/>
    <w:rsid w:val="00EA3B1F"/>
    <w:rsid w:val="00EB1B0F"/>
    <w:rsid w:val="00EB27F7"/>
    <w:rsid w:val="00EB51BC"/>
    <w:rsid w:val="00EC138B"/>
    <w:rsid w:val="00EC66D8"/>
    <w:rsid w:val="00EC6A71"/>
    <w:rsid w:val="00ED27D2"/>
    <w:rsid w:val="00ED56B4"/>
    <w:rsid w:val="00ED7815"/>
    <w:rsid w:val="00EE0617"/>
    <w:rsid w:val="00EE1FAF"/>
    <w:rsid w:val="00EE20CB"/>
    <w:rsid w:val="00EE35E2"/>
    <w:rsid w:val="00EE3E9F"/>
    <w:rsid w:val="00EE7783"/>
    <w:rsid w:val="00EF2F91"/>
    <w:rsid w:val="00EF4D86"/>
    <w:rsid w:val="00EF5355"/>
    <w:rsid w:val="00EF5E7F"/>
    <w:rsid w:val="00EF5FC1"/>
    <w:rsid w:val="00EF6156"/>
    <w:rsid w:val="00EF7034"/>
    <w:rsid w:val="00F00584"/>
    <w:rsid w:val="00F030CC"/>
    <w:rsid w:val="00F05BC4"/>
    <w:rsid w:val="00F05DED"/>
    <w:rsid w:val="00F11C7F"/>
    <w:rsid w:val="00F130FB"/>
    <w:rsid w:val="00F1411E"/>
    <w:rsid w:val="00F14F4B"/>
    <w:rsid w:val="00F170E6"/>
    <w:rsid w:val="00F203FE"/>
    <w:rsid w:val="00F21D5F"/>
    <w:rsid w:val="00F26248"/>
    <w:rsid w:val="00F268F2"/>
    <w:rsid w:val="00F34524"/>
    <w:rsid w:val="00F4162F"/>
    <w:rsid w:val="00F43160"/>
    <w:rsid w:val="00F439A9"/>
    <w:rsid w:val="00F45C68"/>
    <w:rsid w:val="00F46D86"/>
    <w:rsid w:val="00F53F1D"/>
    <w:rsid w:val="00F544CA"/>
    <w:rsid w:val="00F612BD"/>
    <w:rsid w:val="00F65E22"/>
    <w:rsid w:val="00F72CF1"/>
    <w:rsid w:val="00F80F78"/>
    <w:rsid w:val="00F81164"/>
    <w:rsid w:val="00F82635"/>
    <w:rsid w:val="00F84F6E"/>
    <w:rsid w:val="00F90628"/>
    <w:rsid w:val="00F921B6"/>
    <w:rsid w:val="00F92E09"/>
    <w:rsid w:val="00F93E7A"/>
    <w:rsid w:val="00F95925"/>
    <w:rsid w:val="00FA171F"/>
    <w:rsid w:val="00FA2618"/>
    <w:rsid w:val="00FA4B14"/>
    <w:rsid w:val="00FA70F3"/>
    <w:rsid w:val="00FB169F"/>
    <w:rsid w:val="00FB5D43"/>
    <w:rsid w:val="00FB60C7"/>
    <w:rsid w:val="00FB746C"/>
    <w:rsid w:val="00FB7E8C"/>
    <w:rsid w:val="00FC1259"/>
    <w:rsid w:val="00FC12F4"/>
    <w:rsid w:val="00FC1D62"/>
    <w:rsid w:val="00FC46FC"/>
    <w:rsid w:val="00FD0E4A"/>
    <w:rsid w:val="00FD1F66"/>
    <w:rsid w:val="00FD639F"/>
    <w:rsid w:val="00FE03F9"/>
    <w:rsid w:val="00FE11B8"/>
    <w:rsid w:val="00FE1D9E"/>
    <w:rsid w:val="00FE2521"/>
    <w:rsid w:val="00FE27F3"/>
    <w:rsid w:val="00FE2C7E"/>
    <w:rsid w:val="00FE3E29"/>
    <w:rsid w:val="00FE403C"/>
    <w:rsid w:val="00FE5F5E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  <w:style w:type="paragraph" w:customStyle="1" w:styleId="CharCharCharChar">
    <w:name w:val="Char Char Char Char"/>
    <w:basedOn w:val="a"/>
    <w:rsid w:val="00DE0E9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ui-news-record-body">
    <w:name w:val="ui-news-record-body"/>
    <w:basedOn w:val="a0"/>
    <w:rsid w:val="00E40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  <w:style w:type="paragraph" w:customStyle="1" w:styleId="CharCharCharChar">
    <w:name w:val="Char Char Char Char"/>
    <w:basedOn w:val="a"/>
    <w:rsid w:val="00DE0E9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ui-news-record-body">
    <w:name w:val="ui-news-record-body"/>
    <w:basedOn w:val="a0"/>
    <w:rsid w:val="00E4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798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g.wikipedia.org/wiki/%D0%90%D1%80%D0%B4%D0%B8%D0%BD%D0%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g.wikipedia.org/wiki/%D0%9A%D1%80%D1%83%D0%BC%D0%BE%D0%B2%D0%B3%D1%80%D0%B0%D0%B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g.wikipedia.org/wiki/%D0%9C%D0%BE%D0%BC%D1%87%D0%B8%D0%BB%D0%B3%D1%80%D0%B0%D0%B4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hyperlink" Target="https://bg.wikipedia.org/wiki/%D0%9A%D1%8A%D1%80%D0%B4%D0%B6%D0%B0%D0%BB%D0%B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g.wikipedia.org/wiki/%D0%9E%D0%B1%D0%BB%D0%B0%D1%81%D1%82%D0%B8_%D0%BD%D0%B0_%D0%91%D1%8A%D0%BB%D0%B3%D0%B0%D1%80%D0%B8%D1%8F" TargetMode="External"/><Relationship Id="rId14" Type="http://schemas.openxmlformats.org/officeDocument/2006/relationships/hyperlink" Target="https://bg.wikipedia.org/wiki/%D0%94%D0%B6%D0%B5%D0%B1%D0%B5%D0%B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bg-BG"/>
              <a:t>Брой животни през 2016, 2017, 2018, 2019,2020 г. </a:t>
            </a:r>
          </a:p>
        </c:rich>
      </c:tx>
      <c:layout>
        <c:manualLayout>
          <c:xMode val="edge"/>
          <c:yMode val="edge"/>
          <c:x val="0.19217687074829926"/>
          <c:y val="2.0771513353115754E-2"/>
        </c:manualLayout>
      </c:layout>
      <c:overlay val="0"/>
      <c:spPr>
        <a:noFill/>
        <a:ln w="25392">
          <a:noFill/>
        </a:ln>
      </c:spPr>
    </c:title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414965986394559"/>
          <c:y val="0.16913946587537113"/>
          <c:w val="0.85544217687074831"/>
          <c:h val="0.5964391691394653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69651</c:v>
                </c:pt>
                <c:pt idx="1">
                  <c:v>96570</c:v>
                </c:pt>
                <c:pt idx="2">
                  <c:v>7458</c:v>
                </c:pt>
                <c:pt idx="3">
                  <c:v>0</c:v>
                </c:pt>
                <c:pt idx="4">
                  <c:v>286000</c:v>
                </c:pt>
                <c:pt idx="5">
                  <c:v>1524</c:v>
                </c:pt>
                <c:pt idx="6">
                  <c:v>16677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02-4541-9201-4DD3B43614FA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71884</c:v>
                </c:pt>
                <c:pt idx="1">
                  <c:v>90543</c:v>
                </c:pt>
                <c:pt idx="2">
                  <c:v>7250</c:v>
                </c:pt>
                <c:pt idx="3">
                  <c:v>0</c:v>
                </c:pt>
                <c:pt idx="4">
                  <c:v>177000</c:v>
                </c:pt>
                <c:pt idx="5">
                  <c:v>2626</c:v>
                </c:pt>
                <c:pt idx="6">
                  <c:v>16000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02-4541-9201-4DD3B43614FA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68994</c:v>
                </c:pt>
                <c:pt idx="1">
                  <c:v>87162</c:v>
                </c:pt>
                <c:pt idx="2">
                  <c:v>7188</c:v>
                </c:pt>
                <c:pt idx="3">
                  <c:v>0</c:v>
                </c:pt>
                <c:pt idx="4">
                  <c:v>285000</c:v>
                </c:pt>
                <c:pt idx="5">
                  <c:v>2551</c:v>
                </c:pt>
                <c:pt idx="6">
                  <c:v>15421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02-4541-9201-4DD3B43614FA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00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68305</c:v>
                </c:pt>
                <c:pt idx="1">
                  <c:v>85329</c:v>
                </c:pt>
                <c:pt idx="2">
                  <c:v>7546</c:v>
                </c:pt>
                <c:pt idx="3">
                  <c:v>379</c:v>
                </c:pt>
                <c:pt idx="4">
                  <c:v>277000</c:v>
                </c:pt>
                <c:pt idx="5">
                  <c:v>2446</c:v>
                </c:pt>
                <c:pt idx="6">
                  <c:v>16265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402-4541-9201-4DD3B43614FA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  <c:pt idx="0">
                  <c:v>60763</c:v>
                </c:pt>
                <c:pt idx="1">
                  <c:v>77258</c:v>
                </c:pt>
                <c:pt idx="2">
                  <c:v>8301</c:v>
                </c:pt>
                <c:pt idx="3">
                  <c:v>205</c:v>
                </c:pt>
                <c:pt idx="4">
                  <c:v>300000</c:v>
                </c:pt>
                <c:pt idx="5">
                  <c:v>2500</c:v>
                </c:pt>
                <c:pt idx="6">
                  <c:v>16110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02-4541-9201-4DD3B4361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719104"/>
        <c:axId val="148721024"/>
        <c:axId val="0"/>
      </c:bar3DChart>
      <c:catAx>
        <c:axId val="148719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bg-BG"/>
                  <a:t>животни</a:t>
                </a:r>
              </a:p>
            </c:rich>
          </c:tx>
          <c:layout>
            <c:manualLayout>
              <c:xMode val="edge"/>
              <c:yMode val="edge"/>
              <c:x val="0.49489795918367374"/>
              <c:y val="0.8842729970326404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bg-BG"/>
          </a:p>
        </c:txPr>
        <c:crossAx val="148721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72102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7.4829931972789157E-2"/>
              <c:y val="0.3916913946587538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48719104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9098639455782308"/>
          <c:y val="0.36498516320474844"/>
          <c:w val="7.1428571428571452E-2"/>
          <c:h val="0.2848664688427303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0.4995</cdr:x>
      <cdr:y>0.49825</cdr:y>
    </cdr:from>
    <cdr:to>
      <cdr:x>0.52325</cdr:x>
      <cdr:y>0.55475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7550" y="1599345"/>
          <a:ext cx="133016" cy="1813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bg-BG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166C-DB44-4C46-8FEC-CA9A9BCB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6851</Words>
  <Characters>39054</Characters>
  <Application>Microsoft Office Word</Application>
  <DocSecurity>0</DocSecurity>
  <Lines>325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admin1</cp:lastModifiedBy>
  <cp:revision>2</cp:revision>
  <cp:lastPrinted>2021-02-05T12:07:00Z</cp:lastPrinted>
  <dcterms:created xsi:type="dcterms:W3CDTF">2025-08-08T05:48:00Z</dcterms:created>
  <dcterms:modified xsi:type="dcterms:W3CDTF">2025-08-08T05:48:00Z</dcterms:modified>
</cp:coreProperties>
</file>