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46" w:rsidRPr="0042153A" w:rsidRDefault="00E13F46" w:rsidP="00B1070E">
      <w:pPr>
        <w:ind w:left="-540" w:hanging="540"/>
        <w:jc w:val="both"/>
      </w:pPr>
      <w:bookmarkStart w:id="0" w:name="_GoBack"/>
      <w:bookmarkEnd w:id="0"/>
    </w:p>
    <w:p w:rsidR="00A51302" w:rsidRDefault="00A51302" w:rsidP="002E25BD">
      <w:pPr>
        <w:pStyle w:val="2"/>
        <w:jc w:val="center"/>
        <w:rPr>
          <w:rFonts w:ascii="Times New Roman" w:hAnsi="Times New Roman" w:cs="Times New Roman"/>
        </w:rPr>
      </w:pPr>
    </w:p>
    <w:p w:rsidR="00E13F46" w:rsidRPr="00F203FE" w:rsidRDefault="00E13F46" w:rsidP="002E25BD">
      <w:pPr>
        <w:pStyle w:val="2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F203FE">
        <w:rPr>
          <w:rFonts w:ascii="Times New Roman" w:hAnsi="Times New Roman" w:cs="Times New Roman"/>
        </w:rPr>
        <w:t>Д О К Л А Д</w:t>
      </w:r>
    </w:p>
    <w:p w:rsidR="00E13F46" w:rsidRPr="00FB60C7" w:rsidRDefault="00E13F46" w:rsidP="002E25BD">
      <w:pPr>
        <w:rPr>
          <w:lang w:val="ru-RU"/>
        </w:rPr>
      </w:pPr>
    </w:p>
    <w:p w:rsidR="00E13F46" w:rsidRPr="00FB60C7" w:rsidRDefault="00E13F46" w:rsidP="002F463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СЪСТОЯНИЕТО НА ЗЕМЕДЕЛИЕТО И</w:t>
      </w: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ДЕЙНОСТТА НА ОД “ЗЕМЕДЕЛИЕ”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ГРАД КЪРДЖАЛИ </w:t>
      </w: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ПЕРИОДА 01.01.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C54F52"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. 20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C54F5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E13F46" w:rsidRPr="00FB60C7" w:rsidRDefault="00E13F46" w:rsidP="002F46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2F463D">
      <w:pPr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ОБЩА АГРОХАРАКТЕРИСТИКА НА ОБЛАСТ КЪРДЖАЛИ ЗА ПЕРИОДА </w:t>
      </w:r>
    </w:p>
    <w:p w:rsidR="00E13F46" w:rsidRPr="00FB60C7" w:rsidRDefault="00E13F46" w:rsidP="002F463D">
      <w:pPr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01.01.20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</w:t>
      </w:r>
      <w:r w:rsidR="00C54F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г. – 3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12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.20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</w:t>
      </w:r>
      <w:r w:rsidR="00C54F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г.</w:t>
      </w:r>
    </w:p>
    <w:p w:rsidR="00E13F46" w:rsidRDefault="00E13F46" w:rsidP="002F463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9F6B9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3430C">
        <w:rPr>
          <w:rFonts w:ascii="Times New Roman" w:hAnsi="Times New Roman" w:cs="Times New Roman"/>
          <w:b/>
          <w:bCs/>
          <w:sz w:val="24"/>
          <w:szCs w:val="24"/>
        </w:rPr>
        <w:t>Област Кърджали</w:t>
      </w:r>
      <w:r w:rsidRPr="0013430C">
        <w:rPr>
          <w:rFonts w:ascii="Times New Roman" w:hAnsi="Times New Roman" w:cs="Times New Roman"/>
          <w:sz w:val="24"/>
          <w:szCs w:val="24"/>
        </w:rPr>
        <w:t xml:space="preserve"> е една от 28-те </w:t>
      </w:r>
      <w:hyperlink r:id="rId9" w:tooltip="Области на България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области на България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. </w:t>
      </w:r>
      <w:r w:rsidRPr="0013430C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13430C">
        <w:rPr>
          <w:rFonts w:ascii="Times New Roman" w:hAnsi="Times New Roman" w:cs="Times New Roman"/>
          <w:sz w:val="24"/>
          <w:szCs w:val="24"/>
        </w:rPr>
        <w:t>аема площ 3 209,1 km</w:t>
      </w:r>
      <w:r w:rsidRPr="00134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430C">
        <w:rPr>
          <w:rFonts w:ascii="Times New Roman" w:hAnsi="Times New Roman" w:cs="Times New Roman"/>
          <w:sz w:val="24"/>
          <w:szCs w:val="24"/>
        </w:rPr>
        <w:t xml:space="preserve"> и има население 149 661 души (по експресни данни от преброяване 2011).</w:t>
      </w:r>
      <w:r>
        <w:rPr>
          <w:rFonts w:ascii="Times New Roman" w:hAnsi="Times New Roman" w:cs="Times New Roman"/>
          <w:sz w:val="24"/>
          <w:szCs w:val="24"/>
        </w:rPr>
        <w:t xml:space="preserve"> Тя </w:t>
      </w:r>
      <w:r>
        <w:rPr>
          <w:rFonts w:ascii="Times New Roman" w:hAnsi="Times New Roman" w:cs="Times New Roman"/>
          <w:sz w:val="24"/>
          <w:szCs w:val="24"/>
          <w:lang w:val="bg-BG"/>
        </w:rPr>
        <w:t>граничи на запад със Смолянска област, на север с Хасковска и пловдивска област, на юг и югоизток с държавната граница на страната с Република Гърция.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административно-териториалните граници на Област Кърджали са включени </w:t>
      </w:r>
      <w:r w:rsidRPr="0013430C">
        <w:rPr>
          <w:rFonts w:ascii="Times New Roman" w:hAnsi="Times New Roman" w:cs="Times New Roman"/>
          <w:sz w:val="24"/>
          <w:szCs w:val="24"/>
        </w:rPr>
        <w:t>7 общини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Ардино, Джебел, Кирково, Крумовград, Кърджали Момчилград и Черноочене, като </w:t>
      </w:r>
      <w:r w:rsidRPr="0013430C">
        <w:rPr>
          <w:rFonts w:ascii="Times New Roman" w:hAnsi="Times New Roman" w:cs="Times New Roman"/>
          <w:sz w:val="24"/>
          <w:szCs w:val="24"/>
        </w:rPr>
        <w:t xml:space="preserve">общият брой на населените места е 470, от които градовете са едва 5 – </w:t>
      </w:r>
      <w:hyperlink r:id="rId10" w:tooltip="Кърджали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Кърджали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Момчил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Момчилград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Крумов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Крумовград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Ардино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Ардино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Джебел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Джебел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. Черноочене и Кирково са двете общини в областта, съставени изцяло от </w:t>
      </w:r>
      <w:r>
        <w:rPr>
          <w:rFonts w:ascii="Times New Roman" w:hAnsi="Times New Roman" w:cs="Times New Roman"/>
          <w:sz w:val="24"/>
          <w:szCs w:val="24"/>
          <w:lang w:val="bg-BG"/>
        </w:rPr>
        <w:t>села.</w:t>
      </w:r>
    </w:p>
    <w:p w:rsidR="00E13F46" w:rsidRDefault="00E13F46" w:rsidP="009F6B9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6C1A91" w:rsidRDefault="00E13F46" w:rsidP="009F6B91">
      <w:pPr>
        <w:ind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РАСТЕНИЕВЪДСТВО</w:t>
      </w:r>
    </w:p>
    <w:p w:rsidR="00E13F46" w:rsidRPr="006C1A91" w:rsidRDefault="00E13F46" w:rsidP="002F463D">
      <w:pPr>
        <w:ind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Pr="00FB60C7" w:rsidRDefault="00E13F46" w:rsidP="002E25B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60C7">
        <w:rPr>
          <w:rFonts w:ascii="Times New Roman" w:hAnsi="Times New Roman" w:cs="Times New Roman"/>
          <w:sz w:val="24"/>
          <w:szCs w:val="24"/>
          <w:lang w:val="bg-BG"/>
        </w:rPr>
        <w:t>Преобладаващият почвен тип в област Кърджали са канелените горски почви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 Срещат се също в по-ма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лък размер кафяви горски почви,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>алувиални, канелено-подзолисти, делувиални и в незначителен размер други почвени типове. Най-плодоро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дните почви са по долините на река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Арда и нейните притоци и в северните части на областта на границата с Хасковска област. </w:t>
      </w:r>
    </w:p>
    <w:p w:rsidR="00E13F46" w:rsidRPr="00A51302" w:rsidRDefault="00E13F46" w:rsidP="002E25BD">
      <w:pPr>
        <w:pStyle w:val="a7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sz w:val="24"/>
          <w:szCs w:val="24"/>
        </w:rPr>
        <w:t>На база данни от общинските служби по земеделие в област Кърджали, селскостопанския фонд</w:t>
      </w:r>
      <w:r w:rsidRPr="00227B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BEE">
        <w:rPr>
          <w:rFonts w:ascii="Times New Roman" w:hAnsi="Times New Roman" w:cs="Times New Roman"/>
          <w:sz w:val="24"/>
          <w:szCs w:val="24"/>
        </w:rPr>
        <w:t>на територията на областта е в размер на 1</w:t>
      </w:r>
      <w:r w:rsidRPr="00227B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4F52">
        <w:rPr>
          <w:rFonts w:ascii="Times New Roman" w:hAnsi="Times New Roman" w:cs="Times New Roman"/>
          <w:sz w:val="24"/>
          <w:szCs w:val="24"/>
        </w:rPr>
        <w:t>284682,882</w:t>
      </w:r>
      <w:r w:rsidRPr="00227BEE">
        <w:rPr>
          <w:rFonts w:ascii="Times New Roman" w:hAnsi="Times New Roman" w:cs="Times New Roman"/>
          <w:sz w:val="24"/>
          <w:szCs w:val="24"/>
        </w:rPr>
        <w:t xml:space="preserve"> дка, в това число по о</w:t>
      </w:r>
      <w:r w:rsidR="00C54F52">
        <w:rPr>
          <w:rFonts w:ascii="Times New Roman" w:hAnsi="Times New Roman" w:cs="Times New Roman"/>
          <w:sz w:val="24"/>
          <w:szCs w:val="24"/>
        </w:rPr>
        <w:t>бщини както следва: Ардино – 123168,927 дка, Джебел – 77</w:t>
      </w:r>
      <w:r w:rsidR="00C54F5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C54F52">
        <w:rPr>
          <w:rFonts w:ascii="Times New Roman" w:hAnsi="Times New Roman" w:cs="Times New Roman"/>
          <w:sz w:val="24"/>
          <w:szCs w:val="24"/>
        </w:rPr>
        <w:t>011,</w:t>
      </w:r>
      <w:r w:rsidR="00C54F52">
        <w:rPr>
          <w:rFonts w:ascii="Times New Roman" w:hAnsi="Times New Roman" w:cs="Times New Roman"/>
          <w:sz w:val="24"/>
          <w:szCs w:val="24"/>
          <w:lang w:val="bg-BG"/>
        </w:rPr>
        <w:t>236</w:t>
      </w:r>
      <w:r>
        <w:rPr>
          <w:rFonts w:ascii="Times New Roman" w:hAnsi="Times New Roman" w:cs="Times New Roman"/>
          <w:sz w:val="24"/>
          <w:szCs w:val="24"/>
        </w:rPr>
        <w:t xml:space="preserve"> дка, Кирково </w:t>
      </w:r>
      <w:r w:rsidR="00C54F52">
        <w:rPr>
          <w:rFonts w:ascii="Times New Roman" w:hAnsi="Times New Roman" w:cs="Times New Roman"/>
          <w:sz w:val="24"/>
          <w:szCs w:val="24"/>
        </w:rPr>
        <w:t>– 201987</w:t>
      </w:r>
      <w:r w:rsidR="00C54F52">
        <w:rPr>
          <w:rFonts w:ascii="Times New Roman" w:hAnsi="Times New Roman" w:cs="Times New Roman"/>
          <w:sz w:val="24"/>
          <w:szCs w:val="24"/>
          <w:lang w:val="bg-BG"/>
        </w:rPr>
        <w:t>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</w:rPr>
        <w:t>дка, Крумовград – 384</w:t>
      </w:r>
      <w:r w:rsidR="00A51302">
        <w:rPr>
          <w:rFonts w:ascii="Times New Roman" w:hAnsi="Times New Roman" w:cs="Times New Roman"/>
          <w:sz w:val="24"/>
          <w:szCs w:val="24"/>
          <w:lang w:val="ru-RU"/>
        </w:rPr>
        <w:t> 561,847</w:t>
      </w:r>
      <w:r w:rsidRPr="00227BEE">
        <w:rPr>
          <w:rFonts w:ascii="Times New Roman" w:hAnsi="Times New Roman" w:cs="Times New Roman"/>
          <w:sz w:val="24"/>
          <w:szCs w:val="24"/>
        </w:rPr>
        <w:t xml:space="preserve"> дка</w:t>
      </w:r>
      <w:r w:rsidR="00A51302">
        <w:rPr>
          <w:rFonts w:ascii="Times New Roman" w:hAnsi="Times New Roman" w:cs="Times New Roman"/>
          <w:sz w:val="24"/>
          <w:szCs w:val="24"/>
        </w:rPr>
        <w:t>, Кърджали – 222</w:t>
      </w:r>
      <w:r w:rsidR="00A51302">
        <w:rPr>
          <w:rFonts w:ascii="Times New Roman" w:hAnsi="Times New Roman" w:cs="Times New Roman"/>
          <w:sz w:val="24"/>
          <w:szCs w:val="24"/>
          <w:lang w:val="ru-RU"/>
        </w:rPr>
        <w:t> 987,463</w:t>
      </w:r>
      <w:r w:rsidR="00A51302">
        <w:rPr>
          <w:rFonts w:ascii="Times New Roman" w:hAnsi="Times New Roman" w:cs="Times New Roman"/>
          <w:sz w:val="24"/>
          <w:szCs w:val="24"/>
        </w:rPr>
        <w:t xml:space="preserve"> дка, Момчилград – 158</w:t>
      </w:r>
      <w:r w:rsidR="00A5130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51302">
        <w:rPr>
          <w:rFonts w:ascii="Times New Roman" w:hAnsi="Times New Roman" w:cs="Times New Roman"/>
          <w:sz w:val="24"/>
          <w:szCs w:val="24"/>
        </w:rPr>
        <w:t>290,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271</w:t>
      </w:r>
      <w:r w:rsidRPr="00B73EAA">
        <w:rPr>
          <w:rFonts w:ascii="Times New Roman" w:hAnsi="Times New Roman" w:cs="Times New Roman"/>
          <w:sz w:val="24"/>
          <w:szCs w:val="24"/>
        </w:rPr>
        <w:t xml:space="preserve"> дк</w:t>
      </w:r>
      <w:r w:rsidR="00A51302">
        <w:rPr>
          <w:rFonts w:ascii="Times New Roman" w:hAnsi="Times New Roman" w:cs="Times New Roman"/>
          <w:sz w:val="24"/>
          <w:szCs w:val="24"/>
        </w:rPr>
        <w:t>а и Черноочене – 116675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,248</w:t>
      </w:r>
      <w:r w:rsidRPr="00B73EAA">
        <w:rPr>
          <w:rFonts w:ascii="Times New Roman" w:hAnsi="Times New Roman" w:cs="Times New Roman"/>
          <w:sz w:val="24"/>
          <w:szCs w:val="24"/>
        </w:rPr>
        <w:t xml:space="preserve"> дка.</w:t>
      </w:r>
      <w:r w:rsidRPr="00227BEE">
        <w:rPr>
          <w:rFonts w:ascii="Times New Roman" w:hAnsi="Times New Roman" w:cs="Times New Roman"/>
          <w:sz w:val="24"/>
          <w:szCs w:val="24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Видно от данните в таблица 1, площа на имотите за нуждите на селското стопанство представляват  40,57% от общата площ на област Кърджали.</w:t>
      </w:r>
    </w:p>
    <w:p w:rsidR="00E13F46" w:rsidRDefault="00E13F46" w:rsidP="00521B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</w:t>
      </w:r>
    </w:p>
    <w:p w:rsidR="00A51302" w:rsidRPr="00227BEE" w:rsidRDefault="00A51302" w:rsidP="00A51302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1</w:t>
      </w:r>
    </w:p>
    <w:p w:rsidR="00A51302" w:rsidRDefault="00A51302" w:rsidP="00521B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352" w:type="dxa"/>
        <w:tblInd w:w="1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220"/>
        <w:gridCol w:w="1360"/>
        <w:gridCol w:w="1700"/>
        <w:gridCol w:w="1272"/>
      </w:tblGrid>
      <w:tr w:rsidR="003231E9" w:rsidRPr="00A51302" w:rsidTr="003231E9">
        <w:trPr>
          <w:trHeight w:val="35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31E9" w:rsidRPr="00A51302" w:rsidRDefault="003231E9" w:rsidP="003231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Общо за област Кърджали</w:t>
            </w:r>
          </w:p>
        </w:tc>
      </w:tr>
      <w:tr w:rsidR="003231E9" w:rsidRPr="00A51302" w:rsidTr="003231E9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Вид на територия по предназначение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Имоти       брой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в дка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1E9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</w:tr>
      <w:tr w:rsidR="00A479BC" w:rsidRPr="00A51302" w:rsidTr="00AB0FDE">
        <w:trPr>
          <w:trHeight w:val="36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 нуждите на селското стопанство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color w:val="000000"/>
              </w:rPr>
              <w:t>340509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color w:val="000000"/>
              </w:rPr>
              <w:t>1284682,882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40,57</w:t>
            </w:r>
          </w:p>
        </w:tc>
      </w:tr>
      <w:tr w:rsidR="00A479BC" w:rsidRPr="00A51302" w:rsidTr="00AB0FDE">
        <w:trPr>
          <w:trHeight w:val="4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 нуждите на горското стопанство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1778177,619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56,16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Населени места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10261,421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</w:tr>
      <w:tr w:rsidR="00A479BC" w:rsidRPr="00A51302" w:rsidTr="00AB0FDE">
        <w:trPr>
          <w:trHeight w:val="4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Водни течения и водни площи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74085,832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</w:tr>
      <w:tr w:rsidR="00A479BC" w:rsidRPr="00A51302" w:rsidTr="00AB0FDE">
        <w:trPr>
          <w:trHeight w:val="41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 нуждите на транспорта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16602,035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</w:tr>
      <w:tr w:rsidR="00A479BC" w:rsidRPr="00A51302" w:rsidTr="00AB0FDE">
        <w:trPr>
          <w:trHeight w:val="40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други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2571,209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</w:tr>
      <w:tr w:rsidR="00A479BC" w:rsidRPr="00A51302" w:rsidTr="00AB0FDE">
        <w:trPr>
          <w:trHeight w:val="4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ВСИЧКО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3166380,998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C54F52" w:rsidRPr="00A479BC" w:rsidRDefault="003231E9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>В таблица 2 е изнесена информация по видове собственост.</w:t>
      </w:r>
      <w:r w:rsidR="00A47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79BC">
        <w:rPr>
          <w:rFonts w:ascii="Times New Roman" w:hAnsi="Times New Roman" w:cs="Times New Roman"/>
          <w:color w:val="000000"/>
          <w:sz w:val="24"/>
          <w:szCs w:val="24"/>
          <w:lang w:val="bg-BG"/>
        </w:rPr>
        <w:t>Най-голям е делът на държавната частна собственост, представлява 59,54 % от общата собственост в областта.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Pr="00A479BC" w:rsidRDefault="003231E9" w:rsidP="00294F8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Таблица 2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352" w:type="dxa"/>
        <w:tblInd w:w="1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220"/>
        <w:gridCol w:w="1360"/>
        <w:gridCol w:w="1700"/>
        <w:gridCol w:w="1272"/>
      </w:tblGrid>
      <w:tr w:rsidR="003231E9" w:rsidRPr="00A51302" w:rsidTr="00AB0FDE">
        <w:trPr>
          <w:trHeight w:val="35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Общо за област Кърджали</w:t>
            </w:r>
          </w:p>
        </w:tc>
      </w:tr>
      <w:tr w:rsidR="003231E9" w:rsidRPr="00A51302" w:rsidTr="00AB0FD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Вид собственост</w:t>
            </w:r>
          </w:p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Имоти       брой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в дка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1E9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</w:tr>
      <w:tr w:rsidR="00A479BC" w:rsidRPr="00A51302" w:rsidTr="00AB0FDE">
        <w:trPr>
          <w:trHeight w:val="36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Държавна частна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35071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1885159,710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59,54</w:t>
            </w:r>
          </w:p>
        </w:tc>
      </w:tr>
      <w:tr w:rsidR="00A479BC" w:rsidRPr="00A51302" w:rsidTr="00AB0FDE">
        <w:trPr>
          <w:trHeight w:val="4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Държавна публична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113029,677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3,57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Общинска частна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120349,890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3,80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112917,678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3,57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Смесена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14780,158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0,47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юридически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15596,090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0,49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384478,550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12,14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Изключителна държ. собственост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400,381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0,01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религиозни организации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0,01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стопанисвана от община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463396,295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14,63</w:t>
            </w:r>
          </w:p>
        </w:tc>
      </w:tr>
      <w:tr w:rsidR="00A479BC" w:rsidRPr="00A51302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чуждестранни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55952,448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1,77</w:t>
            </w:r>
          </w:p>
        </w:tc>
      </w:tr>
      <w:tr w:rsidR="00A479BC" w:rsidRPr="00A51302" w:rsidTr="00AB0FDE">
        <w:trPr>
          <w:trHeight w:val="4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ВСИЧКО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3166380,998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A479BC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таблица 3 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е изнесена информация по начин на трайно ползване на имоти с НТП ниви, ливади, пасища и мери. От имотите предназначени за нуждите на селското стопанство, най-голям е делът на пасищата и мерите. Те представляват 17,15.% 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цялата площ в областта, с площ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543008,113 дка. На второ място са нивите с 15,63%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площ 494935,793 дка.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882628" w:rsidRPr="00A479BC" w:rsidRDefault="00882628" w:rsidP="00882628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аблица 3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352" w:type="dxa"/>
        <w:tblInd w:w="1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220"/>
        <w:gridCol w:w="1360"/>
        <w:gridCol w:w="1700"/>
        <w:gridCol w:w="1272"/>
      </w:tblGrid>
      <w:tr w:rsidR="00882628" w:rsidRPr="00A51302" w:rsidTr="00AB0FDE">
        <w:trPr>
          <w:trHeight w:val="35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628" w:rsidRPr="00A51302" w:rsidRDefault="00882628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Общо за област Кърджали</w:t>
            </w:r>
          </w:p>
        </w:tc>
      </w:tr>
      <w:tr w:rsidR="00882628" w:rsidRPr="00A51302" w:rsidTr="00AB0FD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Видове земи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Pr="00A51302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Имоти       брой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Pr="00A51302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в дка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628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882628" w:rsidRPr="00A51302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</w:tr>
      <w:tr w:rsidR="00882628" w:rsidTr="00AB0FDE">
        <w:trPr>
          <w:trHeight w:val="36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218633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494935,793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15,63</w:t>
            </w:r>
          </w:p>
        </w:tc>
      </w:tr>
      <w:tr w:rsidR="00882628" w:rsidTr="00AB0FDE">
        <w:trPr>
          <w:trHeight w:val="4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Ливади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64062,317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2,02</w:t>
            </w:r>
          </w:p>
        </w:tc>
      </w:tr>
      <w:tr w:rsidR="00882628" w:rsidTr="00AB0FDE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Пасища, мери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60280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543008,113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17,15</w:t>
            </w:r>
          </w:p>
        </w:tc>
      </w:tr>
      <w:tr w:rsidR="00882628" w:rsidTr="00AB0FDE">
        <w:trPr>
          <w:trHeight w:val="4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Pr="00882628" w:rsidRDefault="00882628" w:rsidP="00882628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 xml:space="preserve">Друг вид 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НТП 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bg-BG"/>
              </w:rPr>
              <w:t>вкл.игл. и шир. гора/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71953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2064374,775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65,20</w:t>
            </w:r>
          </w:p>
        </w:tc>
      </w:tr>
      <w:tr w:rsidR="00882628" w:rsidTr="00AB0FDE">
        <w:trPr>
          <w:trHeight w:val="41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ВСИЧКО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3166380,998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Pr="00AB0FDE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0FDE" w:rsidRPr="00227BEE" w:rsidRDefault="00AB0FDE" w:rsidP="00AB0FD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  За стопанската 2018–2019</w:t>
      </w: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година в област Кърджали с есенници с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а засети </w:t>
      </w:r>
      <w:r w:rsidR="001825A1">
        <w:rPr>
          <w:rFonts w:ascii="Times New Roman" w:hAnsi="Times New Roman" w:cs="Times New Roman"/>
          <w:color w:val="000000"/>
          <w:sz w:val="24"/>
          <w:szCs w:val="24"/>
        </w:rPr>
        <w:t>6020</w:t>
      </w:r>
      <w:r w:rsidRPr="00E740B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825A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дка, от които </w:t>
      </w:r>
      <w:r w:rsidR="001825A1">
        <w:rPr>
          <w:rFonts w:ascii="Times New Roman" w:hAnsi="Times New Roman" w:cs="Times New Roman"/>
          <w:color w:val="000000"/>
          <w:sz w:val="24"/>
          <w:szCs w:val="24"/>
        </w:rPr>
        <w:t>5100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дка пшеница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920</w:t>
      </w:r>
      <w:r w:rsidRPr="00227B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>дка ечемик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В таблици 4 </w:t>
      </w: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>е видно изменението на заетите площи с есенници за последните години:</w:t>
      </w:r>
    </w:p>
    <w:p w:rsidR="00AB0FDE" w:rsidRDefault="00AB0FDE" w:rsidP="00AB0FDE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AB0FDE" w:rsidRPr="00AB0FDE" w:rsidRDefault="00AB0FDE" w:rsidP="00AB0FDE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</w:p>
    <w:p w:rsidR="00AB0FDE" w:rsidRPr="00227BEE" w:rsidRDefault="00AB0FDE" w:rsidP="00AB0F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935"/>
        <w:gridCol w:w="934"/>
        <w:gridCol w:w="859"/>
        <w:gridCol w:w="744"/>
        <w:gridCol w:w="750"/>
        <w:gridCol w:w="747"/>
        <w:gridCol w:w="747"/>
        <w:gridCol w:w="747"/>
        <w:gridCol w:w="744"/>
        <w:gridCol w:w="750"/>
      </w:tblGrid>
      <w:tr w:rsidR="00AB0FDE" w:rsidRPr="00227BEE" w:rsidTr="00AB0FDE">
        <w:tc>
          <w:tcPr>
            <w:tcW w:w="1682" w:type="dxa"/>
            <w:vMerge w:val="restart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222" w:type="dxa"/>
            <w:gridSpan w:val="5"/>
            <w:vAlign w:val="center"/>
          </w:tcPr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пшеница</w:t>
            </w:r>
          </w:p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3735" w:type="dxa"/>
            <w:gridSpan w:val="5"/>
          </w:tcPr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ечемик</w:t>
            </w:r>
          </w:p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</w:tr>
      <w:tr w:rsidR="00AB0FDE" w:rsidRPr="00227BEE" w:rsidTr="00AB0FDE">
        <w:trPr>
          <w:trHeight w:val="284"/>
        </w:trPr>
        <w:tc>
          <w:tcPr>
            <w:tcW w:w="1682" w:type="dxa"/>
            <w:vMerge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2015</w:t>
            </w:r>
          </w:p>
        </w:tc>
        <w:tc>
          <w:tcPr>
            <w:tcW w:w="9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2016</w:t>
            </w:r>
          </w:p>
        </w:tc>
        <w:tc>
          <w:tcPr>
            <w:tcW w:w="85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750" w:type="dxa"/>
            <w:vAlign w:val="center"/>
          </w:tcPr>
          <w:p w:rsidR="00AB0FDE" w:rsidRPr="00D450C2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2015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2016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750" w:type="dxa"/>
            <w:vAlign w:val="center"/>
          </w:tcPr>
          <w:p w:rsidR="00AB0FDE" w:rsidRPr="00D450C2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AB0FDE" w:rsidRPr="00227BEE" w:rsidTr="00AB0FDE">
        <w:trPr>
          <w:trHeight w:hRule="exact" w:val="284"/>
        </w:trPr>
        <w:tc>
          <w:tcPr>
            <w:tcW w:w="1682" w:type="dxa"/>
          </w:tcPr>
          <w:p w:rsidR="00AB0FDE" w:rsidRPr="00227BEE" w:rsidRDefault="00AB0FDE" w:rsidP="00AB0FD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9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34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227BEE" w:rsidTr="00AB0FDE">
        <w:trPr>
          <w:trHeight w:hRule="exact" w:val="284"/>
        </w:trPr>
        <w:tc>
          <w:tcPr>
            <w:tcW w:w="1682" w:type="dxa"/>
          </w:tcPr>
          <w:p w:rsidR="00AB0FDE" w:rsidRPr="00227BEE" w:rsidRDefault="00AB0FDE" w:rsidP="00AB0FD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9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70</w:t>
            </w:r>
          </w:p>
        </w:tc>
        <w:tc>
          <w:tcPr>
            <w:tcW w:w="9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85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170</w:t>
            </w:r>
          </w:p>
        </w:tc>
        <w:tc>
          <w:tcPr>
            <w:tcW w:w="7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227BEE" w:rsidTr="00AB0FDE">
        <w:trPr>
          <w:trHeight w:hRule="exact" w:val="284"/>
        </w:trPr>
        <w:tc>
          <w:tcPr>
            <w:tcW w:w="1682" w:type="dxa"/>
          </w:tcPr>
          <w:p w:rsidR="00AB0FDE" w:rsidRPr="00227BEE" w:rsidRDefault="00AB0FDE" w:rsidP="00AB0FD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9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1A6663" w:rsidTr="00AB0FDE">
        <w:trPr>
          <w:trHeight w:hRule="exact" w:val="284"/>
        </w:trPr>
        <w:tc>
          <w:tcPr>
            <w:tcW w:w="1682" w:type="dxa"/>
          </w:tcPr>
          <w:p w:rsidR="00AB0FDE" w:rsidRPr="00227BEE" w:rsidRDefault="00AB0FDE" w:rsidP="00AB0FD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9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1850</w:t>
            </w:r>
          </w:p>
        </w:tc>
        <w:tc>
          <w:tcPr>
            <w:tcW w:w="9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1500</w:t>
            </w:r>
          </w:p>
        </w:tc>
        <w:tc>
          <w:tcPr>
            <w:tcW w:w="744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1580</w:t>
            </w:r>
          </w:p>
        </w:tc>
        <w:tc>
          <w:tcPr>
            <w:tcW w:w="7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1900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480</w:t>
            </w:r>
          </w:p>
        </w:tc>
        <w:tc>
          <w:tcPr>
            <w:tcW w:w="747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47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310</w:t>
            </w:r>
          </w:p>
        </w:tc>
        <w:tc>
          <w:tcPr>
            <w:tcW w:w="744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350</w:t>
            </w:r>
          </w:p>
        </w:tc>
        <w:tc>
          <w:tcPr>
            <w:tcW w:w="7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</w:t>
            </w:r>
          </w:p>
        </w:tc>
      </w:tr>
      <w:tr w:rsidR="00AB0FDE" w:rsidRPr="001A6663" w:rsidTr="00AB0FDE">
        <w:trPr>
          <w:trHeight w:hRule="exact" w:val="284"/>
        </w:trPr>
        <w:tc>
          <w:tcPr>
            <w:tcW w:w="1682" w:type="dxa"/>
          </w:tcPr>
          <w:p w:rsidR="00AB0FDE" w:rsidRPr="00227BEE" w:rsidRDefault="00AB0FDE" w:rsidP="00AB0FD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9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1555</w:t>
            </w:r>
          </w:p>
        </w:tc>
        <w:tc>
          <w:tcPr>
            <w:tcW w:w="9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85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800</w:t>
            </w:r>
          </w:p>
        </w:tc>
        <w:tc>
          <w:tcPr>
            <w:tcW w:w="744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1250</w:t>
            </w:r>
          </w:p>
        </w:tc>
        <w:tc>
          <w:tcPr>
            <w:tcW w:w="7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1400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</w:p>
        </w:tc>
        <w:tc>
          <w:tcPr>
            <w:tcW w:w="747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47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744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  <w:tc>
          <w:tcPr>
            <w:tcW w:w="7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230</w:t>
            </w:r>
          </w:p>
        </w:tc>
      </w:tr>
      <w:tr w:rsidR="00AB0FDE" w:rsidRPr="00227BEE" w:rsidTr="00AB0FDE">
        <w:trPr>
          <w:trHeight w:hRule="exact" w:val="284"/>
        </w:trPr>
        <w:tc>
          <w:tcPr>
            <w:tcW w:w="1682" w:type="dxa"/>
          </w:tcPr>
          <w:p w:rsidR="00AB0FDE" w:rsidRPr="00227BEE" w:rsidRDefault="00AB0FDE" w:rsidP="00AB0FD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9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4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1A6663" w:rsidTr="00AB0FDE">
        <w:trPr>
          <w:trHeight w:hRule="exact" w:val="284"/>
        </w:trPr>
        <w:tc>
          <w:tcPr>
            <w:tcW w:w="1682" w:type="dxa"/>
          </w:tcPr>
          <w:p w:rsidR="00AB0FDE" w:rsidRPr="00227BEE" w:rsidRDefault="00AB0FDE" w:rsidP="00AB0FDE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9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1500</w:t>
            </w:r>
          </w:p>
        </w:tc>
        <w:tc>
          <w:tcPr>
            <w:tcW w:w="9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85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1150</w:t>
            </w:r>
          </w:p>
        </w:tc>
        <w:tc>
          <w:tcPr>
            <w:tcW w:w="744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1000</w:t>
            </w:r>
          </w:p>
        </w:tc>
        <w:tc>
          <w:tcPr>
            <w:tcW w:w="7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1700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747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47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</w:p>
        </w:tc>
        <w:tc>
          <w:tcPr>
            <w:tcW w:w="744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7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190</w:t>
            </w:r>
          </w:p>
        </w:tc>
      </w:tr>
      <w:tr w:rsidR="00AB0FDE" w:rsidRPr="001A6663" w:rsidTr="00AB0FDE">
        <w:trPr>
          <w:trHeight w:val="397"/>
        </w:trPr>
        <w:tc>
          <w:tcPr>
            <w:tcW w:w="1682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9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4975</w:t>
            </w:r>
          </w:p>
        </w:tc>
        <w:tc>
          <w:tcPr>
            <w:tcW w:w="9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5077</w:t>
            </w:r>
          </w:p>
        </w:tc>
        <w:tc>
          <w:tcPr>
            <w:tcW w:w="85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3600</w:t>
            </w:r>
          </w:p>
        </w:tc>
        <w:tc>
          <w:tcPr>
            <w:tcW w:w="744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4000</w:t>
            </w:r>
          </w:p>
        </w:tc>
        <w:tc>
          <w:tcPr>
            <w:tcW w:w="7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5100</w:t>
            </w:r>
          </w:p>
        </w:tc>
        <w:tc>
          <w:tcPr>
            <w:tcW w:w="74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1020</w:t>
            </w:r>
          </w:p>
        </w:tc>
        <w:tc>
          <w:tcPr>
            <w:tcW w:w="747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747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720</w:t>
            </w:r>
          </w:p>
        </w:tc>
        <w:tc>
          <w:tcPr>
            <w:tcW w:w="744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850</w:t>
            </w:r>
          </w:p>
        </w:tc>
        <w:tc>
          <w:tcPr>
            <w:tcW w:w="7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920</w:t>
            </w:r>
          </w:p>
        </w:tc>
      </w:tr>
    </w:tbl>
    <w:p w:rsidR="00AB0FDE" w:rsidRDefault="00AB0FDE" w:rsidP="00AB0F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0FDE" w:rsidRPr="009F6B91" w:rsidRDefault="00AB0FDE" w:rsidP="00AB0F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изнесените данн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и в таблицата е видно слабо увеличение на заетите площи с есенници </w:t>
      </w: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през стопанската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-201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AB0FDE" w:rsidRPr="003553FB" w:rsidRDefault="00AB0FDE" w:rsidP="00AB0FD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0FDE" w:rsidRPr="00227BEE" w:rsidRDefault="00AB0FDE" w:rsidP="00AB0FDE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- </w:t>
      </w:r>
      <w:r w:rsidRPr="00227BE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пшеница</w:t>
      </w:r>
    </w:p>
    <w:p w:rsidR="00AB0FDE" w:rsidRPr="00227BEE" w:rsidRDefault="00AB0FDE" w:rsidP="00AB0F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083"/>
        <w:gridCol w:w="1134"/>
        <w:gridCol w:w="992"/>
        <w:gridCol w:w="993"/>
        <w:gridCol w:w="850"/>
        <w:gridCol w:w="709"/>
        <w:gridCol w:w="709"/>
        <w:gridCol w:w="850"/>
        <w:gridCol w:w="709"/>
        <w:gridCol w:w="709"/>
      </w:tblGrid>
      <w:tr w:rsidR="00AB0FDE" w:rsidRPr="00227BEE" w:rsidTr="00AB0FDE">
        <w:trPr>
          <w:trHeight w:val="659"/>
        </w:trPr>
        <w:tc>
          <w:tcPr>
            <w:tcW w:w="1435" w:type="dxa"/>
            <w:vMerge w:val="restart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5052" w:type="dxa"/>
            <w:gridSpan w:val="5"/>
          </w:tcPr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686" w:type="dxa"/>
            <w:gridSpan w:val="5"/>
          </w:tcPr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AB0FDE" w:rsidRPr="00227BEE" w:rsidTr="00AB0FDE">
        <w:trPr>
          <w:trHeight w:val="284"/>
        </w:trPr>
        <w:tc>
          <w:tcPr>
            <w:tcW w:w="1435" w:type="dxa"/>
            <w:vMerge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2015</w:t>
            </w:r>
          </w:p>
        </w:tc>
        <w:tc>
          <w:tcPr>
            <w:tcW w:w="11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2016</w:t>
            </w:r>
          </w:p>
        </w:tc>
        <w:tc>
          <w:tcPr>
            <w:tcW w:w="992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99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850" w:type="dxa"/>
            <w:vAlign w:val="center"/>
          </w:tcPr>
          <w:p w:rsidR="00AB0FDE" w:rsidRPr="00D450C2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2015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2016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709" w:type="dxa"/>
            <w:vAlign w:val="center"/>
          </w:tcPr>
          <w:p w:rsidR="00AB0FDE" w:rsidRPr="00D450C2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</w:tr>
      <w:tr w:rsidR="00AB0FDE" w:rsidRPr="00227BEE" w:rsidTr="00AB0FDE">
        <w:trPr>
          <w:trHeight w:val="284"/>
        </w:trPr>
        <w:tc>
          <w:tcPr>
            <w:tcW w:w="1435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108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227BEE" w:rsidTr="00AB0FDE">
        <w:trPr>
          <w:trHeight w:val="284"/>
        </w:trPr>
        <w:tc>
          <w:tcPr>
            <w:tcW w:w="1435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108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52,5</w:t>
            </w:r>
          </w:p>
        </w:tc>
        <w:tc>
          <w:tcPr>
            <w:tcW w:w="993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709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153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</w:tr>
      <w:tr w:rsidR="00AB0FDE" w:rsidRPr="00227BEE" w:rsidTr="00AB0FDE">
        <w:trPr>
          <w:trHeight w:val="284"/>
        </w:trPr>
        <w:tc>
          <w:tcPr>
            <w:tcW w:w="1435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108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227BEE" w:rsidTr="00AB0FDE">
        <w:trPr>
          <w:trHeight w:val="284"/>
        </w:trPr>
        <w:tc>
          <w:tcPr>
            <w:tcW w:w="1435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108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370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570</w:t>
            </w:r>
          </w:p>
        </w:tc>
        <w:tc>
          <w:tcPr>
            <w:tcW w:w="993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474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475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709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</w:tr>
      <w:tr w:rsidR="00AB0FDE" w:rsidRPr="00227BEE" w:rsidTr="00AB0FDE">
        <w:trPr>
          <w:trHeight w:val="284"/>
        </w:trPr>
        <w:tc>
          <w:tcPr>
            <w:tcW w:w="1435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108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450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280</w:t>
            </w:r>
          </w:p>
        </w:tc>
        <w:tc>
          <w:tcPr>
            <w:tcW w:w="993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255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289</w:t>
            </w:r>
          </w:p>
        </w:tc>
        <w:tc>
          <w:tcPr>
            <w:tcW w:w="709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204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</w:tr>
      <w:tr w:rsidR="00AB0FDE" w:rsidRPr="00227BEE" w:rsidTr="00AB0FDE">
        <w:trPr>
          <w:trHeight w:val="284"/>
        </w:trPr>
        <w:tc>
          <w:tcPr>
            <w:tcW w:w="1435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108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3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227BEE" w:rsidTr="00AB0FDE">
        <w:trPr>
          <w:trHeight w:val="284"/>
        </w:trPr>
        <w:tc>
          <w:tcPr>
            <w:tcW w:w="1435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108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350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368</w:t>
            </w:r>
          </w:p>
        </w:tc>
        <w:tc>
          <w:tcPr>
            <w:tcW w:w="993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190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306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233</w:t>
            </w:r>
          </w:p>
        </w:tc>
        <w:tc>
          <w:tcPr>
            <w:tcW w:w="709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320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</w:t>
            </w:r>
          </w:p>
        </w:tc>
      </w:tr>
      <w:tr w:rsidR="00AB0FDE" w:rsidRPr="00227BEE" w:rsidTr="00AB0FDE">
        <w:trPr>
          <w:trHeight w:val="397"/>
        </w:trPr>
        <w:tc>
          <w:tcPr>
            <w:tcW w:w="1435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1083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1184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1270,5</w:t>
            </w:r>
          </w:p>
        </w:tc>
        <w:tc>
          <w:tcPr>
            <w:tcW w:w="993" w:type="dxa"/>
            <w:vAlign w:val="center"/>
          </w:tcPr>
          <w:p w:rsidR="00AB0FDE" w:rsidRPr="002121D5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850" w:type="dxa"/>
            <w:vAlign w:val="center"/>
          </w:tcPr>
          <w:p w:rsidR="00AB0FDE" w:rsidRPr="00E740B9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1221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238</w:t>
            </w:r>
          </w:p>
        </w:tc>
        <w:tc>
          <w:tcPr>
            <w:tcW w:w="709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353</w:t>
            </w:r>
          </w:p>
        </w:tc>
        <w:tc>
          <w:tcPr>
            <w:tcW w:w="709" w:type="dxa"/>
            <w:vAlign w:val="center"/>
          </w:tcPr>
          <w:p w:rsidR="00AB0FDE" w:rsidRPr="002121D5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AB0FDE" w:rsidRPr="00E740B9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239</w:t>
            </w:r>
          </w:p>
        </w:tc>
      </w:tr>
    </w:tbl>
    <w:p w:rsidR="00AB0FDE" w:rsidRDefault="00AB0FDE" w:rsidP="00AB0FDE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AB0FDE" w:rsidRPr="00227BEE" w:rsidRDefault="00AB0FDE" w:rsidP="00AB0FDE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- Ечемик</w:t>
      </w:r>
    </w:p>
    <w:p w:rsidR="00AB0FDE" w:rsidRPr="00227BEE" w:rsidRDefault="00AB0FDE" w:rsidP="00AB0FDE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1134"/>
        <w:gridCol w:w="992"/>
        <w:gridCol w:w="851"/>
        <w:gridCol w:w="850"/>
        <w:gridCol w:w="851"/>
        <w:gridCol w:w="709"/>
        <w:gridCol w:w="850"/>
        <w:gridCol w:w="709"/>
        <w:gridCol w:w="709"/>
      </w:tblGrid>
      <w:tr w:rsidR="00AB0FDE" w:rsidRPr="00227BEE" w:rsidTr="00AB0FDE">
        <w:tc>
          <w:tcPr>
            <w:tcW w:w="1668" w:type="dxa"/>
            <w:vMerge w:val="restart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677" w:type="dxa"/>
            <w:gridSpan w:val="5"/>
          </w:tcPr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3828" w:type="dxa"/>
            <w:gridSpan w:val="5"/>
          </w:tcPr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AB0FDE" w:rsidRPr="00227BEE" w:rsidRDefault="00AB0FDE" w:rsidP="00AB0FD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AB0FDE" w:rsidRPr="00227BEE" w:rsidTr="00AB0FDE">
        <w:trPr>
          <w:trHeight w:val="284"/>
        </w:trPr>
        <w:tc>
          <w:tcPr>
            <w:tcW w:w="1668" w:type="dxa"/>
            <w:vMerge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2015</w:t>
            </w:r>
          </w:p>
        </w:tc>
        <w:tc>
          <w:tcPr>
            <w:tcW w:w="11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2016</w:t>
            </w:r>
          </w:p>
        </w:tc>
        <w:tc>
          <w:tcPr>
            <w:tcW w:w="992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850" w:type="dxa"/>
            <w:vAlign w:val="center"/>
          </w:tcPr>
          <w:p w:rsidR="00AB0FDE" w:rsidRPr="00D450C2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2015</w:t>
            </w:r>
          </w:p>
        </w:tc>
        <w:tc>
          <w:tcPr>
            <w:tcW w:w="709" w:type="dxa"/>
            <w:vAlign w:val="center"/>
          </w:tcPr>
          <w:p w:rsidR="00AB0FDE" w:rsidRPr="00626A3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B0FDE" w:rsidRPr="00626A3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709" w:type="dxa"/>
            <w:vAlign w:val="center"/>
          </w:tcPr>
          <w:p w:rsidR="00AB0FDE" w:rsidRPr="002D4F3A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709" w:type="dxa"/>
            <w:vAlign w:val="center"/>
          </w:tcPr>
          <w:p w:rsidR="00AB0FDE" w:rsidRPr="00D450C2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</w:tr>
      <w:tr w:rsidR="00AB0FDE" w:rsidRPr="00227BEE" w:rsidTr="00AB0FDE">
        <w:trPr>
          <w:trHeight w:val="284"/>
        </w:trPr>
        <w:tc>
          <w:tcPr>
            <w:tcW w:w="1668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227BEE" w:rsidTr="00AB0FDE">
        <w:trPr>
          <w:trHeight w:val="284"/>
        </w:trPr>
        <w:tc>
          <w:tcPr>
            <w:tcW w:w="1668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</w:t>
            </w:r>
          </w:p>
        </w:tc>
        <w:tc>
          <w:tcPr>
            <w:tcW w:w="11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709" w:type="dxa"/>
            <w:vAlign w:val="center"/>
          </w:tcPr>
          <w:p w:rsidR="00AB0FDE" w:rsidRPr="00626A3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626A3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DC3B4C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DC3B4C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227BEE" w:rsidTr="00AB0FDE">
        <w:trPr>
          <w:trHeight w:val="284"/>
        </w:trPr>
        <w:tc>
          <w:tcPr>
            <w:tcW w:w="1668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227BEE" w:rsidTr="00AB0FDE">
        <w:trPr>
          <w:trHeight w:val="284"/>
        </w:trPr>
        <w:tc>
          <w:tcPr>
            <w:tcW w:w="1668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106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86,8</w:t>
            </w:r>
          </w:p>
        </w:tc>
        <w:tc>
          <w:tcPr>
            <w:tcW w:w="851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70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221</w:t>
            </w:r>
          </w:p>
        </w:tc>
        <w:tc>
          <w:tcPr>
            <w:tcW w:w="709" w:type="dxa"/>
            <w:vAlign w:val="center"/>
          </w:tcPr>
          <w:p w:rsidR="00AB0FDE" w:rsidRPr="00626A3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</w:tr>
      <w:tr w:rsidR="00AB0FDE" w:rsidRPr="00227BEE" w:rsidTr="00AB0FDE">
        <w:trPr>
          <w:trHeight w:val="284"/>
        </w:trPr>
        <w:tc>
          <w:tcPr>
            <w:tcW w:w="1668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56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58</w:t>
            </w:r>
          </w:p>
        </w:tc>
        <w:tc>
          <w:tcPr>
            <w:tcW w:w="851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75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267</w:t>
            </w:r>
          </w:p>
        </w:tc>
        <w:tc>
          <w:tcPr>
            <w:tcW w:w="709" w:type="dxa"/>
            <w:vAlign w:val="center"/>
          </w:tcPr>
          <w:p w:rsidR="00AB0FDE" w:rsidRPr="00626A3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</w:t>
            </w:r>
          </w:p>
        </w:tc>
      </w:tr>
      <w:tr w:rsidR="00AB0FDE" w:rsidRPr="00227BEE" w:rsidTr="00AB0FDE">
        <w:trPr>
          <w:trHeight w:val="284"/>
        </w:trPr>
        <w:tc>
          <w:tcPr>
            <w:tcW w:w="1668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B0FDE" w:rsidRPr="00227BEE" w:rsidTr="00AB0FDE">
        <w:trPr>
          <w:trHeight w:val="284"/>
        </w:trPr>
        <w:tc>
          <w:tcPr>
            <w:tcW w:w="1668" w:type="dxa"/>
          </w:tcPr>
          <w:p w:rsidR="00AB0FDE" w:rsidRPr="00227BEE" w:rsidRDefault="00AB0FDE" w:rsidP="00AB0FDE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37,5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52,5</w:t>
            </w:r>
          </w:p>
        </w:tc>
        <w:tc>
          <w:tcPr>
            <w:tcW w:w="851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709" w:type="dxa"/>
            <w:vAlign w:val="center"/>
          </w:tcPr>
          <w:p w:rsidR="00AB0FDE" w:rsidRPr="00626A3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</w:t>
            </w:r>
          </w:p>
        </w:tc>
        <w:tc>
          <w:tcPr>
            <w:tcW w:w="709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</w:tr>
      <w:tr w:rsidR="00AB0FDE" w:rsidRPr="00227BEE" w:rsidTr="00AB0FDE">
        <w:trPr>
          <w:trHeight w:val="397"/>
        </w:trPr>
        <w:tc>
          <w:tcPr>
            <w:tcW w:w="1668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850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215.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1134" w:type="dxa"/>
            <w:vAlign w:val="center"/>
          </w:tcPr>
          <w:p w:rsidR="00AB0FDE" w:rsidRPr="003553FB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92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197,3</w:t>
            </w:r>
          </w:p>
        </w:tc>
        <w:tc>
          <w:tcPr>
            <w:tcW w:w="851" w:type="dxa"/>
            <w:vAlign w:val="center"/>
          </w:tcPr>
          <w:p w:rsidR="00AB0FDE" w:rsidRPr="002121D5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78.5</w:t>
            </w:r>
          </w:p>
        </w:tc>
        <w:tc>
          <w:tcPr>
            <w:tcW w:w="850" w:type="dxa"/>
            <w:vAlign w:val="center"/>
          </w:tcPr>
          <w:p w:rsidR="00AB0FDE" w:rsidRPr="00A3735B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205</w:t>
            </w:r>
          </w:p>
        </w:tc>
        <w:tc>
          <w:tcPr>
            <w:tcW w:w="851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221</w:t>
            </w:r>
          </w:p>
        </w:tc>
        <w:tc>
          <w:tcPr>
            <w:tcW w:w="709" w:type="dxa"/>
            <w:vAlign w:val="center"/>
          </w:tcPr>
          <w:p w:rsidR="00AB0FDE" w:rsidRPr="00626A3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246</w:t>
            </w:r>
          </w:p>
        </w:tc>
        <w:tc>
          <w:tcPr>
            <w:tcW w:w="850" w:type="dxa"/>
            <w:vAlign w:val="center"/>
          </w:tcPr>
          <w:p w:rsidR="00AB0FDE" w:rsidRPr="001A6663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274</w:t>
            </w:r>
          </w:p>
        </w:tc>
        <w:tc>
          <w:tcPr>
            <w:tcW w:w="709" w:type="dxa"/>
            <w:vAlign w:val="center"/>
          </w:tcPr>
          <w:p w:rsidR="00AB0FDE" w:rsidRPr="002121D5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AB0FDE" w:rsidRPr="00A3735B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250</w:t>
            </w:r>
          </w:p>
        </w:tc>
      </w:tr>
    </w:tbl>
    <w:p w:rsidR="00AB0FDE" w:rsidRDefault="00AB0FDE" w:rsidP="00AB0FDE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AB0FDE" w:rsidRPr="00227BEE" w:rsidRDefault="00AB0FDE" w:rsidP="00AB0FDE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AB0FDE" w:rsidRPr="00227BEE" w:rsidRDefault="00AB0FDE" w:rsidP="00AB0F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>В област Кърджали посевната площ с осно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вните пролетни култури през 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г. е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9204</w:t>
      </w:r>
      <w:r w:rsidRPr="00227BEE">
        <w:rPr>
          <w:rFonts w:ascii="Times New Roman" w:hAnsi="Times New Roman" w:cs="Times New Roman"/>
          <w:noProof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дка. В таблица </w:t>
      </w:r>
      <w:r w:rsidR="00710AE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са изнесени данни за последните пет години:</w:t>
      </w:r>
    </w:p>
    <w:p w:rsidR="00AB0FDE" w:rsidRDefault="00AB0FDE" w:rsidP="00AB0FDE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AB0FDE" w:rsidRPr="00227BEE" w:rsidRDefault="00AB0FDE" w:rsidP="00AB0FDE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7</w:t>
      </w:r>
    </w:p>
    <w:p w:rsidR="00AB0FDE" w:rsidRPr="00227BEE" w:rsidRDefault="00AB0FDE" w:rsidP="00AB0F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56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77"/>
        <w:gridCol w:w="1417"/>
        <w:gridCol w:w="1417"/>
        <w:gridCol w:w="1417"/>
        <w:gridCol w:w="1417"/>
        <w:gridCol w:w="1417"/>
      </w:tblGrid>
      <w:tr w:rsidR="00AB0FDE" w:rsidRPr="00227BEE" w:rsidTr="00AB0FDE">
        <w:tc>
          <w:tcPr>
            <w:tcW w:w="247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Култура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дка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2015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дка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2016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дка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дка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дка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</w:tr>
      <w:tr w:rsidR="00AB0FDE" w:rsidRPr="00227BEE" w:rsidTr="00AB0FDE">
        <w:trPr>
          <w:trHeight w:val="284"/>
        </w:trPr>
        <w:tc>
          <w:tcPr>
            <w:tcW w:w="2477" w:type="dxa"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Картофи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8980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8520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8105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7845</w:t>
            </w:r>
          </w:p>
        </w:tc>
      </w:tr>
      <w:tr w:rsidR="00AB0FDE" w:rsidRPr="00227BEE" w:rsidTr="00AB0FDE">
        <w:trPr>
          <w:trHeight w:val="284"/>
        </w:trPr>
        <w:tc>
          <w:tcPr>
            <w:tcW w:w="2477" w:type="dxa"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Царевица за зърно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780</w:t>
            </w:r>
          </w:p>
        </w:tc>
      </w:tr>
      <w:tr w:rsidR="00AB0FDE" w:rsidRPr="00227BEE" w:rsidTr="00AB0FDE">
        <w:trPr>
          <w:trHeight w:val="284"/>
        </w:trPr>
        <w:tc>
          <w:tcPr>
            <w:tcW w:w="2477" w:type="dxa"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Фасул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1070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</w:t>
            </w:r>
          </w:p>
        </w:tc>
      </w:tr>
      <w:tr w:rsidR="00AB0FDE" w:rsidRPr="00227BEE" w:rsidTr="00AB0FDE">
        <w:trPr>
          <w:trHeight w:val="284"/>
        </w:trPr>
        <w:tc>
          <w:tcPr>
            <w:tcW w:w="2477" w:type="dxa"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Масл. слънчоглед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1600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1590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2550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3400</w:t>
            </w:r>
          </w:p>
        </w:tc>
      </w:tr>
      <w:tr w:rsidR="00AB0FDE" w:rsidRPr="00227BEE" w:rsidTr="00AB0FDE">
        <w:trPr>
          <w:trHeight w:val="284"/>
        </w:trPr>
        <w:tc>
          <w:tcPr>
            <w:tcW w:w="2477" w:type="dxa"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5. Домати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2640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1780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1640</w:t>
            </w:r>
          </w:p>
        </w:tc>
      </w:tr>
      <w:tr w:rsidR="00AB0FDE" w:rsidRPr="00227BEE" w:rsidTr="00AB0FDE">
        <w:trPr>
          <w:trHeight w:val="284"/>
        </w:trPr>
        <w:tc>
          <w:tcPr>
            <w:tcW w:w="2477" w:type="dxa"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6. Пипер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6250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5310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3600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3485</w:t>
            </w:r>
          </w:p>
        </w:tc>
      </w:tr>
      <w:tr w:rsidR="00AB0FDE" w:rsidRPr="00227BEE" w:rsidTr="00AB0FDE">
        <w:trPr>
          <w:trHeight w:val="284"/>
        </w:trPr>
        <w:tc>
          <w:tcPr>
            <w:tcW w:w="2477" w:type="dxa"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7. Дини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385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593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227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309</w:t>
            </w:r>
          </w:p>
        </w:tc>
      </w:tr>
      <w:tr w:rsidR="00AB0FDE" w:rsidRPr="00227BEE" w:rsidTr="00AB0FDE">
        <w:trPr>
          <w:trHeight w:val="284"/>
        </w:trPr>
        <w:tc>
          <w:tcPr>
            <w:tcW w:w="2477" w:type="dxa"/>
            <w:vAlign w:val="center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8. Пъпеши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303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312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165</w:t>
            </w:r>
          </w:p>
        </w:tc>
        <w:tc>
          <w:tcPr>
            <w:tcW w:w="1417" w:type="dxa"/>
            <w:vAlign w:val="center"/>
          </w:tcPr>
          <w:p w:rsidR="00AB0FDE" w:rsidRPr="00227BEE" w:rsidRDefault="00AB0FDE" w:rsidP="00AB0FDE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137</w:t>
            </w:r>
          </w:p>
        </w:tc>
      </w:tr>
      <w:tr w:rsidR="00AB0FDE" w:rsidRPr="00227BEE" w:rsidTr="00AB0FDE">
        <w:trPr>
          <w:trHeight w:val="284"/>
        </w:trPr>
        <w:tc>
          <w:tcPr>
            <w:tcW w:w="2477" w:type="dxa"/>
            <w:vAlign w:val="center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9. Ориенталски тютюн</w:t>
            </w:r>
          </w:p>
        </w:tc>
        <w:tc>
          <w:tcPr>
            <w:tcW w:w="1417" w:type="dxa"/>
            <w:vAlign w:val="center"/>
          </w:tcPr>
          <w:p w:rsidR="00AB0FDE" w:rsidRPr="006260A5" w:rsidRDefault="00AB0FDE" w:rsidP="00AB0F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15780</w:t>
            </w:r>
          </w:p>
        </w:tc>
        <w:tc>
          <w:tcPr>
            <w:tcW w:w="1417" w:type="dxa"/>
            <w:vAlign w:val="center"/>
          </w:tcPr>
          <w:p w:rsidR="00AB0FDE" w:rsidRPr="006260A5" w:rsidRDefault="00AB0FDE" w:rsidP="00AB0F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6700</w:t>
            </w:r>
          </w:p>
        </w:tc>
        <w:tc>
          <w:tcPr>
            <w:tcW w:w="1417" w:type="dxa"/>
            <w:vAlign w:val="center"/>
          </w:tcPr>
          <w:p w:rsidR="00AB0FDE" w:rsidRPr="006260A5" w:rsidRDefault="00AB0FDE" w:rsidP="00AB0F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6035</w:t>
            </w:r>
          </w:p>
        </w:tc>
        <w:tc>
          <w:tcPr>
            <w:tcW w:w="1417" w:type="dxa"/>
            <w:vAlign w:val="center"/>
          </w:tcPr>
          <w:p w:rsidR="00AB0FDE" w:rsidRPr="006260A5" w:rsidRDefault="00AB0FDE" w:rsidP="00AB0F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8365</w:t>
            </w:r>
          </w:p>
        </w:tc>
        <w:tc>
          <w:tcPr>
            <w:tcW w:w="1417" w:type="dxa"/>
            <w:vAlign w:val="center"/>
          </w:tcPr>
          <w:p w:rsidR="00AB0FDE" w:rsidRPr="006260A5" w:rsidRDefault="00AB0FDE" w:rsidP="00AB0F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11108</w:t>
            </w:r>
          </w:p>
        </w:tc>
      </w:tr>
      <w:tr w:rsidR="00AB0FDE" w:rsidRPr="00227BEE" w:rsidTr="00AB0FDE">
        <w:trPr>
          <w:trHeight w:val="397"/>
        </w:trPr>
        <w:tc>
          <w:tcPr>
            <w:tcW w:w="2477" w:type="dxa"/>
            <w:vAlign w:val="center"/>
          </w:tcPr>
          <w:p w:rsidR="00AB0FDE" w:rsidRPr="006260A5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1417" w:type="dxa"/>
            <w:vAlign w:val="center"/>
          </w:tcPr>
          <w:p w:rsidR="00AB0FDE" w:rsidRPr="006260A5" w:rsidRDefault="00AB0FDE" w:rsidP="00AB0F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fldChar w:fldCharType="begin"/>
            </w: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instrText xml:space="preserve"> =SUM(ABOVE) </w:instrText>
            </w: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fldChar w:fldCharType="separate"/>
            </w:r>
            <w:r w:rsidRPr="006260A5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bg-BG"/>
              </w:rPr>
              <w:t>38778</w:t>
            </w: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B0FDE" w:rsidRPr="006260A5" w:rsidRDefault="00AB0FDE" w:rsidP="00AB0F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28983</w:t>
            </w:r>
          </w:p>
        </w:tc>
        <w:tc>
          <w:tcPr>
            <w:tcW w:w="1417" w:type="dxa"/>
            <w:vAlign w:val="center"/>
          </w:tcPr>
          <w:p w:rsidR="00AB0FDE" w:rsidRPr="006260A5" w:rsidRDefault="00AB0FDE" w:rsidP="00AB0F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26220</w:t>
            </w:r>
          </w:p>
        </w:tc>
        <w:tc>
          <w:tcPr>
            <w:tcW w:w="1417" w:type="dxa"/>
            <w:vAlign w:val="center"/>
          </w:tcPr>
          <w:p w:rsidR="00AB0FDE" w:rsidRPr="002121D5" w:rsidRDefault="00AB0FDE" w:rsidP="00AB0F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26562</w:t>
            </w:r>
          </w:p>
        </w:tc>
        <w:tc>
          <w:tcPr>
            <w:tcW w:w="1417" w:type="dxa"/>
            <w:vAlign w:val="center"/>
          </w:tcPr>
          <w:p w:rsidR="00AB0FDE" w:rsidRPr="00A3735B" w:rsidRDefault="00AB0FDE" w:rsidP="00AB0F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29204</w:t>
            </w:r>
          </w:p>
        </w:tc>
      </w:tr>
    </w:tbl>
    <w:p w:rsidR="00AB0FDE" w:rsidRDefault="00AB0FDE" w:rsidP="00AB0FD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     </w:t>
      </w:r>
    </w:p>
    <w:p w:rsidR="00AB0FDE" w:rsidRPr="00B155B8" w:rsidRDefault="00AB0FDE" w:rsidP="00AB0FD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дно от таблицата е, че през 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спрямо 2018 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год. в област Кърджали площите</w:t>
      </w:r>
      <w:r w:rsidR="00710AEF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засети </w:t>
      </w:r>
      <w:r w:rsidR="00710AE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пролетни култури са увеличени с </w:t>
      </w:r>
      <w:r>
        <w:rPr>
          <w:rFonts w:ascii="Times New Roman" w:hAnsi="Times New Roman" w:cs="Times New Roman"/>
          <w:color w:val="000000"/>
          <w:sz w:val="24"/>
          <w:szCs w:val="24"/>
        </w:rPr>
        <w:t>2642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дка.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Увеличението е основно при ориенталския тютюн - </w:t>
      </w:r>
      <w:r>
        <w:rPr>
          <w:rFonts w:ascii="Times New Roman" w:hAnsi="Times New Roman" w:cs="Times New Roman"/>
          <w:color w:val="000000"/>
          <w:sz w:val="24"/>
          <w:szCs w:val="24"/>
        </w:rPr>
        <w:t>2743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дка. Като основна причина са очакванията на хората за продължаване на </w:t>
      </w:r>
      <w:r w:rsidR="00710AEF">
        <w:rPr>
          <w:rFonts w:ascii="Times New Roman" w:hAnsi="Times New Roman" w:cs="Times New Roman"/>
          <w:color w:val="000000"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реходна</w:t>
      </w:r>
      <w:r w:rsidR="00710AEF">
        <w:rPr>
          <w:rFonts w:ascii="Times New Roman" w:hAnsi="Times New Roman" w:cs="Times New Roman"/>
          <w:color w:val="000000"/>
          <w:sz w:val="24"/>
          <w:szCs w:val="24"/>
          <w:lang w:val="bg-BG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национална помощ за тютюн, както също и възможна промяна в референтния период. Отчитаме </w:t>
      </w:r>
      <w:r>
        <w:rPr>
          <w:rFonts w:ascii="Times New Roman" w:hAnsi="Times New Roman" w:cs="Times New Roman"/>
          <w:color w:val="000000"/>
          <w:sz w:val="24"/>
          <w:szCs w:val="24"/>
        </w:rPr>
        <w:t>260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дка намаление на засетите площи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с картофи, 500 дка намаление на фасул. 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Като основни причини за намаляването на засетите площи са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: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демографски/ намаляване на жителите по селата, младите хора търсят по-добри алтернативни източници на доходи/, икономически /високи разходи и ниска изкупна цена на произведената продукция/. Възможността на земеделските стопани за участие в схемите по директни плащания, както и по схемите и мерките по ПРСР доведе до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промени в отглежданите култури, както също и преориентиране на стопанствата от </w:t>
      </w:r>
      <w:r w:rsidRPr="00B155B8">
        <w:rPr>
          <w:rFonts w:ascii="Times New Roman" w:hAnsi="Times New Roman" w:cs="Times New Roman"/>
          <w:color w:val="000000"/>
          <w:sz w:val="24"/>
          <w:szCs w:val="24"/>
          <w:lang w:val="bg-BG"/>
        </w:rPr>
        <w:t>растениевъдни към животновъдни дейности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AB0FDE" w:rsidRDefault="00AB0FDE" w:rsidP="00AB0FDE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AB0FDE" w:rsidRPr="00227BEE" w:rsidRDefault="00AB0FDE" w:rsidP="00AB0FDE">
      <w:pPr>
        <w:pStyle w:val="a7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таблица 8</w:t>
      </w:r>
      <w:r w:rsidRPr="00227BEE">
        <w:rPr>
          <w:rFonts w:ascii="Times New Roman" w:hAnsi="Times New Roman"/>
          <w:color w:val="000000"/>
          <w:sz w:val="24"/>
          <w:szCs w:val="24"/>
        </w:rPr>
        <w:t xml:space="preserve"> са изнесени данните за получената продукция от пролетни култури през отчетния период:</w:t>
      </w:r>
    </w:p>
    <w:p w:rsidR="00AB0FDE" w:rsidRPr="00227BEE" w:rsidRDefault="00AB0FDE" w:rsidP="00AB0FDE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AB0FDE" w:rsidRDefault="00AB0FDE" w:rsidP="00AB0FDE">
      <w:pPr>
        <w:pStyle w:val="a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Таблица 8</w:t>
      </w:r>
    </w:p>
    <w:p w:rsidR="00AB0FDE" w:rsidRDefault="00AB0FDE" w:rsidP="00AB0FDE">
      <w:pPr>
        <w:pStyle w:val="a7"/>
        <w:ind w:firstLine="720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AB0FDE" w:rsidRPr="00FE403C" w:rsidRDefault="00AB0FDE" w:rsidP="00AB0FDE">
      <w:pPr>
        <w:pStyle w:val="a7"/>
        <w:ind w:firstLine="720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19"/>
        <w:gridCol w:w="2319"/>
        <w:gridCol w:w="2319"/>
      </w:tblGrid>
      <w:tr w:rsidR="00AB0FDE" w:rsidRPr="00227BEE" w:rsidTr="00AB0FDE">
        <w:tc>
          <w:tcPr>
            <w:tcW w:w="2336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Култура</w:t>
            </w:r>
          </w:p>
        </w:tc>
        <w:tc>
          <w:tcPr>
            <w:tcW w:w="231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Засадени площи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231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Получена продукция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2319" w:type="dxa"/>
            <w:vAlign w:val="center"/>
          </w:tcPr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AB0FDE" w:rsidRPr="00227BEE" w:rsidRDefault="00AB0FDE" w:rsidP="00AB0F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1. Пипер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01.12.2015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6250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9575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1532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5960</w:t>
            </w:r>
          </w:p>
        </w:tc>
        <w:tc>
          <w:tcPr>
            <w:tcW w:w="2319" w:type="dxa"/>
          </w:tcPr>
          <w:p w:rsidR="00AB0FDE" w:rsidRPr="008B3E0F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5310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9924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1869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3600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5544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1540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5825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1671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2. Домати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01.12.2015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2640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2212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838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1780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2236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1256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01.12.2018 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1562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935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1640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540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3. Картофи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01.12.2015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8980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8684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967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8260</w:t>
            </w:r>
          </w:p>
        </w:tc>
        <w:tc>
          <w:tcPr>
            <w:tcW w:w="2319" w:type="dxa"/>
          </w:tcPr>
          <w:p w:rsidR="00AB0FDE" w:rsidRPr="00FE403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8520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10471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1229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8105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8356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1031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7845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7404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944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4. Дини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01.12.2015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385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147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382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593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448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755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227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198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309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5. Пъпеши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01.12.2015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303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290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19" w:type="dxa"/>
          </w:tcPr>
          <w:p w:rsidR="00AB0FDE" w:rsidRPr="00FE403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312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316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63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137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192</w:t>
            </w:r>
          </w:p>
        </w:tc>
      </w:tr>
      <w:tr w:rsidR="00AB0FDE" w:rsidRPr="00227BEE" w:rsidTr="00AB0FDE">
        <w:trPr>
          <w:trHeight w:val="208"/>
        </w:trPr>
        <w:tc>
          <w:tcPr>
            <w:tcW w:w="2336" w:type="dxa"/>
          </w:tcPr>
          <w:p w:rsidR="00AB0FDE" w:rsidRPr="00D450C2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6. Тютюн ориент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алски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1.12.2015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15780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1767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112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6700</w:t>
            </w:r>
          </w:p>
        </w:tc>
        <w:tc>
          <w:tcPr>
            <w:tcW w:w="2319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771</w:t>
            </w:r>
          </w:p>
        </w:tc>
        <w:tc>
          <w:tcPr>
            <w:tcW w:w="2319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6035</w:t>
            </w:r>
          </w:p>
        </w:tc>
        <w:tc>
          <w:tcPr>
            <w:tcW w:w="2319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760</w:t>
            </w:r>
          </w:p>
        </w:tc>
        <w:tc>
          <w:tcPr>
            <w:tcW w:w="2319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126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8365</w:t>
            </w:r>
          </w:p>
        </w:tc>
        <w:tc>
          <w:tcPr>
            <w:tcW w:w="2319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1196</w:t>
            </w:r>
          </w:p>
        </w:tc>
        <w:tc>
          <w:tcPr>
            <w:tcW w:w="2319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143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6260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11108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1476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133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7. Фасул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01.12.2015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1070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72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67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319" w:type="dxa"/>
          </w:tcPr>
          <w:p w:rsidR="00AB0FDE" w:rsidRPr="009B0B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134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129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123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107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8. Слънчоглед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01.12.2015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1600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186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116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2319" w:type="dxa"/>
          </w:tcPr>
          <w:p w:rsidR="00AB0FDE" w:rsidRPr="009B0BA5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319" w:type="dxa"/>
          </w:tcPr>
          <w:p w:rsidR="00AB0FDE" w:rsidRPr="00626A33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1590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184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2550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395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155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3400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112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9.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Царевица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01.12.2015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1250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340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272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1805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542</w:t>
            </w:r>
          </w:p>
        </w:tc>
        <w:tc>
          <w:tcPr>
            <w:tcW w:w="2319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1F7AA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1150</w:t>
            </w:r>
          </w:p>
        </w:tc>
        <w:tc>
          <w:tcPr>
            <w:tcW w:w="2319" w:type="dxa"/>
          </w:tcPr>
          <w:p w:rsidR="00AB0FDE" w:rsidRPr="001F7AA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429</w:t>
            </w:r>
          </w:p>
        </w:tc>
        <w:tc>
          <w:tcPr>
            <w:tcW w:w="2319" w:type="dxa"/>
          </w:tcPr>
          <w:p w:rsidR="00AB0FDE" w:rsidRPr="001F7AA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373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353</w:t>
            </w:r>
          </w:p>
        </w:tc>
      </w:tr>
      <w:tr w:rsidR="00AB0FDE" w:rsidRPr="00227BEE" w:rsidTr="00AB0FDE">
        <w:tc>
          <w:tcPr>
            <w:tcW w:w="2336" w:type="dxa"/>
          </w:tcPr>
          <w:p w:rsidR="00AB0FDE" w:rsidRPr="00227BEE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780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279</w:t>
            </w:r>
          </w:p>
        </w:tc>
        <w:tc>
          <w:tcPr>
            <w:tcW w:w="2319" w:type="dxa"/>
          </w:tcPr>
          <w:p w:rsidR="00AB0FDE" w:rsidRPr="0003326C" w:rsidRDefault="00AB0FDE" w:rsidP="00AB0F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358</w:t>
            </w:r>
          </w:p>
        </w:tc>
      </w:tr>
    </w:tbl>
    <w:p w:rsidR="00AB0FDE" w:rsidRDefault="00AB0FDE" w:rsidP="00AB0F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AB0FDE" w:rsidRDefault="00AB0FDE" w:rsidP="00AB0F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AB0FDE" w:rsidRPr="00227BEE" w:rsidRDefault="00AB0FDE" w:rsidP="00AB0FDE">
      <w:p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AB0FDE" w:rsidRDefault="00AB0FDE" w:rsidP="00AB0FD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0FDE" w:rsidRPr="003A209A" w:rsidRDefault="00AB0FDE" w:rsidP="00AB0FD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</w:p>
    <w:p w:rsidR="00AB0FDE" w:rsidRDefault="00AB0FDE" w:rsidP="00AB0FD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В област 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Кърджали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 развива екс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тензивно земеделие -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дребни частни стопанства, които обработват малки по размер площи и произвеждат продукция с висока себестойност. Характерно за производителите от областта е, че работят със собствени средства. 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Липсата на з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емеделски кооперации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, групи производители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арендатори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, както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наличие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то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голям брой наследници на 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имоти и липса на делби между тях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правят невъзможен процеса по комасация на земеделските земи в регион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AB0FDE" w:rsidRPr="00F439A9" w:rsidRDefault="00F439A9" w:rsidP="00AB0F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През 2019</w:t>
      </w:r>
      <w:r w:rsidR="0085220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AB0FDE"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г. в жътвата са участвали </w:t>
      </w:r>
      <w:r w:rsidRPr="00F439A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AB0FDE" w:rsidRPr="00F439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B0FDE"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>б</w:t>
      </w:r>
      <w:r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р. зърнокомбайни от наличните 39бр. </w:t>
      </w:r>
    </w:p>
    <w:p w:rsidR="00AB0FDE" w:rsidRPr="00227BEE" w:rsidRDefault="00AB0FDE" w:rsidP="00AB0FD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пролетната  кампания са участвали </w:t>
      </w:r>
      <w:r w:rsidR="00F439A9" w:rsidRPr="00F439A9">
        <w:rPr>
          <w:rFonts w:ascii="Times New Roman" w:hAnsi="Times New Roman" w:cs="Times New Roman"/>
          <w:sz w:val="24"/>
          <w:szCs w:val="24"/>
          <w:lang w:val="bg-BG"/>
        </w:rPr>
        <w:t>1303</w:t>
      </w:r>
      <w:r w:rsidRPr="00F439A9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>броя колесни трактори (76% от нал</w:t>
      </w:r>
      <w:r w:rsidR="00F439A9"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>ичните), тракторни плугове – 567 броя (89</w:t>
      </w:r>
      <w:r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% о</w:t>
      </w:r>
      <w:r w:rsidR="00F439A9"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>т наличните), дискови брани – 64 броя (90</w:t>
      </w:r>
      <w:r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>%</w:t>
      </w:r>
      <w:r w:rsidR="00F439A9"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от наличните), култиватори – 99 броя, (94</w:t>
      </w:r>
      <w:r w:rsidRPr="00F439A9">
        <w:rPr>
          <w:rFonts w:ascii="Times New Roman" w:hAnsi="Times New Roman" w:cs="Times New Roman"/>
          <w:color w:val="000000"/>
          <w:sz w:val="24"/>
          <w:szCs w:val="24"/>
          <w:lang w:val="bg-BG"/>
        </w:rPr>
        <w:t>% от наличните).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1B4CD2" w:rsidRDefault="001B4CD2" w:rsidP="001B4CD2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През стопанската 2019/2020 г. , процедура по създаване на масиви за ползване на земеделски земи и изготвяне на споразумения между собственици и/или ползватели е проведена на територията на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3 общини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община Крумовград, община Кърджали и община Черноочене.</w:t>
      </w:r>
    </w:p>
    <w:p w:rsidR="001B4CD2" w:rsidRDefault="001B4CD2" w:rsidP="001B4C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Проведени са заседания на комисиите по чл. 37в, ал. 1 на които са присъствали собственици, ползватели и други заинтересовани лица. За всяко заседание на комисиите по чл. 37, ал. е съставен протокол. </w:t>
      </w:r>
    </w:p>
    <w:p w:rsidR="001B4CD2" w:rsidRDefault="001B4CD2" w:rsidP="001B4C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Сключените доброволни споразумения за ползване са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51 бр.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обща площ 22847.284 дка. </w:t>
      </w:r>
      <w:r>
        <w:rPr>
          <w:rFonts w:ascii="Times New Roman" w:hAnsi="Times New Roman" w:cs="Times New Roman"/>
          <w:sz w:val="24"/>
          <w:szCs w:val="24"/>
          <w:lang w:val="bg-BG"/>
        </w:rPr>
        <w:t>Изготвени са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9 бр.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проекти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разпределение на масивите за ползване с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обща площ 2726.560 дка.</w:t>
      </w:r>
    </w:p>
    <w:p w:rsidR="001B4CD2" w:rsidRDefault="001B4CD2" w:rsidP="001B4CD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територията на област Кърджали са издадени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общо 60 бр. заповеди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чл. 37в, ал. 4 от ЗСПЗЗ. Площ на включените имоти по чл. 37в, ал.3, т. 2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е общо 13947.938 дка.</w:t>
      </w:r>
    </w:p>
    <w:p w:rsidR="001B4CD2" w:rsidRDefault="001B4CD2" w:rsidP="001B4C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чл.3, ал. 4 от Устройствения правилник на областните дирекции „Земеделие“, чл. 37в, ал. 4 от ЗСПЗЗ, във връзка с чл. 37в, ал. 16 от ЗСПЗЗ и изтекъл едномесечен срок за приемане на решение от Общински съвет – Черноочене  и общински съвет Крумовград по искане на директора на ОД „Земеделие“ за предоставяне за ползване на имотите – полски пътища, включени в заповедта са издадени заповеди за 15 землища на територията на община Черноочене и 6 бр. землища на територията на община Крумовград.</w:t>
      </w:r>
    </w:p>
    <w:p w:rsidR="001B4CD2" w:rsidRDefault="001B4CD2" w:rsidP="001B4C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Издадени са и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27 бр. заповеди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прекратяване процедурата изготвяне на споразумения между собственици и/или ползватели за създаване на масиви за ползване на земеделски земи.</w:t>
      </w:r>
    </w:p>
    <w:p w:rsidR="00E13F46" w:rsidRDefault="00E13F46" w:rsidP="00013B0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13F46" w:rsidRPr="00097770" w:rsidRDefault="00E13F46" w:rsidP="00521B7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6C1A91" w:rsidRDefault="00E13F46" w:rsidP="00521B7D">
      <w:pPr>
        <w:tabs>
          <w:tab w:val="left" w:pos="11070"/>
        </w:tabs>
        <w:ind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ІІ. ЖИВОТНОВЪДСТВО</w:t>
      </w:r>
    </w:p>
    <w:p w:rsidR="00E13F46" w:rsidRPr="006C1A91" w:rsidRDefault="00E13F46" w:rsidP="00521B7D">
      <w:pPr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bg-BG"/>
        </w:rPr>
      </w:pPr>
    </w:p>
    <w:p w:rsidR="004B741E" w:rsidRPr="005B3E96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ru-RU"/>
        </w:rPr>
        <w:t xml:space="preserve">Животновъдството е основен поминък на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земеделските стопани</w:t>
      </w:r>
      <w:r w:rsidRPr="005B3E96">
        <w:rPr>
          <w:rFonts w:ascii="Times New Roman" w:hAnsi="Times New Roman" w:cs="Times New Roman"/>
          <w:sz w:val="24"/>
          <w:szCs w:val="24"/>
          <w:lang w:val="ru-RU"/>
        </w:rPr>
        <w:t xml:space="preserve"> от Кърджалийска област. Отглеждат се предимно крави за мляко и месо, добре развито е и овцевъдството. По брой говеда областта се нарежда на второ място в страната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B741E" w:rsidRPr="005B3E96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На територията на област Кърджали към </w:t>
      </w:r>
      <w:r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01.2020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г. се отглеждат следните видове и брой животни, както и птици по данни, предоставени от общинските служби по земеделие.</w:t>
      </w:r>
    </w:p>
    <w:p w:rsidR="004B741E" w:rsidRPr="005B3E96" w:rsidRDefault="004B741E" w:rsidP="004B741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Pr="006260A5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9</w:t>
      </w:r>
    </w:p>
    <w:p w:rsidR="004B741E" w:rsidRPr="006260A5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5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9"/>
        <w:gridCol w:w="1010"/>
        <w:gridCol w:w="1255"/>
        <w:gridCol w:w="1276"/>
        <w:gridCol w:w="1134"/>
        <w:gridCol w:w="1276"/>
        <w:gridCol w:w="1197"/>
      </w:tblGrid>
      <w:tr w:rsidR="004B741E" w:rsidRPr="006260A5" w:rsidTr="00D67E00">
        <w:tc>
          <w:tcPr>
            <w:tcW w:w="2379" w:type="dxa"/>
          </w:tcPr>
          <w:p w:rsidR="004B741E" w:rsidRPr="006260A5" w:rsidRDefault="004B741E" w:rsidP="00D67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Видове животни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2015г.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2016г.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2017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2018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4B741E" w:rsidRPr="006260A5" w:rsidTr="00D67E00">
        <w:trPr>
          <w:trHeight w:hRule="exact"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 Говеда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51343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69651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71884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68994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68305</w:t>
            </w:r>
          </w:p>
        </w:tc>
      </w:tr>
      <w:tr w:rsidR="004B741E" w:rsidRPr="006260A5" w:rsidTr="00D67E00">
        <w:trPr>
          <w:trHeight w:hRule="exact"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крави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38210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55720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57500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55195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47810</w:t>
            </w:r>
          </w:p>
        </w:tc>
      </w:tr>
      <w:tr w:rsidR="004B741E" w:rsidRPr="006260A5" w:rsidTr="00D67E00">
        <w:trPr>
          <w:trHeight w:hRule="exact"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 Овце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80887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96570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90543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87162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85329</w:t>
            </w:r>
          </w:p>
        </w:tc>
      </w:tr>
      <w:tr w:rsidR="004B741E" w:rsidRPr="006260A5" w:rsidTr="00D67E00">
        <w:trPr>
          <w:trHeight w:hRule="exact"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овце–майки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72032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93000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82 000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78445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73309</w:t>
            </w:r>
          </w:p>
        </w:tc>
      </w:tr>
      <w:tr w:rsidR="004B741E" w:rsidRPr="006260A5" w:rsidTr="00D67E00">
        <w:trPr>
          <w:trHeight w:hRule="exact"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 Кози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5554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7458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7250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7188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7546</w:t>
            </w:r>
          </w:p>
        </w:tc>
      </w:tr>
      <w:tr w:rsidR="004B741E" w:rsidRPr="006260A5" w:rsidTr="00D67E00">
        <w:trPr>
          <w:trHeight w:hRule="exact"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кози–майки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4594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6800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6500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6550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6571</w:t>
            </w:r>
          </w:p>
        </w:tc>
      </w:tr>
      <w:tr w:rsidR="004B741E" w:rsidRPr="006260A5" w:rsidTr="00D67E00">
        <w:trPr>
          <w:trHeight w:hRule="exact"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 Свине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</w:tr>
      <w:tr w:rsidR="004B741E" w:rsidRPr="006260A5" w:rsidTr="00D67E00">
        <w:trPr>
          <w:trHeight w:hRule="exact"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свине–майки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</w:tr>
      <w:tr w:rsidR="004B741E" w:rsidRPr="006260A5" w:rsidTr="00D67E00">
        <w:trPr>
          <w:trHeight w:hRule="exact"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 Птици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260,8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286,00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177, 000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285.00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277</w:t>
            </w:r>
          </w:p>
        </w:tc>
      </w:tr>
      <w:tr w:rsidR="004B741E" w:rsidRPr="006260A5" w:rsidTr="00D67E00">
        <w:tc>
          <w:tcPr>
            <w:tcW w:w="2379" w:type="dxa"/>
          </w:tcPr>
          <w:p w:rsidR="004B741E" w:rsidRPr="006260A5" w:rsidRDefault="004B741E" w:rsidP="00D67E00">
            <w:pPr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т. ч. кокошки–носачки</w:t>
            </w:r>
          </w:p>
        </w:tc>
        <w:tc>
          <w:tcPr>
            <w:tcW w:w="1010" w:type="dxa"/>
            <w:vAlign w:val="bottom"/>
          </w:tcPr>
          <w:p w:rsidR="004B741E" w:rsidRPr="006260A5" w:rsidRDefault="004B741E" w:rsidP="00D67E0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</w:t>
            </w:r>
          </w:p>
        </w:tc>
        <w:tc>
          <w:tcPr>
            <w:tcW w:w="1255" w:type="dxa"/>
          </w:tcPr>
          <w:p w:rsidR="004B741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245,3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4B741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160,0</w:t>
            </w:r>
          </w:p>
        </w:tc>
        <w:tc>
          <w:tcPr>
            <w:tcW w:w="1276" w:type="dxa"/>
          </w:tcPr>
          <w:p w:rsidR="004B741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280.00</w:t>
            </w:r>
          </w:p>
        </w:tc>
        <w:tc>
          <w:tcPr>
            <w:tcW w:w="1197" w:type="dxa"/>
          </w:tcPr>
          <w:p w:rsidR="004B741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173</w:t>
            </w:r>
          </w:p>
        </w:tc>
      </w:tr>
      <w:tr w:rsidR="004B741E" w:rsidRPr="006260A5" w:rsidTr="00D67E00">
        <w:trPr>
          <w:trHeight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бройлери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B741E" w:rsidRPr="006260A5" w:rsidTr="00D67E00">
        <w:trPr>
          <w:trHeight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 Зайци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212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1524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2626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2551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2446</w:t>
            </w:r>
          </w:p>
        </w:tc>
      </w:tr>
      <w:tr w:rsidR="004B741E" w:rsidRPr="006260A5" w:rsidTr="00D67E00">
        <w:trPr>
          <w:trHeight w:val="550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зайкини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212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1524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2626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2551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2330</w:t>
            </w:r>
          </w:p>
        </w:tc>
      </w:tr>
      <w:tr w:rsidR="004B741E" w:rsidRPr="006260A5" w:rsidTr="00D67E00">
        <w:trPr>
          <w:trHeight w:val="288"/>
        </w:trPr>
        <w:tc>
          <w:tcPr>
            <w:tcW w:w="2379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7. Пчелни семейства</w:t>
            </w:r>
          </w:p>
        </w:tc>
        <w:tc>
          <w:tcPr>
            <w:tcW w:w="1010" w:type="dxa"/>
          </w:tcPr>
          <w:p w:rsidR="004B741E" w:rsidRPr="006260A5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15603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16677</w:t>
            </w:r>
          </w:p>
        </w:tc>
        <w:tc>
          <w:tcPr>
            <w:tcW w:w="1134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16000</w:t>
            </w:r>
          </w:p>
        </w:tc>
        <w:tc>
          <w:tcPr>
            <w:tcW w:w="1276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15421</w:t>
            </w:r>
          </w:p>
        </w:tc>
        <w:tc>
          <w:tcPr>
            <w:tcW w:w="1197" w:type="dxa"/>
          </w:tcPr>
          <w:p w:rsidR="004B741E" w:rsidRPr="006260A5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16265</w:t>
            </w:r>
          </w:p>
        </w:tc>
      </w:tr>
    </w:tbl>
    <w:p w:rsidR="004B741E" w:rsidRPr="005B3E96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Pr="005B3E96" w:rsidRDefault="004B741E" w:rsidP="004B741E">
      <w:pPr>
        <w:ind w:left="-9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96473A" w:rsidP="004B741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178435</wp:posOffset>
            </wp:positionV>
            <wp:extent cx="5701030" cy="3303905"/>
            <wp:effectExtent l="1905" t="0" r="2540" b="2540"/>
            <wp:wrapSquare wrapText="right"/>
            <wp:docPr id="6" name="Об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Pr="005B3E96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От изнесените данни </w:t>
      </w:r>
      <w:r>
        <w:rPr>
          <w:rFonts w:ascii="Times New Roman" w:hAnsi="Times New Roman" w:cs="Times New Roman"/>
          <w:sz w:val="24"/>
          <w:szCs w:val="24"/>
          <w:lang w:val="bg-BG"/>
        </w:rPr>
        <w:t>през 2019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видно намаление при броя на говедата, в т.ч. крави, при овцете. Схемите и мерките по директни плащания, както също и ПРСР, оказват влияние на броя на  животните.  </w:t>
      </w:r>
    </w:p>
    <w:p w:rsidR="004B741E" w:rsidRPr="005B3E96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>Говедовъдст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вото в областта е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раздробено. Преобладават стопанствата, в които се отглеждат 1 – 2 кра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 от смесена порода. Като основна причина за намаляване на броя на говедата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са ниските изкупни цени на млякото.</w:t>
      </w:r>
    </w:p>
    <w:p w:rsidR="004B741E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>Овцевъдството в нашия регион е традиционен отрасъл. Има създадени две сдружения на овцевъдите. Проблемите пред отрасъла са високите цени на фуражите и ниските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изкупни цени на живите агнета.</w:t>
      </w:r>
    </w:p>
    <w:p w:rsidR="004B741E" w:rsidRPr="0050406C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територията на областта има създаден областен консултативен съвет по животновъдство. Целите на областния консултативен съвет са:</w:t>
      </w:r>
    </w:p>
    <w:p w:rsidR="004B741E" w:rsidRPr="0050406C" w:rsidRDefault="004B741E" w:rsidP="004B741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Проблемите в сектор животновъдство да се решават на областно ниво.</w:t>
      </w:r>
    </w:p>
    <w:p w:rsidR="004B741E" w:rsidRPr="0050406C" w:rsidRDefault="004B741E" w:rsidP="004B741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Да се информират животновъдите за новостите в сектора. /отдаването на пасища и мери от ОПФ и ДПФ, схеми и мерки за подпомагане.</w:t>
      </w:r>
    </w:p>
    <w:p w:rsidR="004B741E" w:rsidRPr="0050406C" w:rsidRDefault="004B741E" w:rsidP="004B741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Законодателни инициативи предложения.</w:t>
      </w:r>
    </w:p>
    <w:p w:rsidR="004B741E" w:rsidRPr="0050406C" w:rsidRDefault="004B741E" w:rsidP="004B741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4. </w:t>
      </w:r>
      <w:r w:rsidRPr="0050406C">
        <w:rPr>
          <w:rFonts w:ascii="Times New Roman" w:hAnsi="Times New Roman" w:cs="Times New Roman"/>
          <w:sz w:val="24"/>
          <w:szCs w:val="24"/>
        </w:rPr>
        <w:t>Допълнителни срещи с друг институции / Развъдни организации, изп. Агенция по селекция и репродукция в животновъдството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B741E" w:rsidRPr="005B3E96" w:rsidRDefault="004B741E" w:rsidP="004B74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5B3E96">
        <w:rPr>
          <w:rFonts w:ascii="Times New Roman" w:hAnsi="Times New Roman" w:cs="Times New Roman"/>
          <w:sz w:val="24"/>
          <w:szCs w:val="24"/>
          <w:lang w:val="ru-RU"/>
        </w:rPr>
        <w:t>Перспективи за развитие на животновъдството:</w:t>
      </w:r>
    </w:p>
    <w:p w:rsidR="004B741E" w:rsidRPr="005B3E96" w:rsidRDefault="004B741E" w:rsidP="004B74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96">
        <w:rPr>
          <w:rFonts w:ascii="Times New Roman" w:hAnsi="Times New Roman" w:cs="Times New Roman"/>
          <w:sz w:val="24"/>
          <w:szCs w:val="24"/>
          <w:lang w:val="ru-RU"/>
        </w:rPr>
        <w:t>- осъвременяване на генетичния потенциал в областта с елитни и висококачествени животни;</w:t>
      </w:r>
    </w:p>
    <w:p w:rsidR="004B741E" w:rsidRPr="005B3E96" w:rsidRDefault="004B741E" w:rsidP="004B74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96">
        <w:rPr>
          <w:rFonts w:ascii="Times New Roman" w:hAnsi="Times New Roman" w:cs="Times New Roman"/>
          <w:sz w:val="24"/>
          <w:szCs w:val="24"/>
          <w:lang w:val="ru-RU"/>
        </w:rPr>
        <w:t>- уедряване на дребните животновъдни ферми и създаване на пазарно-ориентирани животновъдни стопанства – механизирани, с автоматизирано производство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B3E9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което води до минимални разходи и високо качество на произвежданата продукция;</w:t>
      </w:r>
    </w:p>
    <w:p w:rsidR="004B741E" w:rsidRPr="005B3E96" w:rsidRDefault="004B741E" w:rsidP="004B74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96">
        <w:rPr>
          <w:rFonts w:ascii="Times New Roman" w:hAnsi="Times New Roman" w:cs="Times New Roman"/>
          <w:sz w:val="24"/>
          <w:szCs w:val="24"/>
          <w:lang w:val="ru-RU"/>
        </w:rPr>
        <w:t>- обособяване на говедовъдството в оптимални по размер стокови стада, с цел задоволяване със собствени суровини на по-голяма част от преработвателните предприятия в областта и поевтиняване на предлаганата продукция, както и повишаване надеждността на ветеринарно-санитарния контрол и запазване здравето на потребителя;</w:t>
      </w:r>
    </w:p>
    <w:p w:rsidR="004B741E" w:rsidRDefault="004B741E" w:rsidP="004B741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приоритетно развитие на овцевъдството, козевъдството и пчеларството, поради наличие на подходящи условия в планинските райони на областта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41E" w:rsidRDefault="004B741E" w:rsidP="004B741E">
      <w:pPr>
        <w:ind w:right="-8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741E" w:rsidRDefault="004B741E" w:rsidP="004B741E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4B741E" w:rsidRPr="006C1A91" w:rsidRDefault="004B741E" w:rsidP="004B741E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ІІІ. РЕГИСТРАЦИЯ НА ЗЕМЕДЕЛСКИ СТОПАНИ</w:t>
      </w:r>
    </w:p>
    <w:p w:rsidR="004B741E" w:rsidRPr="006C1A91" w:rsidRDefault="004B741E" w:rsidP="004B741E">
      <w:pPr>
        <w:ind w:left="1080"/>
        <w:jc w:val="both"/>
        <w:rPr>
          <w:rFonts w:ascii="Times New Roman" w:hAnsi="Times New Roman" w:cs="Times New Roman"/>
          <w:color w:val="00B050"/>
          <w:sz w:val="24"/>
          <w:szCs w:val="24"/>
          <w:highlight w:val="yellow"/>
          <w:lang w:val="bg-BG"/>
        </w:rPr>
      </w:pPr>
    </w:p>
    <w:p w:rsidR="004B741E" w:rsidRPr="005B3E96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През 2019</w:t>
      </w:r>
      <w:r w:rsidR="008522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г. поддържането на Регистъра на земеделските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обхвана следните дейности:</w:t>
      </w:r>
    </w:p>
    <w:p w:rsidR="004B741E" w:rsidRPr="005B3E96" w:rsidRDefault="004B741E" w:rsidP="004B741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Набиране и актуализиране на информация за земеделските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и за дейността им с цел подпомагане на земеделието;</w:t>
      </w:r>
    </w:p>
    <w:p w:rsidR="004B741E" w:rsidRPr="005B3E96" w:rsidRDefault="004B741E" w:rsidP="004B741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>Поддържане на информационна система за регистъра на областно и централно ниво;</w:t>
      </w:r>
    </w:p>
    <w:p w:rsidR="004B741E" w:rsidRPr="005B3E96" w:rsidRDefault="004B741E" w:rsidP="004B741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списък с регистрираните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на Агенцията по заетостта;</w:t>
      </w:r>
    </w:p>
    <w:p w:rsidR="004B741E" w:rsidRPr="005B3E96" w:rsidRDefault="004B741E" w:rsidP="004B741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Във връзка с предоставяне на кредити и субсидии от ДФ „Земеделие”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стопаните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акту</w:t>
      </w:r>
      <w:r>
        <w:rPr>
          <w:rFonts w:ascii="Times New Roman" w:hAnsi="Times New Roman" w:cs="Times New Roman"/>
          <w:sz w:val="24"/>
          <w:szCs w:val="24"/>
          <w:lang w:val="bg-BG"/>
        </w:rPr>
        <w:t>ализират данните си в Регистъра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, като отразяват всяка промяна, попълвайки анкетни формуляри. </w:t>
      </w:r>
    </w:p>
    <w:p w:rsidR="004B741E" w:rsidRPr="005B3E96" w:rsidRDefault="004B741E" w:rsidP="004B741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           През отчетният период бе създадена добра организация от ОДЗ Кърджа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 и общинските служби, относно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уведомяване на всички регистрирани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и в областта за предстоящата кампания по пререгистрация. </w:t>
      </w:r>
    </w:p>
    <w:p w:rsidR="004B741E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Pr="006260A5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10</w:t>
      </w:r>
    </w:p>
    <w:p w:rsidR="004B741E" w:rsidRPr="005B3E96" w:rsidRDefault="004B741E" w:rsidP="004B741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624"/>
        <w:gridCol w:w="1624"/>
        <w:gridCol w:w="1624"/>
        <w:gridCol w:w="1624"/>
        <w:gridCol w:w="1624"/>
      </w:tblGrid>
      <w:tr w:rsidR="004B741E" w:rsidRPr="005B3E96" w:rsidTr="00D67E00">
        <w:tc>
          <w:tcPr>
            <w:tcW w:w="9743" w:type="dxa"/>
            <w:gridSpan w:val="6"/>
          </w:tcPr>
          <w:p w:rsidR="004B741E" w:rsidRPr="00CE48A9" w:rsidRDefault="004B741E" w:rsidP="00D67E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E4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Регистрирани  земеделски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стопани</w:t>
            </w:r>
            <w:r w:rsidRPr="00CE4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в област Кърджали</w:t>
            </w:r>
          </w:p>
          <w:p w:rsidR="004B741E" w:rsidRPr="00CE48A9" w:rsidRDefault="004B741E" w:rsidP="00D67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B741E" w:rsidRPr="005B3E96" w:rsidTr="00D67E00">
        <w:tc>
          <w:tcPr>
            <w:tcW w:w="1623" w:type="dxa"/>
          </w:tcPr>
          <w:p w:rsidR="004B741E" w:rsidRPr="007C6720" w:rsidRDefault="004B741E" w:rsidP="00D6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2014г.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2015г.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2016г.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2017г.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2018г.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2019г.</w:t>
            </w:r>
          </w:p>
        </w:tc>
      </w:tr>
      <w:tr w:rsidR="004B741E" w:rsidRPr="005B3E96" w:rsidTr="00D67E00">
        <w:tc>
          <w:tcPr>
            <w:tcW w:w="1623" w:type="dxa"/>
          </w:tcPr>
          <w:p w:rsidR="004B741E" w:rsidRPr="007C6720" w:rsidRDefault="004B741E" w:rsidP="00D67E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5153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7085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</w:rPr>
              <w:t>7497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8086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8527</w:t>
            </w:r>
          </w:p>
        </w:tc>
        <w:tc>
          <w:tcPr>
            <w:tcW w:w="1624" w:type="dxa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8455</w:t>
            </w:r>
          </w:p>
        </w:tc>
      </w:tr>
    </w:tbl>
    <w:p w:rsidR="004B741E" w:rsidRDefault="004B741E" w:rsidP="004B741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741E" w:rsidRDefault="004B741E" w:rsidP="004B741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В таблица 11 е видно разпределението на регистрираните земеделски стопани на територията на област Кърджали:</w:t>
      </w:r>
    </w:p>
    <w:p w:rsidR="004B741E" w:rsidRDefault="004B741E" w:rsidP="004B741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B741E" w:rsidRPr="006260A5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11</w:t>
      </w:r>
    </w:p>
    <w:p w:rsidR="004B741E" w:rsidRDefault="004B741E" w:rsidP="004B741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781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"/>
        <w:gridCol w:w="2316"/>
        <w:gridCol w:w="2126"/>
        <w:gridCol w:w="4252"/>
      </w:tblGrid>
      <w:tr w:rsidR="004B741E" w:rsidRPr="00282B96" w:rsidTr="00D67E00">
        <w:trPr>
          <w:trHeight w:val="900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41E" w:rsidRPr="00282B96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282B96">
              <w:rPr>
                <w:b/>
                <w:bCs/>
                <w:lang w:val="bg-BG" w:eastAsia="bg-BG"/>
              </w:rPr>
              <w:t xml:space="preserve">№ 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282B96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282B96">
              <w:rPr>
                <w:b/>
                <w:bCs/>
                <w:lang w:val="bg-BG" w:eastAsia="bg-BG"/>
              </w:rPr>
              <w:t>ОСЗ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41E" w:rsidRPr="00282B96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282B96">
              <w:rPr>
                <w:b/>
                <w:bCs/>
                <w:lang w:val="bg-BG" w:eastAsia="bg-BG"/>
              </w:rPr>
              <w:t>Бр. землища на територията на общината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741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282B96">
              <w:rPr>
                <w:b/>
                <w:bCs/>
                <w:lang w:val="bg-BG" w:eastAsia="bg-BG"/>
              </w:rPr>
              <w:t xml:space="preserve">Бр. регистрирани земеделски </w:t>
            </w:r>
            <w:r>
              <w:rPr>
                <w:b/>
                <w:bCs/>
                <w:lang w:val="bg-BG" w:eastAsia="bg-BG"/>
              </w:rPr>
              <w:t>стопан</w:t>
            </w:r>
            <w:r w:rsidRPr="00282B96">
              <w:rPr>
                <w:b/>
                <w:bCs/>
                <w:lang w:val="bg-BG" w:eastAsia="bg-BG"/>
              </w:rPr>
              <w:t xml:space="preserve">и </w:t>
            </w:r>
            <w:r>
              <w:rPr>
                <w:b/>
                <w:bCs/>
                <w:lang w:val="bg-BG" w:eastAsia="bg-BG"/>
              </w:rPr>
              <w:t>Н</w:t>
            </w:r>
            <w:r w:rsidRPr="00282B96">
              <w:rPr>
                <w:b/>
                <w:bCs/>
                <w:lang w:val="bg-BG" w:eastAsia="bg-BG"/>
              </w:rPr>
              <w:t>аредба3/1999</w:t>
            </w:r>
          </w:p>
          <w:p w:rsidR="004B741E" w:rsidRPr="00282B96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 xml:space="preserve"> 2019</w:t>
            </w:r>
            <w:r w:rsidRPr="00282B96">
              <w:rPr>
                <w:b/>
                <w:bCs/>
                <w:lang w:val="bg-BG" w:eastAsia="bg-BG"/>
              </w:rPr>
              <w:t>г.</w:t>
            </w:r>
          </w:p>
        </w:tc>
      </w:tr>
      <w:tr w:rsidR="004B741E" w:rsidRPr="00282B96" w:rsidTr="00D67E0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Ардино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52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519</w:t>
            </w:r>
          </w:p>
        </w:tc>
      </w:tr>
      <w:tr w:rsidR="004B741E" w:rsidRPr="00282B96" w:rsidTr="00D67E0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Джебел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val="bg-BG" w:eastAsia="bg-BG"/>
              </w:rPr>
              <w:t>4</w:t>
            </w:r>
            <w:r w:rsidRPr="007C6720">
              <w:rPr>
                <w:bCs/>
                <w:lang w:eastAsia="bg-BG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567</w:t>
            </w:r>
          </w:p>
        </w:tc>
      </w:tr>
      <w:tr w:rsidR="004B741E" w:rsidRPr="00282B96" w:rsidTr="00D67E0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Кирково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eastAsia="bg-BG"/>
              </w:rPr>
              <w:t>73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1437</w:t>
            </w:r>
          </w:p>
        </w:tc>
      </w:tr>
      <w:tr w:rsidR="004B741E" w:rsidRPr="00282B96" w:rsidTr="00D67E0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Крумовград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eastAsia="bg-BG"/>
              </w:rPr>
              <w:t>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41E" w:rsidRPr="00EB318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1457</w:t>
            </w:r>
          </w:p>
        </w:tc>
      </w:tr>
      <w:tr w:rsidR="004B741E" w:rsidRPr="00282B96" w:rsidTr="00D67E0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Кърджали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val="bg-BG" w:eastAsia="bg-BG"/>
              </w:rPr>
              <w:t>11</w:t>
            </w:r>
            <w:r w:rsidRPr="007C6720">
              <w:rPr>
                <w:bCs/>
                <w:lang w:eastAsia="bg-BG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41E" w:rsidRPr="00EB318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2583</w:t>
            </w:r>
          </w:p>
        </w:tc>
      </w:tr>
      <w:tr w:rsidR="004B741E" w:rsidRPr="00282B96" w:rsidTr="00D67E0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Момчилград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val="bg-BG" w:eastAsia="bg-BG"/>
              </w:rPr>
              <w:t>4</w:t>
            </w:r>
            <w:r w:rsidRPr="007C6720">
              <w:rPr>
                <w:bCs/>
                <w:lang w:eastAsia="bg-BG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41E" w:rsidRPr="00EB318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1255</w:t>
            </w:r>
          </w:p>
        </w:tc>
      </w:tr>
      <w:tr w:rsidR="004B741E" w:rsidRPr="00282B96" w:rsidTr="00D67E0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Черноочене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eastAsia="bg-BG"/>
              </w:rPr>
              <w:t>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41E" w:rsidRPr="00EB318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637</w:t>
            </w:r>
          </w:p>
        </w:tc>
      </w:tr>
      <w:tr w:rsidR="004B741E" w:rsidRPr="00282B96" w:rsidTr="00D67E00">
        <w:trPr>
          <w:trHeight w:val="27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Общо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B741E" w:rsidRPr="007C6720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4</w:t>
            </w:r>
            <w:r w:rsidRPr="007C6720">
              <w:rPr>
                <w:bCs/>
                <w:lang w:eastAsia="bg-BG"/>
              </w:rPr>
              <w:t>7</w:t>
            </w:r>
            <w:r w:rsidRPr="007C6720">
              <w:rPr>
                <w:bCs/>
                <w:lang w:val="bg-BG" w:eastAsia="bg-BG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741E" w:rsidRPr="00EB318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8455</w:t>
            </w:r>
          </w:p>
        </w:tc>
      </w:tr>
    </w:tbl>
    <w:p w:rsidR="004B741E" w:rsidRPr="00282B96" w:rsidRDefault="004B741E" w:rsidP="004B741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741E" w:rsidRDefault="004B741E" w:rsidP="004B741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>В таблица  12 и 13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представена информация за регистрираните тютюнопроизводители по общини в базата на тютюнопроизводители през 2018</w:t>
      </w:r>
      <w:r w:rsidR="008522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 и 2019</w:t>
      </w:r>
      <w:r w:rsidR="008522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г. Видно е намаление 523 бр. тютюнопроизводители. </w:t>
      </w:r>
    </w:p>
    <w:p w:rsidR="00852204" w:rsidRDefault="00852204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852204" w:rsidRDefault="00852204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852204" w:rsidRDefault="00852204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852204" w:rsidRDefault="00852204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852204" w:rsidRDefault="00852204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852204" w:rsidRDefault="00852204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852204" w:rsidRDefault="00852204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Default="00971414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lastRenderedPageBreak/>
        <w:t>Таблица 12</w:t>
      </w:r>
    </w:p>
    <w:p w:rsidR="00852204" w:rsidRDefault="00852204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2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1416"/>
        <w:gridCol w:w="2415"/>
        <w:gridCol w:w="783"/>
        <w:gridCol w:w="1487"/>
        <w:gridCol w:w="2383"/>
      </w:tblGrid>
      <w:tr w:rsidR="004B741E" w:rsidRPr="0092105E" w:rsidTr="00D67E00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</w:t>
            </w: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егистрир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ани тютнопроизводители през 2019</w:t>
            </w:r>
            <w:r w:rsidR="00166410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г. </w:t>
            </w:r>
          </w:p>
        </w:tc>
      </w:tr>
      <w:tr w:rsidR="004B741E" w:rsidRPr="0092105E" w:rsidTr="00D67E00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 базата на тютюнопроизводителите</w:t>
            </w:r>
          </w:p>
        </w:tc>
      </w:tr>
      <w:tr w:rsidR="004B741E" w:rsidRPr="0092105E" w:rsidTr="00D67E00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Област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Брой тютюнопрозводители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Количество 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тютюн по договор/кг/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CC1D22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CC1D22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CC1D22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CC1D22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13310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1574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258695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4211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3471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530514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28724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10340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87140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14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14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7121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6023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928723</w:t>
            </w:r>
          </w:p>
        </w:tc>
      </w:tr>
    </w:tbl>
    <w:p w:rsidR="004B741E" w:rsidRPr="0092105E" w:rsidRDefault="004B741E" w:rsidP="004B741E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B741E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Pr="006260A5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 w:rsidR="0097141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13</w:t>
      </w:r>
    </w:p>
    <w:p w:rsidR="004B741E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2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1416"/>
        <w:gridCol w:w="2415"/>
        <w:gridCol w:w="783"/>
        <w:gridCol w:w="1487"/>
        <w:gridCol w:w="2383"/>
      </w:tblGrid>
      <w:tr w:rsidR="004B741E" w:rsidRPr="0092105E" w:rsidTr="00D67E00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</w:t>
            </w: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егистрирани тют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юнопроизводители през 2018</w:t>
            </w:r>
            <w:r w:rsidR="00166410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г. </w:t>
            </w:r>
          </w:p>
        </w:tc>
      </w:tr>
      <w:tr w:rsidR="004B741E" w:rsidRPr="0092105E" w:rsidTr="00D67E00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 базата на тютюнопроизводителите</w:t>
            </w:r>
          </w:p>
        </w:tc>
      </w:tr>
      <w:tr w:rsidR="004B741E" w:rsidRPr="0092105E" w:rsidTr="00D67E00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Област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Брой тютюнопро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</w:t>
            </w: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Количество 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тютюн по договор/кг/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8440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2886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432770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1046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5027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755030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0485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14960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2105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792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94206D" w:rsidRDefault="004B741E" w:rsidP="00D67E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98910</w:t>
            </w:r>
          </w:p>
        </w:tc>
      </w:tr>
      <w:tr w:rsidR="004B741E" w:rsidRPr="0092105E" w:rsidTr="00D67E00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14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14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1758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9577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8713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41E" w:rsidRPr="00F1411E" w:rsidRDefault="004B741E" w:rsidP="00D67E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1 340 815</w:t>
            </w:r>
          </w:p>
        </w:tc>
      </w:tr>
    </w:tbl>
    <w:p w:rsidR="004B741E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Default="004B741E" w:rsidP="007C581B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2D2324" w:rsidRDefault="00E13F46" w:rsidP="007C581B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</w:rPr>
        <w:t>V.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КАМПАНИЯ ПО РЕГИСТРИРАНЕ НА ЗАЯВЛЕНИЯ ПО СХЕМИ И МЕРКИ ЗА ДИРЕКТИ ПЛАЩАНИЯ ПРЕЗ 201</w:t>
      </w:r>
      <w:r w:rsidR="00EE20CB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9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г.</w:t>
      </w:r>
    </w:p>
    <w:p w:rsidR="00E13F46" w:rsidRPr="002D2324" w:rsidRDefault="00E13F46" w:rsidP="00B472EA">
      <w:pPr>
        <w:ind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Pr="00E61458" w:rsidRDefault="00E13F46" w:rsidP="00E61458">
      <w:pPr>
        <w:tabs>
          <w:tab w:val="left" w:pos="9604"/>
        </w:tabs>
        <w:ind w:right="-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           От гледна точка на  обезпечение на цялостния процес, относно специалисти, техника и консумативи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предстоящата кампания б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е извърш</w:t>
      </w:r>
      <w:r>
        <w:rPr>
          <w:rFonts w:ascii="Times New Roman" w:hAnsi="Times New Roman" w:cs="Times New Roman"/>
          <w:sz w:val="24"/>
          <w:szCs w:val="24"/>
          <w:lang w:val="bg-BG"/>
        </w:rPr>
        <w:t>ено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следното: </w:t>
      </w:r>
    </w:p>
    <w:p w:rsidR="00E13F46" w:rsidRPr="00E61458" w:rsidRDefault="00E13F46" w:rsidP="00E61458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С оглед на добрата организация във всяка общинска служба се определиха  помещенията за регистрация и подаване на заявление за подпомагане;</w:t>
      </w:r>
    </w:p>
    <w:p w:rsidR="00E13F46" w:rsidRPr="00E61458" w:rsidRDefault="00E13F46" w:rsidP="00E61458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Определиха се също така и служителите, които ще участват в цялостния процес;</w:t>
      </w:r>
    </w:p>
    <w:p w:rsidR="00E13F46" w:rsidRPr="00E61458" w:rsidRDefault="00E13F46" w:rsidP="00E61458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извършена профилактика н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аличната техника бе проверена и подготвена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работа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13F46" w:rsidRPr="00E61458" w:rsidRDefault="00E13F46" w:rsidP="00E61458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Осигуриха се необходимите консумативи, съобразно нуждите на всяка ОСЗ;</w:t>
      </w:r>
    </w:p>
    <w:p w:rsidR="00E13F46" w:rsidRDefault="00E13F46" w:rsidP="00E61458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Архивните доси</w:t>
      </w:r>
      <w:r>
        <w:rPr>
          <w:rFonts w:ascii="Times New Roman" w:hAnsi="Times New Roman" w:cs="Times New Roman"/>
          <w:sz w:val="24"/>
          <w:szCs w:val="24"/>
          <w:lang w:val="bg-BG"/>
        </w:rPr>
        <w:t>ета бяха проверени и подготвени;</w:t>
      </w:r>
    </w:p>
    <w:p w:rsidR="00E13F46" w:rsidRDefault="00E13F46" w:rsidP="00562C05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Проведоха се опреснителни курсове за работа с ИСАК, а новоназначените служители преминаха успешно курс на обучение, проведен от представители на ОДЗ.</w:t>
      </w:r>
    </w:p>
    <w:p w:rsidR="00E13F46" w:rsidRDefault="00E13F46" w:rsidP="009C0F7A">
      <w:pPr>
        <w:tabs>
          <w:tab w:val="left" w:pos="9604"/>
        </w:tabs>
        <w:overflowPunct/>
        <w:autoSpaceDE/>
        <w:autoSpaceDN/>
        <w:adjustRightInd/>
        <w:ind w:left="360"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>В област Кърджали Кампания 201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EE20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>г. протече изключително активно. Броят на регистрираните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общо за областта е 15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>481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бр., което е с 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>442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по-малко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спрямо 201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 xml:space="preserve"> В таблица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посочени приетите заявления по общини.</w:t>
      </w:r>
    </w:p>
    <w:p w:rsidR="00E13F46" w:rsidRDefault="00E13F46" w:rsidP="00B155B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</w:t>
      </w:r>
    </w:p>
    <w:p w:rsidR="00E13F46" w:rsidRPr="00B155B8" w:rsidRDefault="00E13F4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141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14</w:t>
      </w:r>
    </w:p>
    <w:p w:rsidR="00E13F46" w:rsidRDefault="00E13F46" w:rsidP="009C0F7A">
      <w:pPr>
        <w:tabs>
          <w:tab w:val="left" w:pos="9604"/>
        </w:tabs>
        <w:overflowPunct/>
        <w:autoSpaceDE/>
        <w:autoSpaceDN/>
        <w:adjustRightInd/>
        <w:ind w:left="360"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3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3969"/>
      </w:tblGrid>
      <w:tr w:rsidR="00E13F46" w:rsidRPr="00693227"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693227" w:rsidRDefault="00E13F46" w:rsidP="00BE6AF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693227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Бр.прие</w:t>
            </w:r>
            <w:r w:rsidR="0097141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 заявления за подпомагане 2018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693227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Бр.прие</w:t>
            </w:r>
            <w:r w:rsidR="0097141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 заявления за подпомагане 2019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 г.</w:t>
            </w:r>
          </w:p>
        </w:tc>
      </w:tr>
      <w:tr w:rsidR="00971414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Pr="00693227" w:rsidRDefault="00971414" w:rsidP="0097141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Ардино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  <w:tr w:rsidR="00971414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Pr="00693227" w:rsidRDefault="00971414" w:rsidP="0097141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Джебел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</w:t>
            </w:r>
          </w:p>
        </w:tc>
      </w:tr>
      <w:tr w:rsidR="00971414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Pr="00693227" w:rsidRDefault="00971414" w:rsidP="0097141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4233</w:t>
            </w:r>
          </w:p>
        </w:tc>
      </w:tr>
      <w:tr w:rsidR="00971414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Pr="00693227" w:rsidRDefault="00971414" w:rsidP="0097141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4069</w:t>
            </w:r>
          </w:p>
        </w:tc>
      </w:tr>
      <w:tr w:rsidR="00971414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Pr="00693227" w:rsidRDefault="00971414" w:rsidP="0097141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2620</w:t>
            </w:r>
          </w:p>
        </w:tc>
      </w:tr>
      <w:tr w:rsidR="00971414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Pr="00693227" w:rsidRDefault="00971414" w:rsidP="0097141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Момчилград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1508</w:t>
            </w:r>
          </w:p>
        </w:tc>
      </w:tr>
      <w:tr w:rsidR="00971414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Pr="00693227" w:rsidRDefault="00971414" w:rsidP="0097141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1623</w:t>
            </w:r>
          </w:p>
        </w:tc>
      </w:tr>
      <w:tr w:rsidR="00971414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Pr="00693227" w:rsidRDefault="00971414" w:rsidP="009714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414" w:rsidRDefault="00971414" w:rsidP="00971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15481</w:t>
            </w:r>
          </w:p>
        </w:tc>
      </w:tr>
    </w:tbl>
    <w:p w:rsidR="00E13F46" w:rsidRPr="005B3E96" w:rsidRDefault="00E13F46" w:rsidP="00E43E94">
      <w:pPr>
        <w:tabs>
          <w:tab w:val="left" w:pos="9604"/>
        </w:tabs>
        <w:overflowPunct/>
        <w:autoSpaceDE/>
        <w:autoSpaceDN/>
        <w:adjustRightInd/>
        <w:ind w:right="-26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13F46" w:rsidRDefault="00E13F46" w:rsidP="00E43E94">
      <w:pPr>
        <w:ind w:left="720"/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E13F46" w:rsidRDefault="00E13F46" w:rsidP="009844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46D86">
        <w:rPr>
          <w:rFonts w:ascii="Times New Roman" w:hAnsi="Times New Roman" w:cs="Times New Roman"/>
          <w:sz w:val="24"/>
          <w:szCs w:val="24"/>
          <w:lang w:val="ru-RU"/>
        </w:rPr>
        <w:t>В таблица 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 представени най-често заявяваните култури по схемата за едино плащане на площ:</w:t>
      </w:r>
    </w:p>
    <w:p w:rsidR="00E13F46" w:rsidRDefault="00E13F4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E13F46" w:rsidRPr="00B155B8" w:rsidRDefault="00F46D8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15</w:t>
      </w:r>
    </w:p>
    <w:p w:rsidR="00E13F46" w:rsidRDefault="00E13F46" w:rsidP="009844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528"/>
        <w:gridCol w:w="1559"/>
        <w:gridCol w:w="1418"/>
      </w:tblGrid>
      <w:tr w:rsidR="00E13F46" w:rsidRPr="003B52B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Схема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Площ 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Заявл. Бр.</w:t>
            </w:r>
          </w:p>
        </w:tc>
      </w:tr>
      <w:tr w:rsidR="00D67E00" w:rsidRPr="003B52B6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overflowPunct/>
              <w:autoSpaceDE/>
              <w:autoSpaceDN/>
              <w:adjustRightInd/>
              <w:textAlignment w:val="auto"/>
              <w:rPr>
                <w:lang w:val="bg-BG" w:eastAsia="bg-BG"/>
              </w:rPr>
            </w:pPr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7E00" w:rsidRDefault="00D67E00" w:rsidP="00D67E00">
            <w:r>
              <w:t>Постоянни или временни пасища за паша на животни (пасища и мери за паша)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12302,82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1873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Ливади за косене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1684,88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1005</w:t>
            </w:r>
          </w:p>
        </w:tc>
      </w:tr>
      <w:tr w:rsidR="00D67E00" w:rsidRPr="003B52B6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7E00" w:rsidRDefault="00D67E00" w:rsidP="00D67E00">
            <w:r>
              <w:t>Постоянно затревени площи поддържани в състояние, годно за паша или косене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1011,19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522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люцерна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834,78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585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мека пшеница-зимна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418,47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103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детелина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362,16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23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ПЛОЩИ С УГАРИ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298,12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115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сливи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239,23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192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слънчоглед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202,08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63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пипер на открито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165,73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208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тютюн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159,46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283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орехи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140,88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116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череши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130,75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115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домати на открито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78,21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66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ечемик-зимен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44,29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20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ябълки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42,68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50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овес - пролетен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39,46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63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Десертни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32,99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28</w:t>
            </w:r>
          </w:p>
        </w:tc>
      </w:tr>
      <w:tr w:rsidR="00D67E00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r>
              <w:t>царевица за зърно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30,92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7E00" w:rsidRDefault="00D67E00" w:rsidP="00D67E00">
            <w:pPr>
              <w:jc w:val="right"/>
            </w:pPr>
            <w:r>
              <w:t>55</w:t>
            </w:r>
          </w:p>
        </w:tc>
      </w:tr>
    </w:tbl>
    <w:p w:rsidR="00E13F46" w:rsidRDefault="00E13F46" w:rsidP="00E43E94">
      <w:pPr>
        <w:ind w:left="720"/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E13F46" w:rsidRDefault="00E13F46" w:rsidP="009844AF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E13F46" w:rsidRPr="00B72AE5" w:rsidRDefault="00E13F46" w:rsidP="00B155B8">
      <w:pPr>
        <w:overflowPunct/>
        <w:autoSpaceDE/>
        <w:autoSpaceDN/>
        <w:adjustRightInd/>
        <w:ind w:left="710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. АГРАРНО РАЗВИТИЕ</w:t>
      </w:r>
    </w:p>
    <w:p w:rsidR="00E13F46" w:rsidRPr="009B1933" w:rsidRDefault="00E13F46" w:rsidP="002F463D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bg-BG"/>
        </w:rPr>
      </w:pPr>
    </w:p>
    <w:p w:rsidR="00E13F46" w:rsidRPr="00844FDE" w:rsidRDefault="00E13F46" w:rsidP="00844FD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изпълнение на Стратегията за развитие на млечното животновъдство и подобряване качеството на суровото краве мляко </w:t>
      </w:r>
      <w:r w:rsidR="00D67E00">
        <w:rPr>
          <w:rFonts w:ascii="Times New Roman" w:hAnsi="Times New Roman" w:cs="Times New Roman"/>
          <w:sz w:val="24"/>
          <w:szCs w:val="24"/>
          <w:lang w:val="bg-BG"/>
        </w:rPr>
        <w:t xml:space="preserve">в област Кърджали към </w:t>
      </w:r>
      <w:r w:rsidR="004844C5">
        <w:rPr>
          <w:rFonts w:ascii="Times New Roman" w:hAnsi="Times New Roman" w:cs="Times New Roman"/>
          <w:sz w:val="24"/>
          <w:szCs w:val="24"/>
          <w:lang w:val="bg-BG"/>
        </w:rPr>
        <w:t xml:space="preserve">31.12.2019 </w:t>
      </w: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добрените изкупвачи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сурово краве, овче, козе и биволско мляко съгласно чл.55д, ал.4 от Закона за прилагане на общата организация на пазарите на земеделски продукти на европейския съюз 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в цялата област </w:t>
      </w:r>
      <w:r w:rsidR="00D67E00">
        <w:rPr>
          <w:rFonts w:ascii="Times New Roman" w:hAnsi="Times New Roman" w:cs="Times New Roman"/>
          <w:sz w:val="24"/>
          <w:szCs w:val="24"/>
          <w:lang w:val="bg-BG"/>
        </w:rPr>
        <w:t>са 9 бр. (5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Ардино, 1 бр. в община Дж</w:t>
      </w:r>
      <w:r>
        <w:rPr>
          <w:rFonts w:ascii="Times New Roman" w:hAnsi="Times New Roman" w:cs="Times New Roman"/>
          <w:sz w:val="24"/>
          <w:szCs w:val="24"/>
          <w:lang w:val="bg-BG"/>
        </w:rPr>
        <w:t>еб</w:t>
      </w:r>
      <w:r w:rsidR="00D67E00">
        <w:rPr>
          <w:rFonts w:ascii="Times New Roman" w:hAnsi="Times New Roman" w:cs="Times New Roman"/>
          <w:sz w:val="24"/>
          <w:szCs w:val="24"/>
          <w:lang w:val="bg-BG"/>
        </w:rPr>
        <w:t>ел, 1 бр. в община Момчилград, 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Кирково и 1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Кърджали), млекопреработвате</w:t>
      </w:r>
      <w:r w:rsidR="00D67E00">
        <w:rPr>
          <w:rFonts w:ascii="Times New Roman" w:hAnsi="Times New Roman" w:cs="Times New Roman"/>
          <w:sz w:val="24"/>
          <w:szCs w:val="24"/>
          <w:lang w:val="bg-BG"/>
        </w:rPr>
        <w:t>лните предприятия в региона са 7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>
        <w:rPr>
          <w:rFonts w:ascii="Times New Roman" w:hAnsi="Times New Roman" w:cs="Times New Roman"/>
          <w:sz w:val="24"/>
          <w:szCs w:val="24"/>
          <w:lang w:val="bg-BG"/>
        </w:rPr>
        <w:t>, а действащите кланиците са четири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E13F46" w:rsidRPr="00844FDE" w:rsidRDefault="00E13F46" w:rsidP="00844FD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4FDE">
        <w:rPr>
          <w:rFonts w:ascii="Times New Roman" w:hAnsi="Times New Roman" w:cs="Times New Roman"/>
          <w:sz w:val="24"/>
          <w:szCs w:val="24"/>
          <w:lang w:val="bg-BG"/>
        </w:rPr>
        <w:lastRenderedPageBreak/>
        <w:t>Сектора на пчеларството се характеризира с повишен интерес от страна на местните пчелари. Създаденото пчеларско дружество “Акация” работи много активно и поддържа тесни контакти с областна дирекция ”Земеделие” гр. Кърджали.</w:t>
      </w:r>
    </w:p>
    <w:p w:rsidR="00E13F46" w:rsidRPr="00303D9F" w:rsidRDefault="00E13F46" w:rsidP="00844FD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В ОДЗ Кърджали се поддържа регистър на елитните и племенни пчелни майки и отводки. До настоящия момент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стопанствата са две – в с. Рът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общ. Джебел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и с. </w:t>
      </w:r>
      <w:r>
        <w:rPr>
          <w:rFonts w:ascii="Times New Roman" w:hAnsi="Times New Roman" w:cs="Times New Roman"/>
          <w:sz w:val="24"/>
          <w:szCs w:val="24"/>
          <w:lang w:val="bg-BG"/>
        </w:rPr>
        <w:t>Седловина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, общ. Кърджали с</w:t>
      </w:r>
      <w:r w:rsidR="00D67E00">
        <w:rPr>
          <w:rFonts w:ascii="Times New Roman" w:hAnsi="Times New Roman" w:cs="Times New Roman"/>
          <w:sz w:val="24"/>
          <w:szCs w:val="24"/>
          <w:lang w:val="bg-BG"/>
        </w:rPr>
        <w:t xml:space="preserve"> общ брой пчелни семейства – 36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Pr="005773CE">
        <w:t xml:space="preserve"> </w:t>
      </w:r>
    </w:p>
    <w:p w:rsidR="00E13F46" w:rsidRPr="00D67E00" w:rsidRDefault="00E13F46" w:rsidP="00194AD0">
      <w:pPr>
        <w:pStyle w:val="TimesNewRoman"/>
        <w:ind w:firstLine="0"/>
        <w:rPr>
          <w:rFonts w:ascii="Times New Roman" w:hAnsi="Times New Roman"/>
          <w:lang w:val="en-AU"/>
        </w:rPr>
      </w:pPr>
      <w:r w:rsidRPr="00B72AE5">
        <w:rPr>
          <w:rStyle w:val="FontStyle19"/>
          <w:rFonts w:ascii="Arial" w:hAnsi="Arial" w:cs="Arial"/>
          <w:sz w:val="24"/>
          <w:szCs w:val="24"/>
        </w:rPr>
        <w:t xml:space="preserve">            </w:t>
      </w:r>
      <w:r w:rsidRPr="00D67E00">
        <w:rPr>
          <w:rStyle w:val="FontStyle19"/>
          <w:sz w:val="24"/>
          <w:szCs w:val="24"/>
        </w:rPr>
        <w:t>В изпълнение на заповед № РД09-78/08.02.2018</w:t>
      </w:r>
      <w:r w:rsidR="00195954"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>г. на министъра на земеделието и храните, със заповед № РД-11-86/12.03.2018</w:t>
      </w:r>
      <w:r w:rsidR="00195954"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 xml:space="preserve">г. </w:t>
      </w:r>
      <w:r w:rsidRPr="00D67E00">
        <w:rPr>
          <w:rFonts w:ascii="Times New Roman" w:hAnsi="Times New Roman"/>
        </w:rPr>
        <w:t xml:space="preserve">на директора на областна дирекция „Земеделие” гр. Кърджали бе назначена областна експертна комисия за провеждане на обследвания на площите със земеделски култури. Комисията </w:t>
      </w:r>
      <w:r w:rsidRPr="00D67E00">
        <w:rPr>
          <w:rStyle w:val="FontStyle19"/>
          <w:sz w:val="24"/>
          <w:szCs w:val="24"/>
        </w:rPr>
        <w:t xml:space="preserve">извърши пълно обследване - на 100% от заетите площи с есенни култури в землищата на с. Странджево, с. Поточница, с. Морянци, с. Котлари, с. Бряговец общ. Крумовград, с.Миладиново, с. Рудина, с. Сестринско </w:t>
      </w:r>
      <w:r w:rsidRPr="00D67E00">
        <w:rPr>
          <w:rStyle w:val="FontStyle11"/>
          <w:b w:val="0"/>
          <w:bCs w:val="0"/>
        </w:rPr>
        <w:t>общ. Кърджали, с.</w:t>
      </w:r>
      <w:r w:rsidR="00195954">
        <w:rPr>
          <w:rStyle w:val="FontStyle11"/>
          <w:b w:val="0"/>
          <w:bCs w:val="0"/>
        </w:rPr>
        <w:t xml:space="preserve"> </w:t>
      </w:r>
      <w:r w:rsidRPr="00D67E00">
        <w:rPr>
          <w:rStyle w:val="FontStyle11"/>
          <w:b w:val="0"/>
          <w:bCs w:val="0"/>
        </w:rPr>
        <w:t xml:space="preserve">Пчеларово, общ. Черноочене. В обследването участие взеха представители на ОДЗ Кърджали, ОДВХ-отдел КХ, ОД на ДФЗ-РТИ и ОСЗ за съответните </w:t>
      </w:r>
      <w:r w:rsidR="00D67E00" w:rsidRPr="00D67E00">
        <w:rPr>
          <w:rStyle w:val="FontStyle11"/>
          <w:b w:val="0"/>
          <w:bCs w:val="0"/>
        </w:rPr>
        <w:t>общини. Обект на обследване са 4</w:t>
      </w:r>
      <w:r w:rsidRPr="00D67E00">
        <w:rPr>
          <w:rStyle w:val="FontStyle11"/>
          <w:b w:val="0"/>
          <w:bCs w:val="0"/>
        </w:rPr>
        <w:t xml:space="preserve"> бр. стопанства по предварително  изготвен поименен списък. За всяко наблюдавано стопанства е попълнен отделен наблюдателен лист. </w:t>
      </w:r>
      <w:r w:rsidRPr="00D67E00">
        <w:rPr>
          <w:rFonts w:ascii="Times New Roman" w:hAnsi="Times New Roman"/>
        </w:rPr>
        <w:t xml:space="preserve">Всички посеви в област Кърджали бяха в добро състояние. </w:t>
      </w:r>
    </w:p>
    <w:p w:rsidR="00E13F46" w:rsidRPr="004C5562" w:rsidRDefault="00E13F46" w:rsidP="00A13E2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730D1">
        <w:rPr>
          <w:rFonts w:ascii="Times New Roman" w:hAnsi="Times New Roman" w:cs="Times New Roman"/>
          <w:lang w:val="bg-BG"/>
        </w:rPr>
        <w:t xml:space="preserve">           </w:t>
      </w:r>
      <w:r>
        <w:rPr>
          <w:sz w:val="24"/>
          <w:szCs w:val="24"/>
          <w:lang w:val="bg-BG"/>
        </w:rPr>
        <w:t xml:space="preserve"> В</w:t>
      </w:r>
      <w:r w:rsidR="00D67E00">
        <w:rPr>
          <w:rFonts w:ascii="Times New Roman" w:hAnsi="Times New Roman" w:cs="Times New Roman"/>
          <w:sz w:val="24"/>
          <w:szCs w:val="24"/>
          <w:lang w:val="bg-BG"/>
        </w:rPr>
        <w:t xml:space="preserve"> периода 01.01.2019</w:t>
      </w:r>
      <w:r w:rsidR="001959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7E00">
        <w:rPr>
          <w:rFonts w:ascii="Times New Roman" w:hAnsi="Times New Roman" w:cs="Times New Roman"/>
          <w:sz w:val="24"/>
          <w:szCs w:val="24"/>
          <w:lang w:val="bg-BG"/>
        </w:rPr>
        <w:t>г. – 31.12.2019</w:t>
      </w:r>
      <w:r w:rsidR="001959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0C523E">
        <w:rPr>
          <w:rFonts w:ascii="Times New Roman" w:hAnsi="Times New Roman" w:cs="Times New Roman"/>
          <w:sz w:val="24"/>
          <w:szCs w:val="24"/>
          <w:lang w:val="bg-BG"/>
        </w:rPr>
        <w:t>бяха постъпили 7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 xml:space="preserve"> броя заявления от земеделски стопани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пропаднали</w:t>
      </w:r>
      <w:r w:rsidRPr="00396E12">
        <w:rPr>
          <w:rFonts w:ascii="Times New Roman" w:hAnsi="Times New Roman" w:cs="Times New Roman"/>
          <w:sz w:val="24"/>
          <w:szCs w:val="24"/>
          <w:lang w:val="bg-BG"/>
        </w:rPr>
        <w:t xml:space="preserve"> на 100% площи засети с </w:t>
      </w:r>
      <w:r w:rsidRPr="00C90819">
        <w:rPr>
          <w:rFonts w:ascii="Times New Roman" w:hAnsi="Times New Roman" w:cs="Times New Roman"/>
          <w:sz w:val="24"/>
          <w:szCs w:val="24"/>
          <w:lang w:val="bg-BG"/>
        </w:rPr>
        <w:t>тютюн, пипер на открито</w:t>
      </w:r>
      <w:r w:rsidR="000C523E">
        <w:rPr>
          <w:rFonts w:ascii="Times New Roman" w:hAnsi="Times New Roman" w:cs="Times New Roman"/>
          <w:sz w:val="24"/>
          <w:szCs w:val="24"/>
          <w:lang w:val="bg-BG"/>
        </w:rPr>
        <w:t xml:space="preserve"> и домати на открито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>вследствие на</w:t>
      </w:r>
      <w:r w:rsidRPr="004C556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благоприятни климатични условия 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„Градушка”.</w:t>
      </w:r>
    </w:p>
    <w:p w:rsidR="00E13F46" w:rsidRPr="000C523E" w:rsidRDefault="00E13F46" w:rsidP="00C9081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90819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0C523E" w:rsidRPr="000C523E">
        <w:rPr>
          <w:rFonts w:ascii="Times New Roman" w:hAnsi="Times New Roman" w:cs="Times New Roman"/>
          <w:sz w:val="24"/>
          <w:szCs w:val="24"/>
          <w:lang w:val="bg-BG"/>
        </w:rPr>
        <w:t xml:space="preserve">Експертна комисия, назначена със заповед </w:t>
      </w:r>
      <w:r w:rsidR="000C523E" w:rsidRPr="000C523E">
        <w:rPr>
          <w:rStyle w:val="FontStyle19"/>
          <w:sz w:val="24"/>
          <w:szCs w:val="24"/>
        </w:rPr>
        <w:t xml:space="preserve">№ </w:t>
      </w:r>
      <w:r w:rsidR="000C523E" w:rsidRPr="000C523E">
        <w:rPr>
          <w:rStyle w:val="FontStyle19"/>
          <w:sz w:val="24"/>
          <w:szCs w:val="24"/>
          <w:lang w:val="bg-BG"/>
        </w:rPr>
        <w:t>РД</w:t>
      </w:r>
      <w:r w:rsidR="000C523E" w:rsidRPr="000C523E">
        <w:rPr>
          <w:rStyle w:val="FontStyle19"/>
          <w:sz w:val="24"/>
          <w:szCs w:val="24"/>
        </w:rPr>
        <w:t>-</w:t>
      </w:r>
      <w:r w:rsidR="000C523E" w:rsidRPr="000C523E">
        <w:rPr>
          <w:rStyle w:val="FontStyle19"/>
          <w:sz w:val="24"/>
          <w:szCs w:val="24"/>
          <w:lang w:val="bg-BG"/>
        </w:rPr>
        <w:t>11-86</w:t>
      </w:r>
      <w:r w:rsidR="000C523E" w:rsidRPr="000C523E">
        <w:rPr>
          <w:rStyle w:val="FontStyle19"/>
          <w:sz w:val="24"/>
          <w:szCs w:val="24"/>
        </w:rPr>
        <w:t>/</w:t>
      </w:r>
      <w:r w:rsidR="000C523E" w:rsidRPr="000C523E">
        <w:rPr>
          <w:rStyle w:val="FontStyle19"/>
          <w:sz w:val="24"/>
          <w:szCs w:val="24"/>
          <w:lang w:val="bg-BG"/>
        </w:rPr>
        <w:t>12</w:t>
      </w:r>
      <w:r w:rsidR="000C523E" w:rsidRPr="000C523E">
        <w:rPr>
          <w:rStyle w:val="FontStyle19"/>
          <w:sz w:val="24"/>
          <w:szCs w:val="24"/>
        </w:rPr>
        <w:t>.0</w:t>
      </w:r>
      <w:r w:rsidR="000C523E" w:rsidRPr="000C523E">
        <w:rPr>
          <w:rStyle w:val="FontStyle19"/>
          <w:sz w:val="24"/>
          <w:szCs w:val="24"/>
          <w:lang w:val="bg-BG"/>
        </w:rPr>
        <w:t>3</w:t>
      </w:r>
      <w:r w:rsidR="000C523E" w:rsidRPr="000C523E">
        <w:rPr>
          <w:rStyle w:val="FontStyle19"/>
          <w:sz w:val="24"/>
          <w:szCs w:val="24"/>
        </w:rPr>
        <w:t>.201</w:t>
      </w:r>
      <w:r w:rsidR="000C523E" w:rsidRPr="000C523E">
        <w:rPr>
          <w:rStyle w:val="FontStyle19"/>
          <w:sz w:val="24"/>
          <w:szCs w:val="24"/>
          <w:lang w:val="bg-BG"/>
        </w:rPr>
        <w:t>8</w:t>
      </w:r>
      <w:r w:rsidR="000C523E" w:rsidRPr="000C523E">
        <w:rPr>
          <w:rStyle w:val="FontStyle19"/>
          <w:sz w:val="24"/>
          <w:szCs w:val="24"/>
        </w:rPr>
        <w:t xml:space="preserve"> г</w:t>
      </w:r>
      <w:r w:rsidR="000C523E" w:rsidRPr="000C523E">
        <w:rPr>
          <w:rStyle w:val="FontStyle19"/>
          <w:sz w:val="24"/>
          <w:szCs w:val="24"/>
          <w:lang w:val="bg-BG"/>
        </w:rPr>
        <w:t>.</w:t>
      </w:r>
      <w:r w:rsidR="000C523E" w:rsidRPr="000C523E">
        <w:rPr>
          <w:rFonts w:ascii="Times New Roman" w:hAnsi="Times New Roman" w:cs="Times New Roman"/>
          <w:sz w:val="24"/>
          <w:szCs w:val="24"/>
          <w:lang w:val="bg-BG"/>
        </w:rPr>
        <w:t xml:space="preserve"> на директора на ОД „Земеделие” гр. Кърджали, извърши проверка на място и констатира пропаднали площи в размер на 2,88 ха. За нанесените щети има издадени 7 броя констативни протоколи с размер на пропадналата площ 2,88 ха.</w:t>
      </w:r>
      <w:r w:rsidRPr="000C523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13F46" w:rsidRPr="00D740FD" w:rsidRDefault="00E13F46" w:rsidP="005730D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="008703C1">
        <w:rPr>
          <w:rFonts w:ascii="Times New Roman" w:hAnsi="Times New Roman" w:cs="Times New Roman"/>
          <w:sz w:val="24"/>
          <w:szCs w:val="24"/>
          <w:lang w:val="bg-BG"/>
        </w:rPr>
        <w:t>На 20 август 2019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година, информацията от констативните протоколи е  обобщена в регистър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по образец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,  ведно с доклад е изпратена в дирекция „Растениевъдство и биологично земеделие ”  на МЗХГ.</w:t>
      </w:r>
    </w:p>
    <w:p w:rsidR="00E13F46" w:rsidRPr="001C5129" w:rsidRDefault="00E13F46" w:rsidP="008F2D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lang w:val="bg-BG"/>
        </w:rPr>
        <w:t xml:space="preserve">          </w:t>
      </w:r>
      <w:r w:rsidRPr="001C5129">
        <w:rPr>
          <w:rFonts w:ascii="Times New Roman" w:hAnsi="Times New Roman" w:cs="Times New Roman"/>
          <w:b/>
          <w:bCs/>
          <w:sz w:val="24"/>
          <w:szCs w:val="24"/>
          <w:lang w:val="bg-BG"/>
        </w:rPr>
        <w:t>С изменение на Закона за прилагане на общата организация на пазарите на земеделски продукти на европейския съюз /ЗПООПЗПЕС/ на областните дирекции са вменени  дейности по:</w:t>
      </w:r>
    </w:p>
    <w:p w:rsidR="00E13F46" w:rsidRDefault="00E13F46" w:rsidP="008F2D75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ежемесечен прием на декларации за места на съхранение на зърно и на налично количество зърно в тях;</w:t>
      </w:r>
    </w:p>
    <w:p w:rsidR="00E13F46" w:rsidRDefault="00E13F46" w:rsidP="008F2D75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 на всяко тримесечие на декларации от земеделските производители за произведеното и наличното зърно по видове, като през периода от юли да септември приемът на декларациите за пшеница е ежемесечен;</w:t>
      </w:r>
    </w:p>
    <w:p w:rsidR="00E13F46" w:rsidRDefault="00E13F46" w:rsidP="008F2D75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на обектите за съхранение на зърно и за лицата и на земеделските стопанства за достоверността  на данните, вписани в декларациите;</w:t>
      </w:r>
    </w:p>
    <w:p w:rsidR="00E13F46" w:rsidRDefault="00E13F46" w:rsidP="008F2D75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вземане на проби за представително окачествяване на реколтата от пшеница, ечемик, слънчоглед и царевица;</w:t>
      </w:r>
    </w:p>
    <w:p w:rsidR="00E13F46" w:rsidRDefault="00E13F46" w:rsidP="008F2D75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водене и съхраняване на бази данни и за лицата, които стопанисват обектите за съхранение на зърно;</w:t>
      </w:r>
    </w:p>
    <w:p w:rsidR="00E13F46" w:rsidRDefault="00E13F46" w:rsidP="008F2D75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съставяне на актове при установяване на нарушения.</w:t>
      </w:r>
    </w:p>
    <w:p w:rsidR="00E13F46" w:rsidRDefault="00E13F46" w:rsidP="003B32C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територията н</w:t>
      </w:r>
      <w:r w:rsidR="008703C1">
        <w:rPr>
          <w:rFonts w:ascii="Times New Roman" w:hAnsi="Times New Roman" w:cs="Times New Roman"/>
          <w:sz w:val="24"/>
          <w:szCs w:val="24"/>
          <w:lang w:val="bg-BG"/>
        </w:rPr>
        <w:t>а област Кърджали към 31.12.2019</w:t>
      </w:r>
      <w:r w:rsidR="001959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46D86">
        <w:rPr>
          <w:rFonts w:ascii="Times New Roman" w:hAnsi="Times New Roman" w:cs="Times New Roman"/>
          <w:sz w:val="24"/>
          <w:szCs w:val="24"/>
          <w:lang w:val="bg-BG"/>
        </w:rPr>
        <w:t>г. има 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броя регистрирани обекти за съхранение на зърно. Е</w:t>
      </w:r>
      <w:r w:rsidR="00F46D86">
        <w:rPr>
          <w:rFonts w:ascii="Times New Roman" w:hAnsi="Times New Roman" w:cs="Times New Roman"/>
          <w:sz w:val="24"/>
          <w:szCs w:val="24"/>
          <w:lang w:val="bg-BG"/>
        </w:rPr>
        <w:t>жемесечно се извършва прием на 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броя декларации по приложение №2, а на тримесечие в това число за м. юли и август декларации по приложение №3 – 5 броя.</w:t>
      </w:r>
    </w:p>
    <w:p w:rsidR="00E13F46" w:rsidRPr="009304CE" w:rsidRDefault="00E13F46" w:rsidP="003B32C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Взети и изпратени са проби за национал</w:t>
      </w:r>
      <w:r w:rsidR="00F46D86">
        <w:rPr>
          <w:rFonts w:ascii="Times New Roman" w:hAnsi="Times New Roman" w:cs="Times New Roman"/>
          <w:sz w:val="24"/>
          <w:szCs w:val="24"/>
          <w:lang w:val="bg-BG"/>
        </w:rPr>
        <w:t>но окачествяване на реколта 2019</w:t>
      </w:r>
      <w:r w:rsidR="001959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г., пшеница – 2 бр., ечемик – 1бр. и слънчоглед 1 бр.</w:t>
      </w:r>
    </w:p>
    <w:p w:rsidR="00E13F46" w:rsidRPr="00C342B0" w:rsidRDefault="00E13F46" w:rsidP="005730D1">
      <w:pPr>
        <w:jc w:val="both"/>
        <w:rPr>
          <w:lang w:val="bg-BG"/>
        </w:rPr>
      </w:pPr>
    </w:p>
    <w:p w:rsidR="00E13F46" w:rsidRPr="00F65E22" w:rsidRDefault="00E13F46" w:rsidP="00336792">
      <w:pPr>
        <w:overflowPunct/>
        <w:autoSpaceDE/>
        <w:autoSpaceDN/>
        <w:adjustRightInd/>
        <w:ind w:left="1080" w:right="-72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2558F5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АГРОСТАТИСТИКА</w:t>
      </w:r>
    </w:p>
    <w:p w:rsidR="00F46D86" w:rsidRDefault="00F46D86" w:rsidP="002558F5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F46D86" w:rsidRDefault="00F46D86" w:rsidP="00F46D86">
      <w:pPr>
        <w:ind w:left="710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Събиране на статистическа информация</w:t>
      </w:r>
    </w:p>
    <w:p w:rsidR="00F46D86" w:rsidRDefault="00F46D86" w:rsidP="00F46D86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съответствие с Програмата за провеждане на статистически изследвания през изминалата 2019 г., отдел „Агростатистика”  проведе следните наблюдения:</w:t>
      </w:r>
    </w:p>
    <w:p w:rsidR="00F46D86" w:rsidRDefault="00F46D86" w:rsidP="00F46D8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F46D86" w:rsidRDefault="00F46D86" w:rsidP="00F46D86">
      <w:pPr>
        <w:numPr>
          <w:ilvl w:val="0"/>
          <w:numId w:val="14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lastRenderedPageBreak/>
        <w:t xml:space="preserve">Ежемесечни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– при тези наблюдения се работи с всички съществуващи на територията на областта предприятия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приключват с годишна анкета: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млекопреработвателни предприятия през 2019 г.;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кланиците за червени меса през 2019 г.</w:t>
      </w:r>
    </w:p>
    <w:p w:rsidR="00F46D86" w:rsidRDefault="00F46D86" w:rsidP="00F46D8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F46D86" w:rsidRDefault="00F46D86" w:rsidP="00F46D86">
      <w:pPr>
        <w:numPr>
          <w:ilvl w:val="0"/>
          <w:numId w:val="16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Продуктови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– тези наблюдения се извършват един път в годината на база извадка, подадена от отдел „Агростатистика” към МЗХ: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Използване и заетост на територията на страната през 2019 г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(БАНСИК)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общо 91 сегмента 27 бр. са с горска заетост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Добиви от земеделски култури – реколта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основната извадка попадат общо 125 бр. стопанства,  в.ч. стопанства анкетирани от други области са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8 бр.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Производство на плодове през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стопанствата за анкетиране общо за областта са 86 бр., в.ч. 6 бр. стопанства са със прекратена дейност.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зеленчуци през 2019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тук за наблюдение попадат общо 62 бр. стопанства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ind w:right="-117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Дейност на предприятията за преработка на плодове и зеленчуци през 2019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 територията на област Кърджали функционират две фирми, занимаващи се с преработвателна дейност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грозде и вино през 2019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наблюдение попадат общо 55 бр. стопанства, от тях 2 бр. стопанства са  прекратили дейността си, а 9 броя са нови за наблюдавания период.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Брой на селскостопанските животни към 01.11.201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основната извадка за наблюдение са попаднали общо </w:t>
      </w:r>
      <w:r>
        <w:rPr>
          <w:rFonts w:ascii="Times New Roman" w:hAnsi="Times New Roman" w:cs="Times New Roman"/>
          <w:color w:val="000000"/>
          <w:sz w:val="24"/>
          <w:szCs w:val="24"/>
        </w:rPr>
        <w:t>551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стопанства, като </w:t>
      </w:r>
      <w:r>
        <w:rPr>
          <w:rFonts w:ascii="Times New Roman" w:hAnsi="Times New Roman" w:cs="Times New Roman"/>
          <w:color w:val="000000"/>
          <w:sz w:val="24"/>
          <w:szCs w:val="24"/>
        </w:rPr>
        <w:t>57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от тях са прекратили дейността си, а 47 броя са нови за стопанска 2018/2019 година.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Птицевъдството в България през 2019 г. –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общо за област Кърджали са анкетирани 76 бр. стопанства, като 3 бр. от тях  са  прекратили дейността си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Пчеларството в България през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-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общо за област Кърджали са анкетирани 41 бр. стопанства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като 9 бр. от тях са прекратили дейността си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6D86" w:rsidRDefault="00F46D86" w:rsidP="00F46D86">
      <w:pPr>
        <w:numPr>
          <w:ilvl w:val="0"/>
          <w:numId w:val="15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Годишна земеделска статистика.</w:t>
      </w:r>
    </w:p>
    <w:p w:rsidR="00F46D86" w:rsidRDefault="00F46D86" w:rsidP="00F46D8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F46D86" w:rsidRDefault="00F46D86" w:rsidP="00F46D86">
      <w:pPr>
        <w:numPr>
          <w:ilvl w:val="0"/>
          <w:numId w:val="16"/>
        </w:numPr>
        <w:tabs>
          <w:tab w:val="left" w:pos="6480"/>
        </w:tabs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Структурни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през периода не се проведоха структурни  анкети.</w:t>
      </w:r>
    </w:p>
    <w:p w:rsidR="00F46D86" w:rsidRDefault="00F46D86" w:rsidP="00F46D86">
      <w:pPr>
        <w:tabs>
          <w:tab w:val="left" w:pos="6480"/>
        </w:tabs>
        <w:ind w:left="8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F46D86" w:rsidRDefault="00F46D86" w:rsidP="00F46D86">
      <w:pPr>
        <w:numPr>
          <w:ilvl w:val="0"/>
          <w:numId w:val="16"/>
        </w:numPr>
        <w:tabs>
          <w:tab w:val="left" w:pos="6480"/>
        </w:tabs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Система на земеделска счетоводна информация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През 2019 г. на територията на област Кърджали са наблюдавани и отчетени 79 стопанства, от които 75 са с едностранно счетоводство и 4 с двустранно. Всяко едно от одобрените земеделски стопанства е посетено от 2 до 4 пъти през годината с цел осъществяване на контрол на качеството на информацията и отразяването й в „Дневник на стопанина”. Попълнени са съответните формуляри, всички данни са въведени в Системата, отчетени са извършените разходи.</w:t>
      </w:r>
    </w:p>
    <w:p w:rsidR="00F46D86" w:rsidRDefault="00F46D86" w:rsidP="00F46D86">
      <w:pPr>
        <w:tabs>
          <w:tab w:val="left" w:pos="648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F46D86" w:rsidRDefault="00F46D86" w:rsidP="00F46D86">
      <w:pPr>
        <w:tabs>
          <w:tab w:val="left" w:pos="648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F46D86" w:rsidRDefault="00F46D86" w:rsidP="00F46D86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</w:t>
      </w:r>
    </w:p>
    <w:p w:rsidR="00E13F46" w:rsidRPr="00A74FA2" w:rsidRDefault="00E13F46" w:rsidP="0049334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ІІ. РЕГИСТРАЦИЯ И КОНТРОЛ НА ЗЕМЕДЕЛСКА И ГОРСКА ТЕХНИКА</w:t>
      </w:r>
    </w:p>
    <w:p w:rsidR="00E13F46" w:rsidRPr="00A74FA2" w:rsidRDefault="00E13F46" w:rsidP="00F4162F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lang w:val="bg-BG" w:eastAsia="bg-BG"/>
        </w:rPr>
      </w:pPr>
      <w:r w:rsidRPr="00A74FA2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lang w:val="bg-BG" w:eastAsia="bg-BG"/>
        </w:rPr>
        <w:t xml:space="preserve">         </w:t>
      </w:r>
    </w:p>
    <w:p w:rsidR="00E13F46" w:rsidRDefault="00E13F46" w:rsidP="00F46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F46D86" w:rsidRDefault="00F46D86" w:rsidP="00F46D86">
      <w:pPr>
        <w:jc w:val="both"/>
        <w:rPr>
          <w:rFonts w:ascii="Times New Roman" w:hAnsi="Times New Roman" w:cs="Times New Roman"/>
        </w:rPr>
      </w:pPr>
    </w:p>
    <w:p w:rsidR="00F46D86" w:rsidRDefault="00F46D86" w:rsidP="00F46D8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</w:rPr>
        <w:t xml:space="preserve">          </w:t>
      </w:r>
      <w:r w:rsidRPr="001C512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изменение на Закона за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регистрация и контрол на земеделска и горска техника от 01.01.2016г. , в правомощията на ОД „Земеделие” гр. Кърджали са делегирани и дейности по:</w:t>
      </w:r>
    </w:p>
    <w:p w:rsidR="00F46D86" w:rsidRDefault="00F46D86" w:rsidP="00F46D86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регистрация, промяна, прекратяване, както и отчисляване на земеделската и горска техника;</w:t>
      </w:r>
    </w:p>
    <w:p w:rsidR="00F46D86" w:rsidRDefault="00F46D86" w:rsidP="00F46D86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за правоспособността на лицата, които работят с техниката, техническото състояние и безопасността на техниката;</w:t>
      </w:r>
    </w:p>
    <w:p w:rsidR="00F46D86" w:rsidRDefault="00F46D86" w:rsidP="00F46D86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извършване на годишни, сезонни и тематични прегледи на регистрираната техника;</w:t>
      </w:r>
    </w:p>
    <w:p w:rsidR="00F46D86" w:rsidRDefault="00F46D86" w:rsidP="00F46D86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издаването и подмяната на свидетелствата за правоспособност на територията на областта.</w:t>
      </w:r>
    </w:p>
    <w:p w:rsidR="00F46D86" w:rsidRPr="00F46D86" w:rsidRDefault="00F46D86" w:rsidP="00F46D86">
      <w:pPr>
        <w:pStyle w:val="TimesNewRoman"/>
        <w:ind w:firstLine="0"/>
        <w:rPr>
          <w:rFonts w:ascii="Times New Roman" w:hAnsi="Times New Roman"/>
        </w:rPr>
      </w:pPr>
      <w:r>
        <w:rPr>
          <w:rFonts w:cs="Arial"/>
        </w:rPr>
        <w:lastRenderedPageBreak/>
        <w:t xml:space="preserve">          </w:t>
      </w:r>
      <w:r w:rsidRPr="00F46D86">
        <w:rPr>
          <w:rFonts w:ascii="Times New Roman" w:hAnsi="Times New Roman"/>
        </w:rPr>
        <w:t>В таблица 16 е показана информация за регистрирана по видове техника на територията на област Кърджали, както също и за периода 01.01.201</w:t>
      </w:r>
      <w:r w:rsidRPr="00F46D86">
        <w:rPr>
          <w:rFonts w:ascii="Times New Roman" w:hAnsi="Times New Roman"/>
          <w:lang w:val="en-US"/>
        </w:rPr>
        <w:t>9</w:t>
      </w:r>
      <w:r w:rsidR="00195954">
        <w:rPr>
          <w:rFonts w:ascii="Times New Roman" w:hAnsi="Times New Roman"/>
        </w:rPr>
        <w:t xml:space="preserve"> </w:t>
      </w:r>
      <w:r w:rsidRPr="00F46D86">
        <w:rPr>
          <w:rFonts w:ascii="Times New Roman" w:hAnsi="Times New Roman"/>
        </w:rPr>
        <w:t>г. - 31.12.201</w:t>
      </w:r>
      <w:r w:rsidRPr="00F46D86">
        <w:rPr>
          <w:rFonts w:ascii="Times New Roman" w:hAnsi="Times New Roman"/>
          <w:lang w:val="en-US"/>
        </w:rPr>
        <w:t>9</w:t>
      </w:r>
      <w:r w:rsidR="00195954">
        <w:rPr>
          <w:rFonts w:ascii="Times New Roman" w:hAnsi="Times New Roman"/>
        </w:rPr>
        <w:t xml:space="preserve"> </w:t>
      </w:r>
      <w:r w:rsidRPr="00F46D86">
        <w:rPr>
          <w:rFonts w:ascii="Times New Roman" w:hAnsi="Times New Roman"/>
        </w:rPr>
        <w:t xml:space="preserve">г. в Областна дирекция „Земеделие” – гр. Кърджали: </w:t>
      </w:r>
    </w:p>
    <w:p w:rsidR="00F46D86" w:rsidRDefault="00F46D86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</w:p>
    <w:p w:rsidR="00F46D86" w:rsidRDefault="00F46D86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46D86" w:rsidRDefault="00F46D86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5D9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Таблица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6</w:t>
      </w:r>
    </w:p>
    <w:p w:rsidR="00F46D86" w:rsidRDefault="00F46D86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9838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678"/>
        <w:gridCol w:w="1397"/>
        <w:gridCol w:w="1397"/>
        <w:gridCol w:w="1397"/>
        <w:gridCol w:w="1266"/>
        <w:gridCol w:w="1283"/>
      </w:tblGrid>
      <w:tr w:rsidR="00F46D86" w:rsidRPr="00233B0A" w:rsidTr="00EA1302">
        <w:trPr>
          <w:trHeight w:val="1035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№</w:t>
            </w:r>
          </w:p>
        </w:tc>
        <w:tc>
          <w:tcPr>
            <w:tcW w:w="2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Вид техника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Регистрирана техника за периода 01.01.201</w:t>
            </w:r>
            <w:r>
              <w:rPr>
                <w:rFonts w:ascii="Times New Roman" w:hAnsi="Times New Roman" w:cs="Times New Roman"/>
                <w:lang w:eastAsia="bg-BG"/>
              </w:rPr>
              <w:t>8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г.-31.</w:t>
            </w:r>
            <w:r w:rsidRPr="006B4D7B">
              <w:rPr>
                <w:rFonts w:ascii="Times New Roman" w:hAnsi="Times New Roman" w:cs="Times New Roman"/>
                <w:lang w:eastAsia="bg-BG"/>
              </w:rPr>
              <w:t>12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.201</w:t>
            </w:r>
            <w:r>
              <w:rPr>
                <w:rFonts w:ascii="Times New Roman" w:hAnsi="Times New Roman" w:cs="Times New Roman"/>
                <w:lang w:eastAsia="bg-BG"/>
              </w:rPr>
              <w:t>8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Регистрирана техника за периода 01.01.201</w:t>
            </w:r>
            <w:r>
              <w:rPr>
                <w:rFonts w:ascii="Times New Roman" w:hAnsi="Times New Roman" w:cs="Times New Roman"/>
                <w:lang w:eastAsia="bg-BG"/>
              </w:rPr>
              <w:t>9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г.-31.12.201</w:t>
            </w:r>
            <w:r>
              <w:rPr>
                <w:rFonts w:ascii="Times New Roman" w:hAnsi="Times New Roman" w:cs="Times New Roman"/>
                <w:lang w:eastAsia="bg-BG"/>
              </w:rPr>
              <w:t>9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Регистрирана техника до 31.</w:t>
            </w:r>
            <w:r w:rsidRPr="006B4D7B">
              <w:rPr>
                <w:rFonts w:ascii="Times New Roman" w:hAnsi="Times New Roman" w:cs="Times New Roman"/>
                <w:lang w:eastAsia="bg-BG"/>
              </w:rPr>
              <w:t>12</w:t>
            </w:r>
            <w:r>
              <w:rPr>
                <w:rFonts w:ascii="Times New Roman" w:hAnsi="Times New Roman" w:cs="Times New Roman"/>
                <w:lang w:val="bg-BG" w:eastAsia="bg-BG"/>
              </w:rPr>
              <w:t>.2019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Отчислена техника до 31.</w:t>
            </w:r>
            <w:r w:rsidRPr="006B4D7B">
              <w:rPr>
                <w:rFonts w:ascii="Times New Roman" w:hAnsi="Times New Roman" w:cs="Times New Roman"/>
                <w:lang w:eastAsia="bg-BG"/>
              </w:rPr>
              <w:t>12</w:t>
            </w:r>
            <w:r>
              <w:rPr>
                <w:rFonts w:ascii="Times New Roman" w:hAnsi="Times New Roman" w:cs="Times New Roman"/>
                <w:lang w:val="bg-BG" w:eastAsia="bg-BG"/>
              </w:rPr>
              <w:t>.2019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Техника</w:t>
            </w:r>
          </w:p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 xml:space="preserve"> с валидна регистрация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2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общо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общо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Верижни трактори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79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Колесни трактори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821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Самоходни шасита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55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Друга самоходна техника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230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Тракторни ремаркета: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183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198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в т.ч.с общо предназначение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178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172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със спец.предназначение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26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Горска техника/група А/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42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Зърнокомбайни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24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10.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Самоходни силажокомбайни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Други самоходни машини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Машини за сеидба и садене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32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Машини за торене и растителна защита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37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Фуражоприбиращи и фуражопреработващи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209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Почвообработващи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1105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Сушилни и други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Зърно и семепочистващи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Машини за поливане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</w:t>
            </w:r>
          </w:p>
        </w:tc>
      </w:tr>
      <w:tr w:rsidR="00F46D86" w:rsidRPr="00233B0A" w:rsidTr="00EA130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Горска техника/група В/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6B4D7B" w:rsidRDefault="00F46D86" w:rsidP="00EA1302">
            <w:pPr>
              <w:jc w:val="center"/>
              <w:rPr>
                <w:rFonts w:ascii="Times New Roman" w:hAnsi="Times New Roman" w:cs="Times New Roman"/>
              </w:rPr>
            </w:pPr>
            <w:r w:rsidRPr="006B4D7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46D86" w:rsidRPr="00D4408F" w:rsidRDefault="00F46D86" w:rsidP="00EA130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354</w:t>
            </w:r>
          </w:p>
        </w:tc>
      </w:tr>
      <w:tr w:rsidR="00F46D86" w:rsidRPr="00233B0A" w:rsidTr="00EA1302">
        <w:trPr>
          <w:trHeight w:val="16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b/>
                <w:bCs/>
                <w:lang w:val="bg-BG" w:eastAsia="bg-BG"/>
              </w:rPr>
              <w:t>Общ брой техника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6B4D7B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eastAsia="bg-BG"/>
              </w:rPr>
            </w:pPr>
            <w:r w:rsidRPr="006B4D7B">
              <w:rPr>
                <w:rFonts w:ascii="Times New Roman" w:hAnsi="Times New Roman" w:cs="Times New Roman"/>
                <w:b/>
                <w:bCs/>
                <w:lang w:eastAsia="bg-BG"/>
              </w:rPr>
              <w:t>252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D4408F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189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D4408F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5072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D4408F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1642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6D86" w:rsidRPr="00D4408F" w:rsidRDefault="00F46D86" w:rsidP="00EA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bookmarkStart w:id="1" w:name="RANGE_H24"/>
            <w:bookmarkEnd w:id="1"/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3430</w:t>
            </w:r>
          </w:p>
        </w:tc>
      </w:tr>
    </w:tbl>
    <w:p w:rsidR="00F46D86" w:rsidRPr="00233B0A" w:rsidRDefault="00F46D86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p w:rsidR="00F46D86" w:rsidRPr="00857C18" w:rsidRDefault="00F46D86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През календарната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1959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г. областна дирекция „Земеделие”  извърши годишен технически преглед на 792 броя земеделска и горска техника, с </w:t>
      </w:r>
      <w:r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брой по-малко в сравнение с 2018</w:t>
      </w:r>
      <w:r w:rsidR="001959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46D86" w:rsidRDefault="00F46D86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46D86" w:rsidRDefault="00F46D86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A74FA2" w:rsidRDefault="00F46D86" w:rsidP="0049334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</w:t>
      </w:r>
      <w:r w:rsidR="00E13F46"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</w:t>
      </w:r>
      <w:r w:rsidR="00E13F46"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="00E13F46"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ІІІ</w:t>
      </w:r>
      <w:r w:rsidR="00E13F46"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. </w:t>
      </w:r>
      <w:r w:rsidR="00E13F46"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ПОЗЕМЛЕНИ ОТНОШЕНИЯ</w:t>
      </w:r>
    </w:p>
    <w:p w:rsidR="00E13F46" w:rsidRPr="0088660D" w:rsidRDefault="00E13F46" w:rsidP="00013B0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bg-BG"/>
        </w:rPr>
      </w:pPr>
    </w:p>
    <w:p w:rsidR="00056DE1" w:rsidRPr="004E5ADD" w:rsidRDefault="00056DE1" w:rsidP="00056DE1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43625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Държавният поземлен фонд към 31.12.2019 г.  по данни на Общинските служби по земеделие е </w:t>
      </w:r>
      <w:r w:rsidRPr="00436256">
        <w:rPr>
          <w:rFonts w:ascii="Times New Roman" w:hAnsi="Times New Roman" w:cs="Times New Roman"/>
          <w:sz w:val="24"/>
          <w:szCs w:val="24"/>
          <w:lang w:val="bg-BG"/>
        </w:rPr>
        <w:t>162161.362 дка. По общини разпределението е както следва: Ардино –7019.090 дка; Джебел – 2413.112 дка; Кирково – 54624.528 дка; Крумовград –70 559.108 дка; Кърджали – 10015.240 дка; Момчилград – 12195.698 дка и Черноочене – 5334.586 дка.</w:t>
      </w:r>
      <w:r w:rsidRPr="004E5A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56DE1" w:rsidRPr="004E5ADD" w:rsidRDefault="00056DE1" w:rsidP="00056DE1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4E5ADD">
        <w:rPr>
          <w:rFonts w:ascii="Times New Roman" w:hAnsi="Times New Roman" w:cs="Times New Roman"/>
          <w:color w:val="000000"/>
          <w:sz w:val="24"/>
          <w:szCs w:val="24"/>
          <w:lang w:val="bg-BG"/>
        </w:rPr>
        <w:t>В изпълнение на Заповед №</w:t>
      </w:r>
      <w:r>
        <w:rPr>
          <w:rFonts w:ascii="Times New Roman" w:hAnsi="Times New Roman" w:cs="Times New Roman"/>
          <w:sz w:val="24"/>
          <w:szCs w:val="24"/>
          <w:lang w:val="bg-BG"/>
        </w:rPr>
        <w:t>РД 46-161/21.03.2019</w:t>
      </w:r>
      <w:r w:rsidRPr="004E5AD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4E5AD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министъра на земеделието, храните и горите и на основание чл. 24а, ал. 1 от ЗСПЗЗ и чл. 47ж, ал. 1 от ППЗСПЗЗ се обявиха две тръжни сесии за отдаване под наем или аренда на свободни земеделски земи от ДПФ на територията на обл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аст Кърджали за стопанската 2019/2020</w:t>
      </w:r>
      <w:r w:rsidRPr="004E5AD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г., както следва: </w:t>
      </w:r>
    </w:p>
    <w:p w:rsidR="00056DE1" w:rsidRPr="004E5ADD" w:rsidRDefault="00056DE1" w:rsidP="00056DE1">
      <w:pPr>
        <w:numPr>
          <w:ilvl w:val="0"/>
          <w:numId w:val="13"/>
        </w:numPr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4E5ADD">
        <w:rPr>
          <w:rFonts w:ascii="Times New Roman" w:hAnsi="Times New Roman" w:cs="Times New Roman"/>
          <w:sz w:val="24"/>
          <w:szCs w:val="24"/>
          <w:lang w:val="bg-BG"/>
        </w:rPr>
        <w:t xml:space="preserve">първа тръжна сесия за дългосрочно отдаване под наем/аренда на земеделски земи от ДПФ за отглеждане на едногодишни полски култури и многогодишни фуражни култури-житни, </w:t>
      </w:r>
      <w:r w:rsidRPr="004E5ADD">
        <w:rPr>
          <w:rFonts w:ascii="Times New Roman" w:hAnsi="Times New Roman" w:cs="Times New Roman"/>
          <w:sz w:val="24"/>
          <w:szCs w:val="24"/>
          <w:lang w:val="bg-BG"/>
        </w:rPr>
        <w:lastRenderedPageBreak/>
        <w:t>бобови и техните смески за срок от пет стопански години и за отглеждане на същес</w:t>
      </w:r>
      <w:r>
        <w:rPr>
          <w:rFonts w:ascii="Times New Roman" w:hAnsi="Times New Roman" w:cs="Times New Roman"/>
          <w:sz w:val="24"/>
          <w:szCs w:val="24"/>
          <w:lang w:val="bg-BG"/>
        </w:rPr>
        <w:t>твуващи трайни насаждения – 2592</w:t>
      </w:r>
      <w:r w:rsidRPr="004E5A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бр. имоти, с обща площ 7528.746 дка, в това число 2588</w:t>
      </w:r>
      <w:r w:rsidRPr="004E5A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бр. имоти, с обща площ 7265.984</w:t>
      </w:r>
      <w:r w:rsidRPr="004E5ADD">
        <w:rPr>
          <w:rFonts w:ascii="Times New Roman" w:hAnsi="Times New Roman" w:cs="Times New Roman"/>
          <w:sz w:val="24"/>
          <w:szCs w:val="24"/>
          <w:lang w:val="bg-BG"/>
        </w:rPr>
        <w:t xml:space="preserve"> дка за отглеждане на едногодишни полски култури и многогодишни фуражни култури-житни, бобови и техните смески за </w:t>
      </w:r>
      <w:r>
        <w:rPr>
          <w:rFonts w:ascii="Times New Roman" w:hAnsi="Times New Roman" w:cs="Times New Roman"/>
          <w:sz w:val="24"/>
          <w:szCs w:val="24"/>
          <w:lang w:val="bg-BG"/>
        </w:rPr>
        <w:t>срок от пет стопански години;</w:t>
      </w:r>
      <w:r w:rsidRPr="00822E8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 бр. имоти за 215.061</w:t>
      </w:r>
      <w:r w:rsidRPr="004E5ADD">
        <w:rPr>
          <w:rFonts w:ascii="Times New Roman" w:hAnsi="Times New Roman" w:cs="Times New Roman"/>
          <w:sz w:val="24"/>
          <w:szCs w:val="24"/>
          <w:lang w:val="bg-BG"/>
        </w:rPr>
        <w:t xml:space="preserve"> дка за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създаване на трайни насаждения и 2 бр. за 47.701 дка за</w:t>
      </w:r>
      <w:r w:rsidRPr="004E5ADD">
        <w:rPr>
          <w:rFonts w:ascii="Times New Roman" w:hAnsi="Times New Roman" w:cs="Times New Roman"/>
          <w:sz w:val="24"/>
          <w:szCs w:val="24"/>
          <w:lang w:val="bg-BG"/>
        </w:rPr>
        <w:t xml:space="preserve"> отглеждане на съществуващи трайни насаждения. </w:t>
      </w:r>
    </w:p>
    <w:p w:rsidR="00056DE1" w:rsidRPr="00822E8C" w:rsidRDefault="00056DE1" w:rsidP="00056DE1">
      <w:pPr>
        <w:numPr>
          <w:ilvl w:val="0"/>
          <w:numId w:val="13"/>
        </w:numPr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822E8C">
        <w:rPr>
          <w:rFonts w:ascii="Times New Roman" w:hAnsi="Times New Roman" w:cs="Times New Roman"/>
          <w:sz w:val="24"/>
          <w:szCs w:val="24"/>
          <w:lang w:val="bg-BG"/>
        </w:rPr>
        <w:t xml:space="preserve">втора тръжна сесия за дългосрочно отдаване под наем/аренда на земеделски земи от ДПФ за отглеждане на едногодишни полски култури и многогодишни фуражни култури-житни, бобови и техните смески за срок от пет стопански години и за отглеждане на съществуващи трайни насаждения – 1931 </w:t>
      </w:r>
      <w:r>
        <w:rPr>
          <w:rFonts w:ascii="Times New Roman" w:hAnsi="Times New Roman" w:cs="Times New Roman"/>
          <w:sz w:val="24"/>
          <w:szCs w:val="24"/>
          <w:lang w:val="bg-BG"/>
        </w:rPr>
        <w:t>бр. имоти, с обща площ 3965.00</w:t>
      </w:r>
      <w:r w:rsidRPr="00822E8C">
        <w:rPr>
          <w:rFonts w:ascii="Times New Roman" w:hAnsi="Times New Roman" w:cs="Times New Roman"/>
          <w:sz w:val="24"/>
          <w:szCs w:val="24"/>
          <w:lang w:val="bg-BG"/>
        </w:rPr>
        <w:t>5 дка, в това число 1928 бр. имоти, с обща площ 3885.276 дка за отглеждане на едногодишни полски култури и многогодишни фуражни култури-житни, бобови и техните смески за срок от пет стопанск</w:t>
      </w:r>
      <w:r>
        <w:rPr>
          <w:rFonts w:ascii="Times New Roman" w:hAnsi="Times New Roman" w:cs="Times New Roman"/>
          <w:sz w:val="24"/>
          <w:szCs w:val="24"/>
          <w:lang w:val="bg-BG"/>
        </w:rPr>
        <w:t>и години; 1 бр. имот за 29.66</w:t>
      </w:r>
      <w:r w:rsidRPr="00822E8C">
        <w:rPr>
          <w:rFonts w:ascii="Times New Roman" w:hAnsi="Times New Roman" w:cs="Times New Roman"/>
          <w:sz w:val="24"/>
          <w:szCs w:val="24"/>
          <w:lang w:val="bg-BG"/>
        </w:rPr>
        <w:t>9 д</w:t>
      </w:r>
      <w:r>
        <w:rPr>
          <w:rFonts w:ascii="Times New Roman" w:hAnsi="Times New Roman" w:cs="Times New Roman"/>
          <w:sz w:val="24"/>
          <w:szCs w:val="24"/>
          <w:lang w:val="bg-BG"/>
        </w:rPr>
        <w:t>ка за създаване и отглеждане на</w:t>
      </w:r>
      <w:r w:rsidRPr="00822E8C">
        <w:rPr>
          <w:rFonts w:ascii="Times New Roman" w:hAnsi="Times New Roman" w:cs="Times New Roman"/>
          <w:sz w:val="24"/>
          <w:szCs w:val="24"/>
          <w:lang w:val="bg-BG"/>
        </w:rPr>
        <w:t xml:space="preserve"> трайни насаждения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22E8C">
        <w:rPr>
          <w:rFonts w:ascii="Times New Roman" w:hAnsi="Times New Roman" w:cs="Times New Roman"/>
          <w:sz w:val="24"/>
          <w:szCs w:val="24"/>
          <w:lang w:val="bg-BG"/>
        </w:rPr>
        <w:t xml:space="preserve">2 бр. имоти за 50.060 дка за отглеждане на съществуващи трайни насаждения. </w:t>
      </w:r>
    </w:p>
    <w:p w:rsidR="00056DE1" w:rsidRPr="00062C05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062C05">
        <w:rPr>
          <w:rFonts w:ascii="Times New Roman" w:hAnsi="Times New Roman" w:cs="Times New Roman"/>
          <w:sz w:val="24"/>
          <w:szCs w:val="24"/>
          <w:lang w:val="bg-BG"/>
        </w:rPr>
        <w:t>Сключените договори от проведените тръжни сесии са 75 бр. за 970 бр. имоти, с обща площ 4633.074 дка, в това число за: отглеждане на едногодишни полски култури и на многогодишни фуражни култури-житни, бобови и техните смески за срок от пет стопански години – 73 бр. договори за 968 бр. имоти, с обща площ 4425.681 дка; за създаване и отглеждане на трайни насаждения – 1 бр. договор с площ 185.395 дка и за отглеждане на съществуващи трайни насаждения – 1 бр. договор за 21.998 дка.</w:t>
      </w:r>
    </w:p>
    <w:p w:rsidR="00056DE1" w:rsidRPr="00C1452D" w:rsidRDefault="00056DE1" w:rsidP="00056DE1">
      <w:pPr>
        <w:shd w:val="clear" w:color="auto" w:fill="FFFFFF"/>
        <w:tabs>
          <w:tab w:val="left" w:leader="dot" w:pos="2131"/>
          <w:tab w:val="left" w:leader="dot" w:pos="7622"/>
          <w:tab w:val="left" w:leader="dot" w:pos="829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52D">
        <w:rPr>
          <w:rFonts w:ascii="Times New Roman" w:hAnsi="Times New Roman" w:cs="Times New Roman"/>
          <w:sz w:val="24"/>
          <w:szCs w:val="24"/>
          <w:lang w:val="bg-BG"/>
        </w:rPr>
        <w:t>На основание чл. 37м, ал. 1 от ЗСПЗЗ, спазени ли са условията на чл. 37и, ал. 4</w:t>
      </w:r>
      <w:r w:rsidRPr="00C1452D">
        <w:rPr>
          <w:rFonts w:ascii="Times New Roman" w:hAnsi="Times New Roman" w:cs="Times New Roman"/>
          <w:sz w:val="24"/>
          <w:szCs w:val="24"/>
        </w:rPr>
        <w:t xml:space="preserve">, </w:t>
      </w:r>
      <w:r w:rsidRPr="00C1452D">
        <w:rPr>
          <w:rFonts w:ascii="Times New Roman" w:hAnsi="Times New Roman" w:cs="Times New Roman"/>
          <w:sz w:val="24"/>
          <w:szCs w:val="24"/>
          <w:lang w:val="bg-BG"/>
        </w:rPr>
        <w:t xml:space="preserve">ал. 7 и ал. 9 от ЗСПЗЗ в изпълнение на Заповед №РД-11-7/21.01.2019 г. на директора на Областна дирекция “Земеделие“ </w:t>
      </w:r>
      <w:r w:rsidRPr="00C1452D">
        <w:rPr>
          <w:rFonts w:cs="Times New Roman"/>
          <w:lang w:val="bg-BG"/>
        </w:rPr>
        <w:t>–</w:t>
      </w:r>
      <w:r w:rsidRPr="00C1452D">
        <w:rPr>
          <w:rFonts w:ascii="Times New Roman" w:hAnsi="Times New Roman" w:cs="Times New Roman"/>
          <w:sz w:val="24"/>
          <w:szCs w:val="24"/>
          <w:lang w:val="bg-BG"/>
        </w:rPr>
        <w:t xml:space="preserve"> Кърджали, комисия извърши проверка на общо 230 бр. сключени договори за наем или аренда на пасища, мери и ливади от държавния поземлен фонд.</w:t>
      </w:r>
      <w:r w:rsidRPr="00C1452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</w:p>
    <w:p w:rsidR="00056DE1" w:rsidRPr="00C1452D" w:rsidRDefault="00056DE1" w:rsidP="00056D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52D">
        <w:rPr>
          <w:rFonts w:ascii="Times New Roman" w:hAnsi="Times New Roman" w:cs="Times New Roman"/>
          <w:sz w:val="24"/>
          <w:szCs w:val="24"/>
          <w:lang w:val="bg-BG"/>
        </w:rPr>
        <w:t>Съгласно разпоредбата на чл. 37м, ал. 2 от ЗСПЗЗ, спазването на изискванията за притежавани брой и вид животни се установява въз основа на изготвена и предоставена от БАБХ официална справка за всички регистрирани към 1 февруари на текущата година в Интегрираната информационна система на БАБХ – животновъдни обекти, собственици или ползватели на регистрирани животновъдни обекти и пасищни селскостопански животни в животновъдните обекти.</w:t>
      </w:r>
    </w:p>
    <w:p w:rsidR="00056DE1" w:rsidRPr="00C1452D" w:rsidRDefault="00056DE1" w:rsidP="00056DE1">
      <w:pPr>
        <w:tabs>
          <w:tab w:val="left" w:pos="851"/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A1302">
        <w:rPr>
          <w:rFonts w:ascii="Times New Roman" w:hAnsi="Times New Roman" w:cs="Times New Roman"/>
          <w:sz w:val="24"/>
          <w:szCs w:val="24"/>
          <w:lang w:val="bg-BG"/>
        </w:rPr>
        <w:t>Комисията провери всички 230 бр. договори за наем или аренда на пасища, мери и ливади от държавния поземлен фонд, сключени със 167 бр. земеделски стопани. Комисията констатира, че общо 164 ползватели отговарят на условията на чл. 37и, ал. 4 от ЗСПЗЗ. За двама от ползвателите е констатирано, че броят на регистрираните пасищни животни в животновъдния обект е намалял, но не с над 30 на сто по-малък от броя им към сключването на договора за аренда, съобразно разпоредбата на чл. 37м, ал. 4, т. 1 от ЗСПЗЗ, поради което договорът не следва да се изменя. За един от ползвателите Реджеб Мехмед, с договор за аренда №14/09.08.2016 г., е констатирано, че в животновъдния обект броят на регистрираните пасищни селскостопански животни е с над 30 на сто по-малък от броя им към сключването на договора за аренда, съгласно чл. 37м, ал. 4, т. 1 от ЗСПЗЗ, поради което съобразно посочената разпоредба се сключи споразумение за изменение на договора, като площта се определи в съответствие с процентното намаление на броя на животните.</w:t>
      </w:r>
    </w:p>
    <w:p w:rsidR="00056DE1" w:rsidRPr="00C1452D" w:rsidRDefault="00056DE1" w:rsidP="00056D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452D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изпълнение на дейностите, свързани с процедурата по реда на чл. 37и от Закона за собствеността и ползването на земеделските земи (ЗСПЗЗ) за отдаване под наем или аренда на пасища, мери и ливади от държавния поземлен фонд със </w:t>
      </w:r>
      <w:r w:rsidRPr="00C1452D">
        <w:rPr>
          <w:rFonts w:ascii="Times New Roman" w:hAnsi="Times New Roman" w:cs="Times New Roman"/>
          <w:caps/>
          <w:sz w:val="24"/>
          <w:szCs w:val="24"/>
          <w:lang w:val="bg-BG"/>
        </w:rPr>
        <w:t>з</w:t>
      </w:r>
      <w:r w:rsidRPr="00C1452D">
        <w:rPr>
          <w:rFonts w:ascii="Times New Roman" w:hAnsi="Times New Roman" w:cs="Times New Roman"/>
          <w:sz w:val="24"/>
          <w:szCs w:val="24"/>
          <w:lang w:val="bg-BG"/>
        </w:rPr>
        <w:t xml:space="preserve">аповед №РД 46-102/28.02.2019 г. на министъра на земеделието, храните и горите са определени свободни пасища, мери и ливади за отдаване под наем или аренда за стопанската 2019-2020 г. </w:t>
      </w:r>
      <w:r w:rsidRPr="00C1452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– общо </w:t>
      </w:r>
      <w:r w:rsidRPr="00C1452D">
        <w:rPr>
          <w:rFonts w:ascii="Times New Roman" w:hAnsi="Times New Roman" w:cs="Times New Roman"/>
          <w:sz w:val="24"/>
          <w:szCs w:val="24"/>
          <w:lang w:val="bg-BG"/>
        </w:rPr>
        <w:t>4664 бр. имоти с обща площ 45 735.767 дка.</w:t>
      </w:r>
    </w:p>
    <w:p w:rsidR="00056DE1" w:rsidRPr="00B7595D" w:rsidRDefault="00056DE1" w:rsidP="00056DE1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 xml:space="preserve">Общият размер на земеделските земи от държавния поземлен фонд </w:t>
      </w:r>
      <w:r w:rsidRPr="00B7595D">
        <w:rPr>
          <w:rFonts w:ascii="Times New Roman" w:hAnsi="Times New Roman" w:cs="Times New Roman"/>
          <w:sz w:val="24"/>
          <w:szCs w:val="24"/>
          <w:lang w:val="x-none" w:eastAsia="bg-BG"/>
        </w:rPr>
        <w:t>(</w:t>
      </w:r>
      <w:r w:rsidRPr="00B7595D">
        <w:rPr>
          <w:rFonts w:ascii="Times New Roman" w:hAnsi="Times New Roman" w:cs="Times New Roman"/>
          <w:sz w:val="24"/>
          <w:szCs w:val="24"/>
          <w:lang w:val="bg-BG" w:eastAsia="bg-BG"/>
        </w:rPr>
        <w:t>ДПФ</w:t>
      </w:r>
      <w:r w:rsidRPr="00B7595D">
        <w:rPr>
          <w:rFonts w:ascii="Times New Roman" w:hAnsi="Times New Roman" w:cs="Times New Roman"/>
          <w:sz w:val="24"/>
          <w:szCs w:val="24"/>
          <w:lang w:val="x-none" w:eastAsia="bg-BG"/>
        </w:rPr>
        <w:t xml:space="preserve">) </w:t>
      </w:r>
      <w:r w:rsidRPr="00B7595D">
        <w:rPr>
          <w:rFonts w:ascii="Times New Roman" w:hAnsi="Times New Roman" w:cs="Times New Roman"/>
          <w:sz w:val="24"/>
          <w:szCs w:val="24"/>
          <w:lang w:val="bg-BG"/>
        </w:rPr>
        <w:t>в област Кърджали към 30.11.2019 г. по данни на общинските служби по земеделие е 166 725.982 дка, в това число по начин на трайно ползване както следва: ниви – 19 414.771 дка; ливади – 2 187.290 дка; пасища – 127 793.721 дка, трайни насаждения – 460.821 дка и други – 16 869.379 дка.</w:t>
      </w:r>
    </w:p>
    <w:p w:rsidR="00056DE1" w:rsidRPr="00B7595D" w:rsidRDefault="00056DE1" w:rsidP="00056DE1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 xml:space="preserve"> Действащите договори към момента на проверката са 485 бр. за 38628.416 дка, в това число за отглеждане на едногодишни полски култури и многогодишни фуражни култури – житни, бобови и техните смески са 163 бр. за 8637.442 дка, за създаване и отглеждане на трайни насаждения и за </w:t>
      </w:r>
      <w:r w:rsidRPr="00B7595D">
        <w:rPr>
          <w:rFonts w:ascii="Times New Roman" w:hAnsi="Times New Roman" w:cs="Times New Roman"/>
          <w:sz w:val="24"/>
          <w:szCs w:val="24"/>
          <w:lang w:val="bg-BG"/>
        </w:rPr>
        <w:lastRenderedPageBreak/>
        <w:t>отглеждане на съществуващи трайни насаждения са 42 бр. за 1998.204 дка, договори сключени по реда на чл. 37и, ал. 12 са 251 бр. за 20211.618 дка и по реда на чл. 37и, ал. 13 са 29 бр. за 7781.152 дка.</w:t>
      </w:r>
    </w:p>
    <w:p w:rsidR="00056DE1" w:rsidRPr="00B7595D" w:rsidRDefault="00056DE1" w:rsidP="00056DE1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Земите</w:t>
      </w:r>
      <w:r w:rsidR="003A3C30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7595D">
        <w:rPr>
          <w:rFonts w:ascii="Times New Roman" w:hAnsi="Times New Roman" w:cs="Times New Roman"/>
          <w:sz w:val="24"/>
          <w:szCs w:val="24"/>
          <w:lang w:val="bg-BG"/>
        </w:rPr>
        <w:t xml:space="preserve"> предоставени със заповеди по реда на чл. 24, ал. 2 и чл. 24б от ЗСПЗЗ, са в размер на 429.945 дка на територията на две общини – Джебел и Кърджали. 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За земите от ДПФ, предоставени за ползване по реда на чл. 24, ал. 2 и чл. 24б от ЗСПЗЗ, комисията по т. 1.1 от методиката е изготвила констативни протоколи по Образец 3 за установяване състоянието и ползването на земите от ДПФ за всяко землище, както следва в: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землище гр. Джебел, община Джебел – нтп: нива и др. вид нива с обща площ 72.394 дка, от тях 9.811 дка се ползват като ливада, а останалите по предназначение;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землище с. Глухар, община Кърджали – нтп: нива 141.345 дка, не се ползват по предназначение 5.676 дка. Овощната градина с площ 4.900 дка е с установено състояние необработена нива;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землище с. Жинзифово, община Кърджали – нтп: нива с площ 20.027 дка. Имотът не се обработва;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землище с. Пепелище, община Кърджали – нтп: овощна градина 130.947 дка от които по предназначение се ползват само 40.850 дка.</w:t>
      </w:r>
    </w:p>
    <w:p w:rsidR="00056DE1" w:rsidRPr="00B7595D" w:rsidRDefault="00056DE1" w:rsidP="00056DE1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Свободните земеделски земи от държавния поземлен фонд са в размер на 127 721.917 дка, в това число както следва: ниви с обща площ 8709.086 дка; ливади с обща площ 1502.282 дка; пасища с обща площ 100601.792 дка; трайни с обща площ 69.418 дка и други с обща площ 16 839.339 дка.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Имотите с нтп ниви са предоставени за ползване под аренда за отглеждане на едногодишни полски култури и многогодишни фуражни култури – житни, бобови и техните смески в по-голямата си част се поддържат по предназначение. Видно от информацията, предоставена от ОСЗ 173 бр. имоти с обща площ 1517.119 дка не се обработват, а се ползват като ливади и пасища.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Имотите с нтп ливади се поддържат и ползват по предназначение за косене и паша на животните.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Имотите с нтп пасище се поддържат от наемателите си, като се почистват от храсти и папрати.</w:t>
      </w:r>
    </w:p>
    <w:p w:rsidR="00056DE1" w:rsidRPr="00B7595D" w:rsidRDefault="00056DE1" w:rsidP="00056DE1">
      <w:pPr>
        <w:widowControl w:val="0"/>
        <w:overflowPunct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B7595D">
        <w:rPr>
          <w:rFonts w:ascii="Times New Roman" w:hAnsi="Times New Roman" w:cs="Times New Roman"/>
          <w:sz w:val="24"/>
          <w:szCs w:val="24"/>
          <w:lang w:val="x-none" w:eastAsia="bg-BG"/>
        </w:rPr>
        <w:t>Проверките се извършват на терен и/или чрез данни от изготвено пространствено сечение между имотите от картата на възстановената собственост (КВС) или от кадастралната карта</w:t>
      </w:r>
      <w:r w:rsidRPr="00B7595D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кадастралните карти </w:t>
      </w:r>
      <w:r w:rsidRPr="00B7595D">
        <w:rPr>
          <w:rFonts w:ascii="Times New Roman" w:hAnsi="Times New Roman" w:cs="Times New Roman"/>
          <w:sz w:val="24"/>
          <w:szCs w:val="24"/>
          <w:lang w:val="x-none" w:eastAsia="bg-BG"/>
        </w:rPr>
        <w:t>(КК</w:t>
      </w:r>
      <w:r w:rsidRPr="00B7595D">
        <w:rPr>
          <w:rFonts w:ascii="Times New Roman" w:hAnsi="Times New Roman" w:cs="Times New Roman"/>
          <w:sz w:val="24"/>
          <w:szCs w:val="24"/>
          <w:lang w:val="bg-BG" w:eastAsia="bg-BG"/>
        </w:rPr>
        <w:t>КР</w:t>
      </w:r>
      <w:r w:rsidRPr="00B7595D">
        <w:rPr>
          <w:rFonts w:ascii="Times New Roman" w:hAnsi="Times New Roman" w:cs="Times New Roman"/>
          <w:sz w:val="24"/>
          <w:szCs w:val="24"/>
          <w:lang w:val="x-none" w:eastAsia="bg-BG"/>
        </w:rPr>
        <w:t>) и парцелите, заявени за подпомагане по схеми и мерки за директни плащания на площ.</w:t>
      </w:r>
    </w:p>
    <w:p w:rsidR="00056DE1" w:rsidRPr="00B7595D" w:rsidRDefault="00056DE1" w:rsidP="00056D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 xml:space="preserve">По данни от общинските служби по земеделие при извършените проверки по реда на чл. 47, ал. 8 от ППЗСПЗЗ към 30.11.2019 г. няма установени неправомерни ползватели на земеделски земи от ДПФ. </w:t>
      </w:r>
    </w:p>
    <w:p w:rsidR="00056DE1" w:rsidRPr="00B7595D" w:rsidRDefault="00056DE1" w:rsidP="00056D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До 10.12.2019 г. са събрани всички вземания по действащите договори за наем/аренда за земите от ДПФ предоставени за ползване.</w:t>
      </w:r>
    </w:p>
    <w:p w:rsidR="00056DE1" w:rsidRPr="00B7595D" w:rsidRDefault="00056DE1" w:rsidP="00056D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По договорите за създаване и отглеждане на трайни насаждения, по които са изтекли гратисните периоди за създаване на трайните насаждения в съответствие с предмета на договора няма установено неизпълнение.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От направените проверки се установи, че част от имотите от ДПФ, които по КККР представляват по нтп: „нива”, „пасища с храсти“, „пасища, мери“ и „ливади“ са се самозалесили и са станали гора по смисъла на чл. 2 от Закона за горите. И</w:t>
      </w:r>
      <w:r w:rsidRPr="00B7595D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мотите с нтп: „други трайни насаждения” и „други селскостопански територии” в действителност са гори в земеделски земи. 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t>Във връзка с горецитираното и на основание заповед №РД 46-305/15.06.2018 г. на министъра на земеделието, храните и горите за възлагане на директора на ОД „Земеделие“ – Кърджали да подава писмено заявление по чл. 83, ал. 9 от Закона за горите до изпълнителния директор на Изпълнителната агенция по горите за включване в горски територии на имотите от ДПФ, за които е констатирано, че представляват негодни за земеделско ползване територии, до Изпълнителната агенция, чрез Регионалната дирекция по горите – Кърджали са подадени 9 бр. заявления за общо 4800 броя имоти, с обща площ 55 126.781 дка, в това число по общини: Ардино – 1617 бр. за 11 131.986 дка; Джебел – 115 бр. за 644.709 дка; Кирково – 1333 бр. за 16 391.898 дка, Крумовград – 1206 бр. за 18 250.733 дка. Кърджали – 162 бр. за 2 693.850 дка; Момчилград – 260 бр. за 4 365.063 дка и Черноочене – 107 бр. за 1 648.542 дка.</w:t>
      </w:r>
    </w:p>
    <w:p w:rsidR="00056DE1" w:rsidRPr="00B7595D" w:rsidRDefault="00056DE1" w:rsidP="00056D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B7595D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</w:t>
      </w:r>
      <w:r w:rsidRPr="00436256">
        <w:rPr>
          <w:rFonts w:ascii="Times New Roman" w:hAnsi="Times New Roman" w:cs="Times New Roman"/>
          <w:sz w:val="24"/>
          <w:szCs w:val="24"/>
          <w:lang w:val="bg-BG"/>
        </w:rPr>
        <w:t>На основание чл. 82, ал. 2, във връзка с чл. 81, ал. 2, т. 1 от Закона за горите има издадени заповеди от министъра на земеделието, храните и горите за промяна предназначението от земеделска в горска територия – частна държавна собственост за 2267 бр. имоти с обща площ 21351.186 дка, собственост на държавен поземлен фонд, за землищата на територията на общините Ардино, Джебел, Кирково, Кърджали, Момчилград и Черноочене.</w:t>
      </w:r>
    </w:p>
    <w:p w:rsidR="00056DE1" w:rsidRPr="008A569F" w:rsidRDefault="00056DE1" w:rsidP="00056DE1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8A569F">
        <w:rPr>
          <w:rFonts w:ascii="Times New Roman" w:hAnsi="Times New Roman" w:cs="Times New Roman"/>
          <w:sz w:val="24"/>
          <w:szCs w:val="24"/>
          <w:lang w:val="bg-BG"/>
        </w:rPr>
        <w:t>На основание чл. 24д, ал. 1, т. 1 от ЗСПЗЗ има издадени 2 бр. заповеди на министъра на земеделието, храните и горите за продажба на земеделски земи, върху които има създадени овощни насаждения за 148.311 дка.</w:t>
      </w:r>
    </w:p>
    <w:p w:rsidR="00056DE1" w:rsidRPr="008A569F" w:rsidRDefault="00056DE1" w:rsidP="00056DE1">
      <w:pPr>
        <w:pStyle w:val="a7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През отчетния период сключените договори за продажба на земя, частна държавна собственост, прилежаща към сгради и съоръжения на организациите по § 12 от ПЗР на ЗСПЗЗ на основание чл. 27, ал. 6 от ЗСПЗЗ при спазване изискванията на чл. 45а, ал. 2 от ППЗСПЗЗ са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1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бр. за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0.608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дка с обща стойност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1450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лева, които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>са платени с поименни компенсационни бонове (ПКБ).</w:t>
      </w:r>
    </w:p>
    <w:p w:rsidR="00056DE1" w:rsidRPr="008A569F" w:rsidRDefault="00056DE1" w:rsidP="00056DE1">
      <w:pPr>
        <w:pStyle w:val="a7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основание 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з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>аповед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на директора на ОД „Земеделие“, във връзка с чл. 27, ал. 8 от ЗСПЗЗ  и чл. 56з, ал. 1 от ППЗСПЗЗ 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проведени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тръжн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са сключени договори за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продажба на 1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0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бр.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>имоти с обща площ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18.513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 xml:space="preserve"> дка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 65396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лв.</w:t>
      </w:r>
      <w:r w:rsidRPr="008A569F">
        <w:rPr>
          <w:rFonts w:ascii="Times New Roman" w:hAnsi="Times New Roman" w:cs="Times New Roman"/>
          <w:color w:val="000000"/>
          <w:sz w:val="24"/>
          <w:szCs w:val="24"/>
        </w:rPr>
        <w:t>, частна държавна собственост, незаети със сгради и съоръжения, бивша собственост на заличени организации по § 12 от ПЗР на ЗСПЗЗ, негодни за земеделско ползване, неподлежащи на възстановяване по ЗСПЗЗ.</w:t>
      </w:r>
    </w:p>
    <w:p w:rsidR="00056DE1" w:rsidRPr="008A569F" w:rsidRDefault="00056DE1" w:rsidP="00056DE1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а периода януари – декември 2019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година Комисията по чл.17, 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л.1, т. 1 от ЗОЗЗ проведе 8 заседания. Разгледани са 16 бр. преписки, от тях 5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за ут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върждаване на площадки за 37.383 дка и 15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за промя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 на предназначението за 40.362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дка. Постановените такси по чл. 30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от ЗОЗЗ са в размер на 36867.69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лв. Влезлите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в сила решения са 16 бр. с площ 49.362 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дка. Заплатените такси по чл. 30, ал. 1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от ЗОЗЗ са в размер на 54687.69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лв.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Преобладаващият вид на обектите разглеждани от Комисията по чл.17, ал. 1, т. 1 от ЗОЗЗ са за жилищно застрояване. </w:t>
      </w:r>
    </w:p>
    <w:p w:rsidR="00056DE1" w:rsidRPr="008A569F" w:rsidRDefault="00056DE1" w:rsidP="00056DE1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основание Наредба за категоризиране на земеделските земи при промяна на тяхното предназначение в ОД “Земеделие” </w:t>
      </w:r>
      <w:r w:rsidRPr="008A569F">
        <w:rPr>
          <w:rFonts w:ascii="Times New Roman" w:hAnsi="Times New Roman" w:cs="Times New Roman"/>
          <w:spacing w:val="40"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Кърджали са издадени 28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броя актове за категоризация.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През годината са издадени 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9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бр. Актове за установяване на административни нарушения по ЗОЗЗ.</w:t>
      </w:r>
    </w:p>
    <w:p w:rsidR="00056DE1" w:rsidRPr="008A569F" w:rsidRDefault="00056DE1" w:rsidP="00056DE1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Във връзка с прилагане на Наредба №19 от 25 октомври 2012 г. за строителство в земеделски земи без промяна на предназначението им (обн. ДВ. бр. 85 от 6 ноември 2012 г.) на основание чл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 11, ал. 1, т. 4 са издадени 9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положителни становища.</w:t>
      </w:r>
    </w:p>
    <w:p w:rsidR="00056DE1" w:rsidRPr="008A569F" w:rsidRDefault="00056DE1" w:rsidP="00056DE1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ОД “Земеделие”</w:t>
      </w:r>
      <w:r w:rsidRPr="008A569F">
        <w:rPr>
          <w:rFonts w:ascii="Times New Roman" w:hAnsi="Times New Roman" w:cs="Times New Roman"/>
          <w:spacing w:val="40"/>
          <w:sz w:val="24"/>
          <w:szCs w:val="24"/>
          <w:lang w:val="bg-BG"/>
        </w:rPr>
        <w:t>–</w:t>
      </w:r>
      <w:r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Кърджали извършва, контрол относно правомерното ползване на възстановената собственост на земи на граждани, на ДПФ, отговаря на постъпили жалби, сигнали и молби в законосъобразния срок, своевременно и точно. Предоставя на гражданите необходимата информация с оглед защита на техните права, информира ги относно възможностите на обжалване в случай на допуснати нарушения.</w:t>
      </w:r>
    </w:p>
    <w:p w:rsidR="00FC1D62" w:rsidRPr="00257063" w:rsidRDefault="00FC1D62" w:rsidP="00FC1D6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A569F">
        <w:rPr>
          <w:rFonts w:ascii="Times New Roman" w:hAnsi="Times New Roman" w:cs="Times New Roman"/>
          <w:sz w:val="24"/>
          <w:szCs w:val="24"/>
          <w:lang w:val="bg-BG"/>
        </w:rPr>
        <w:t>Обслужването на гражданите през отчетната година, свързано с дейностите по ЗСПЗЗ, ЗВСГЗГФ и ЗОЗЗ беше на необходимото ниво и изцяло съобразено с Хартата на клиента.</w:t>
      </w:r>
    </w:p>
    <w:p w:rsidR="00E13F46" w:rsidRDefault="00E13F46" w:rsidP="008D255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03EF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Pr="007D1874">
        <w:rPr>
          <w:rFonts w:ascii="Times New Roman" w:hAnsi="Times New Roman" w:cs="Times New Roman"/>
          <w:color w:val="00B050"/>
          <w:sz w:val="24"/>
          <w:szCs w:val="24"/>
          <w:lang w:val="bg-BG"/>
        </w:rPr>
        <w:t xml:space="preserve"> </w:t>
      </w:r>
      <w:r w:rsidR="008D2555">
        <w:rPr>
          <w:rFonts w:ascii="Times New Roman" w:hAnsi="Times New Roman" w:cs="Times New Roman"/>
          <w:color w:val="00B050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ОД „Земеделие” – гр. Кърджали е второстепенен разпоредител с бюджетни средства, поради което се извършва ежедневно осчетоводяване на разходи банка и каса – като оперативна обработка на внесени депозити за участие в търгове и тяхното възстановяване, изплащане на суми по 37в., ал.3, т.2 от ЗСПЗЗ / бели петна/, изготвяне, начисляване и осчетоводяване на работни заплати и хонорари. Извършва се обработка на отпуски, изготвяне на справки, удостоверения и служебни бележки. Изчисляват се суми по сключени договори за аренда за предходни години и наеми ДПФ от проведени търгове през текущата година. Осъществява се проверка и заверка по дейности на КТИ- приходни квитанции, квитанции по Наредба 49. Водят се досиета на всички 57 служители и се обслужват дейности свързани с обработка на молби за отпуск, болнични листове начисляване на заплати и др. </w:t>
      </w:r>
    </w:p>
    <w:p w:rsidR="00E13F46" w:rsidRDefault="00E13F46" w:rsidP="00DB0BD1">
      <w:pPr>
        <w:ind w:left="284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01.01.</w:t>
      </w:r>
      <w:r w:rsidR="00182565">
        <w:rPr>
          <w:rFonts w:ascii="Times New Roman" w:hAnsi="Times New Roman" w:cs="Times New Roman"/>
          <w:sz w:val="24"/>
          <w:szCs w:val="24"/>
          <w:lang w:val="bg-BG"/>
        </w:rPr>
        <w:t>2019</w:t>
      </w:r>
      <w:r w:rsidR="00BF21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82565">
        <w:rPr>
          <w:rFonts w:ascii="Times New Roman" w:hAnsi="Times New Roman" w:cs="Times New Roman"/>
          <w:sz w:val="24"/>
          <w:szCs w:val="24"/>
          <w:lang w:val="bg-BG"/>
        </w:rPr>
        <w:t>г. - 31.12.2019</w:t>
      </w:r>
      <w:r w:rsidR="00BF21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 постъпилите приходи от нае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м, аренда са в размер на 611341 лв,, с 103341 лв. повече от заложените 508 000лв. за финансовата 2019</w:t>
      </w:r>
      <w:r w:rsidR="00BF21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г. Приходите от държавни такси са в размер на 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20538</w:t>
      </w:r>
      <w:r w:rsidRPr="0068206D">
        <w:rPr>
          <w:rFonts w:ascii="Times New Roman" w:hAnsi="Times New Roman" w:cs="Times New Roman"/>
          <w:sz w:val="24"/>
          <w:szCs w:val="24"/>
          <w:lang w:val="bg-BG"/>
        </w:rPr>
        <w:t xml:space="preserve"> лв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., което представлява 23,34 % или с 67462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лв. по-малко от заложените. Като основна причина за намаляване на таксите са </w:t>
      </w:r>
      <w:r w:rsidRPr="0068206D">
        <w:rPr>
          <w:rFonts w:ascii="Times New Roman" w:hAnsi="Times New Roman" w:cs="Times New Roman"/>
          <w:sz w:val="24"/>
          <w:szCs w:val="24"/>
          <w:lang w:val="bg-BG"/>
        </w:rPr>
        <w:t>издадени заповеди по реда на § 33, ал.2 от Преходните и Заключителни разпоредби към Закона за изменение и допълнение на Закона за кадастъра и имотния регистър</w:t>
      </w:r>
      <w:r w:rsidRPr="0068206D">
        <w:rPr>
          <w:rFonts w:ascii="Times New Roman" w:hAnsi="Times New Roman" w:cs="Times New Roman"/>
          <w:sz w:val="24"/>
          <w:szCs w:val="24"/>
        </w:rPr>
        <w:t xml:space="preserve"> (</w:t>
      </w:r>
      <w:r w:rsidRPr="0068206D">
        <w:rPr>
          <w:rFonts w:ascii="Times New Roman" w:hAnsi="Times New Roman" w:cs="Times New Roman"/>
          <w:sz w:val="24"/>
          <w:szCs w:val="24"/>
          <w:lang w:val="bg-BG"/>
        </w:rPr>
        <w:t xml:space="preserve"> ПЗР към ЗИД на ЗКИР</w:t>
      </w:r>
      <w:r w:rsidRPr="0068206D">
        <w:rPr>
          <w:rFonts w:ascii="Times New Roman" w:hAnsi="Times New Roman" w:cs="Times New Roman"/>
          <w:sz w:val="24"/>
          <w:szCs w:val="24"/>
        </w:rPr>
        <w:t>)</w:t>
      </w:r>
      <w:r w:rsidRPr="0068206D">
        <w:rPr>
          <w:rFonts w:ascii="Times New Roman" w:hAnsi="Times New Roman" w:cs="Times New Roman"/>
          <w:sz w:val="24"/>
          <w:szCs w:val="24"/>
          <w:lang w:val="bg-BG"/>
        </w:rPr>
        <w:t xml:space="preserve"> за прекратяване на дейността на ОСЗ по поддържане на картата на възстановена собственост (КВС)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. Към 31.12.2019</w:t>
      </w:r>
      <w:r w:rsidR="00BF21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 на територията на област Кърдж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али има издадени заповеди за 439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бр. зем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 xml:space="preserve">лища, към същия период 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lastRenderedPageBreak/>
        <w:t>остават 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бр. землища, за които предстои издаване на заповеди за прекратяване на дейността на ОСЗ по поддръжка на КВС и преминаването на поддръжката към АГКК.  </w:t>
      </w:r>
    </w:p>
    <w:p w:rsidR="00E13F46" w:rsidRDefault="00E13F46" w:rsidP="006A4115">
      <w:pPr>
        <w:ind w:left="284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Юрисконсултът в ОД „Земеделие” гр. Кърджали освен процесуалното представителство на Министъра на земеделието, храните и горите и на директора на ОД „Земеделие”, изготвя становища по жалби, молби и сигнали, подпомага и дейността на ГД „АР”, като изготвя становища по преписки, свързани със стопанисването на имотите от ДПФ и имоти от стопански дворове, предложения до МЗХГ за анексиране на договори за аренда и анекси по тях. Прави искания до службата по вписване за прекратяване на договори за аренда на имоти от ДПФ при не погасяване на задълженията по тях и искания до съда за издаване на заповед по реда на чл. 417 от ГПК с цел принудително събиране на сумите, подават молби до съдия изпълнител за образуване на изпълнителни производства за събиране на сумите от некоректни платци, участват в тръжни процедури по отдаване под наем и аренда на имотите от ДПФ като член на комисии, изготвят протоколи за резултатите от търга и договори.</w:t>
      </w:r>
      <w:r w:rsidR="001825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установяване на ползване без правно основание на имоти от ДПФ, те провеждат административното производство до издаване на индивидуален административен акт по реда на чл. 34, ал. 8 от ЗСПЗЗ за изземване на имота от неправомерния ползвател. Изготвя становища във връзка с издаването на наказателни постановления в изпълнение на ЗРКЗГТ и </w:t>
      </w:r>
      <w:r w:rsidRPr="0016566E">
        <w:rPr>
          <w:rFonts w:ascii="Times New Roman" w:hAnsi="Times New Roman" w:cs="Times New Roman"/>
          <w:sz w:val="24"/>
          <w:szCs w:val="24"/>
          <w:lang w:val="bg-BG"/>
        </w:rPr>
        <w:t>Закона за прилагане на общата организация на пазарите на земеделски продукти на европейския съюз /ЗПООПЗПЕС/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13F46" w:rsidRPr="0016566E" w:rsidRDefault="00E13F46" w:rsidP="006A4115">
      <w:pPr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От началото на 2019</w:t>
      </w:r>
      <w:r w:rsidR="00BF21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г. до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31.12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.2019</w:t>
      </w:r>
      <w:r w:rsidR="00BF21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 общият брой на постъпилите преписки</w:t>
      </w:r>
      <w:r>
        <w:rPr>
          <w:rFonts w:ascii="Times New Roman" w:hAnsi="Times New Roman" w:cs="Times New Roman"/>
          <w:sz w:val="24"/>
          <w:szCs w:val="24"/>
        </w:rPr>
        <w:t xml:space="preserve">, писма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отговорите по тях, регистрирани в деловодната система на в ОД 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„Земеделие” гр. Кърджали е  11590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</w:p>
    <w:p w:rsidR="00E13F46" w:rsidRPr="006A4115" w:rsidRDefault="00E13F46" w:rsidP="006A4115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highlight w:val="yellow"/>
          <w:lang w:val="bg-BG"/>
        </w:rPr>
      </w:pPr>
    </w:p>
    <w:p w:rsidR="00E13F46" w:rsidRDefault="00E13F46" w:rsidP="005773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3F46" w:rsidRPr="008C0563" w:rsidRDefault="00E13F46" w:rsidP="005773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3F46" w:rsidRPr="00424D4F" w:rsidRDefault="00E13F46" w:rsidP="002F463D">
      <w:pPr>
        <w:ind w:left="-90" w:firstLine="81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424D4F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ПРЕДЛОЖЕНИЯ И ИДЕИ ЗА ПОДОБРЯВАНЕ РАБОТАТА НА ОД ”ЗЕМЕДЕЛИЕ” КЪРДЖАЛИ</w:t>
      </w:r>
    </w:p>
    <w:p w:rsidR="00E13F46" w:rsidRPr="00424D4F" w:rsidRDefault="00E13F46" w:rsidP="002F463D">
      <w:pPr>
        <w:ind w:left="-90" w:firstLine="8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E13F46" w:rsidRDefault="00E13F46" w:rsidP="00D967C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 оглед утвърждаване на областна дирекция “Земеделие” гр. Кърджали като водеща структура в областта на земеделието в процеса на работа се стремим да популяризираме дейността на дирекцията и предлаганите услуги. Целта е повишаване качеството на изпълнение, прозрачност и отговорност в работата, максимална информираност на населението за възможностите, които се откриват в тази област, за ползите, ефективността и преструктурирането на отделни стопанства, чрез засилен контрол да се сведат до минимум грешките и действията с нежелани последици. Това ще постигнем, като:</w:t>
      </w:r>
    </w:p>
    <w:p w:rsidR="00E13F46" w:rsidRPr="00424D4F" w:rsidRDefault="00E13F46" w:rsidP="00D967C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се з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асил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ролята на експертите в областната дирекция по информационно – методичните и консултантски дейности по прилагане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схемите и 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мерките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 директни плащания и 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ПРСР;</w:t>
      </w:r>
    </w:p>
    <w:p w:rsidR="00E13F46" w:rsidRPr="00424D4F" w:rsidRDefault="00E13F46" w:rsidP="00D967C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се п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оддържа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по-тясна информационно-комуникативна дейност между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пециализираната администрация в областната дирекция и общинските служби в областта;</w:t>
      </w:r>
    </w:p>
    <w:p w:rsidR="00E13F46" w:rsidRPr="00424D4F" w:rsidRDefault="00E13F46" w:rsidP="00D967C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се разшири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ролята на общинските служби по земеделие в съвместната работа с местната власт;</w:t>
      </w:r>
    </w:p>
    <w:p w:rsidR="00E13F46" w:rsidRPr="00424D4F" w:rsidRDefault="00E13F46" w:rsidP="00D967C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се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подо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бр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върху ползването на имоти от ДПФ;</w:t>
      </w:r>
    </w:p>
    <w:p w:rsidR="00E13F46" w:rsidRPr="00424D4F" w:rsidRDefault="00E13F46" w:rsidP="00D967C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областната дирекция повишават нивото на своите компетентности. </w:t>
      </w:r>
    </w:p>
    <w:p w:rsidR="00E13F46" w:rsidRPr="00424D4F" w:rsidRDefault="00E13F46" w:rsidP="00D967C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4D4F">
        <w:rPr>
          <w:rFonts w:ascii="Times New Roman" w:hAnsi="Times New Roman" w:cs="Times New Roman"/>
          <w:sz w:val="24"/>
          <w:szCs w:val="24"/>
          <w:lang w:val="bg-BG"/>
        </w:rPr>
        <w:t>През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FC1D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 xml:space="preserve"> год. развитието на земеделския отрасъл продълж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ава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условията на реалното ни членство в ЕС. 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Наред с финансова подкрепа, която получ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ав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ат българските земеделски производители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 xml:space="preserve"> като директни плащания, пазарна подкрепа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и средства за развитие на селските райони, тяхното интегриране в европейския пазар изисква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ше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и продължава да изисква 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не малко усилия за спазването на добрите и модерни европейски практики, норми и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стандарти за производството на висококачествена, безопасна за потребителите и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конкурентноспособна продукция.</w:t>
      </w:r>
    </w:p>
    <w:p w:rsidR="00E13F46" w:rsidRDefault="00E13F46" w:rsidP="002F463D">
      <w:pPr>
        <w:ind w:left="7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C1D62" w:rsidRDefault="00FC1D62" w:rsidP="002F463D">
      <w:pPr>
        <w:ind w:left="7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C1D62" w:rsidRPr="00424D4F" w:rsidRDefault="00FC1D62" w:rsidP="002F463D">
      <w:pPr>
        <w:ind w:left="7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13F46" w:rsidRDefault="00E13F46" w:rsidP="002F463D">
      <w:pPr>
        <w:ind w:left="7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424D4F" w:rsidRDefault="00E13F46" w:rsidP="002F463D">
      <w:pPr>
        <w:ind w:left="7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24D4F"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 ОД ”ЗЕМЕДЕЛИЕ” КЪРДЖАЛИ…………………………</w:t>
      </w:r>
    </w:p>
    <w:p w:rsidR="00E13F46" w:rsidRPr="002F463D" w:rsidRDefault="00E13F46" w:rsidP="00BC6ED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                                                                                                   </w:t>
      </w:r>
      <w:r w:rsidRPr="00424D4F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Йорданка Гочева</w:t>
      </w:r>
      <w:r w:rsidRPr="00424D4F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</w:p>
    <w:sectPr w:rsidR="00E13F46" w:rsidRPr="002F463D" w:rsidSect="00F203FE">
      <w:footerReference w:type="default" r:id="rId16"/>
      <w:headerReference w:type="first" r:id="rId17"/>
      <w:footerReference w:type="first" r:id="rId18"/>
      <w:pgSz w:w="11907" w:h="16840" w:code="9"/>
      <w:pgMar w:top="990" w:right="567" w:bottom="851" w:left="993" w:header="850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57" w:rsidRDefault="00412957">
      <w:r>
        <w:separator/>
      </w:r>
    </w:p>
  </w:endnote>
  <w:endnote w:type="continuationSeparator" w:id="0">
    <w:p w:rsidR="00412957" w:rsidRDefault="0041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02" w:rsidRDefault="00EA1302" w:rsidP="00973DCE">
    <w:pPr>
      <w:pStyle w:val="a5"/>
      <w:framePr w:wrap="auto" w:vAnchor="text" w:hAnchor="margin" w:xAlign="center" w:y="1"/>
      <w:rPr>
        <w:rStyle w:val="af5"/>
        <w:rFonts w:cs="Arial"/>
      </w:rPr>
    </w:pPr>
    <w:r>
      <w:rPr>
        <w:rStyle w:val="af5"/>
        <w:rFonts w:cs="Arial"/>
      </w:rPr>
      <w:fldChar w:fldCharType="begin"/>
    </w:r>
    <w:r>
      <w:rPr>
        <w:rStyle w:val="af5"/>
        <w:rFonts w:cs="Arial"/>
      </w:rPr>
      <w:instrText xml:space="preserve">PAGE  </w:instrText>
    </w:r>
    <w:r>
      <w:rPr>
        <w:rStyle w:val="af5"/>
        <w:rFonts w:cs="Arial"/>
      </w:rPr>
      <w:fldChar w:fldCharType="separate"/>
    </w:r>
    <w:r w:rsidR="00013344">
      <w:rPr>
        <w:rStyle w:val="af5"/>
        <w:rFonts w:cs="Arial"/>
        <w:noProof/>
      </w:rPr>
      <w:t>2</w:t>
    </w:r>
    <w:r>
      <w:rPr>
        <w:rStyle w:val="af5"/>
        <w:rFonts w:cs="Arial"/>
      </w:rPr>
      <w:fldChar w:fldCharType="end"/>
    </w:r>
  </w:p>
  <w:p w:rsidR="00EA1302" w:rsidRDefault="00EA1302">
    <w:pPr>
      <w:pStyle w:val="a5"/>
      <w:jc w:val="right"/>
    </w:pPr>
  </w:p>
  <w:p w:rsidR="00EA1302" w:rsidRDefault="00EA13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02" w:rsidRDefault="00EA1302" w:rsidP="0099677F">
    <w:pPr>
      <w:jc w:val="center"/>
      <w:rPr>
        <w:sz w:val="18"/>
        <w:szCs w:val="18"/>
      </w:rPr>
    </w:pPr>
    <w:r>
      <w:rPr>
        <w:sz w:val="18"/>
        <w:szCs w:val="18"/>
        <w:lang w:val="bg-BG"/>
      </w:rPr>
      <w:t xml:space="preserve">__________________________________________________________________________________________ </w:t>
    </w:r>
  </w:p>
  <w:p w:rsidR="00EA1302" w:rsidRPr="003E2E98" w:rsidRDefault="00EA1302" w:rsidP="0099677F">
    <w:pPr>
      <w:jc w:val="center"/>
      <w:rPr>
        <w:sz w:val="18"/>
        <w:szCs w:val="18"/>
        <w:lang w:val="ru-RU"/>
      </w:rPr>
    </w:pPr>
    <w:r>
      <w:rPr>
        <w:sz w:val="18"/>
        <w:szCs w:val="18"/>
        <w:lang w:val="bg-BG"/>
      </w:rPr>
      <w:t xml:space="preserve">гр. </w:t>
    </w:r>
    <w:r w:rsidRPr="000B03D9">
      <w:rPr>
        <w:sz w:val="18"/>
        <w:szCs w:val="18"/>
        <w:lang w:val="bg-BG"/>
      </w:rPr>
      <w:t>К</w:t>
    </w:r>
    <w:r>
      <w:rPr>
        <w:sz w:val="18"/>
        <w:szCs w:val="18"/>
        <w:lang w:val="bg-BG"/>
      </w:rPr>
      <w:t>ърджали 6600</w:t>
    </w:r>
    <w:r w:rsidRPr="000B03D9">
      <w:rPr>
        <w:sz w:val="18"/>
        <w:szCs w:val="18"/>
        <w:lang w:val="bg-BG"/>
      </w:rPr>
      <w:t>,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бул.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”Бълга</w:t>
    </w:r>
    <w:r>
      <w:rPr>
        <w:sz w:val="18"/>
        <w:szCs w:val="18"/>
        <w:lang w:val="bg-BG"/>
      </w:rPr>
      <w:t>рия” №74, ПК 19</w:t>
    </w:r>
    <w:r w:rsidRPr="003E2E98">
      <w:rPr>
        <w:sz w:val="18"/>
        <w:szCs w:val="18"/>
        <w:lang w:val="ru-RU"/>
      </w:rPr>
      <w:t xml:space="preserve">, </w:t>
    </w:r>
    <w:r>
      <w:rPr>
        <w:sz w:val="18"/>
        <w:szCs w:val="18"/>
        <w:lang w:val="bg-BG"/>
      </w:rPr>
      <w:t>тел./факс 0361-6 2976 /6 2996 /6 5603</w:t>
    </w:r>
    <w:r w:rsidRPr="000B03D9">
      <w:rPr>
        <w:sz w:val="18"/>
        <w:szCs w:val="18"/>
        <w:lang w:val="bg-BG"/>
      </w:rPr>
      <w:t xml:space="preserve"> </w:t>
    </w:r>
  </w:p>
  <w:p w:rsidR="00EA1302" w:rsidRPr="00025093" w:rsidRDefault="00EA1302" w:rsidP="0099677F">
    <w:pPr>
      <w:jc w:val="center"/>
      <w:rPr>
        <w:sz w:val="18"/>
        <w:szCs w:val="18"/>
        <w:lang w:val="bg-BG"/>
      </w:rPr>
    </w:pPr>
    <w:r>
      <w:rPr>
        <w:sz w:val="18"/>
        <w:szCs w:val="18"/>
      </w:rPr>
      <w:t>E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0B03D9">
      <w:rPr>
        <w:sz w:val="18"/>
        <w:szCs w:val="18"/>
        <w:lang w:val="bg-BG"/>
      </w:rPr>
      <w:t xml:space="preserve">: </w:t>
    </w:r>
    <w:r w:rsidRPr="007B50E9">
      <w:rPr>
        <w:sz w:val="18"/>
        <w:szCs w:val="18"/>
      </w:rPr>
      <w:t>Delovod</w:t>
    </w:r>
    <w:r w:rsidRPr="00025093">
      <w:rPr>
        <w:sz w:val="18"/>
        <w:szCs w:val="18"/>
        <w:lang w:val="bg-BG"/>
      </w:rPr>
      <w:t>-</w:t>
    </w:r>
    <w:r w:rsidRPr="007B50E9">
      <w:rPr>
        <w:sz w:val="18"/>
        <w:szCs w:val="18"/>
      </w:rPr>
      <w:t>ODZ</w:t>
    </w:r>
    <w:r w:rsidRPr="00025093">
      <w:rPr>
        <w:sz w:val="18"/>
        <w:szCs w:val="18"/>
        <w:lang w:val="bg-BG"/>
      </w:rPr>
      <w:t>_</w:t>
    </w:r>
    <w:r w:rsidRPr="007B50E9">
      <w:rPr>
        <w:sz w:val="18"/>
        <w:szCs w:val="18"/>
      </w:rPr>
      <w:t>Kj</w:t>
    </w:r>
    <w:r w:rsidRPr="00025093">
      <w:rPr>
        <w:sz w:val="18"/>
        <w:szCs w:val="18"/>
        <w:lang w:val="bg-BG"/>
      </w:rPr>
      <w:t>@</w:t>
    </w:r>
    <w:r w:rsidRPr="007B50E9">
      <w:rPr>
        <w:sz w:val="18"/>
        <w:szCs w:val="18"/>
      </w:rPr>
      <w:t>mbox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contact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bg</w:t>
    </w:r>
  </w:p>
  <w:p w:rsidR="00EA1302" w:rsidRPr="00376F5E" w:rsidRDefault="00EA1302" w:rsidP="001F05CE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57" w:rsidRDefault="00412957">
      <w:r>
        <w:separator/>
      </w:r>
    </w:p>
  </w:footnote>
  <w:footnote w:type="continuationSeparator" w:id="0">
    <w:p w:rsidR="00412957" w:rsidRDefault="0041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02" w:rsidRPr="005B69F7" w:rsidRDefault="0096473A" w:rsidP="005B69F7">
    <w:pPr>
      <w:pStyle w:val="2"/>
      <w:rPr>
        <w:rStyle w:val="aa"/>
        <w:rFonts w:cs="Cambria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1302" w:rsidRPr="005B69F7" w:rsidRDefault="0096473A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8890" t="10160" r="1016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A835F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A1302"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EA1302" w:rsidRPr="004A4785" w:rsidRDefault="00EA130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 w:cs="Helen Bg Condensed"/>
        <w:spacing w:val="40"/>
        <w:sz w:val="26"/>
        <w:szCs w:val="26"/>
      </w:rPr>
      <w:t>Министерство на земеделието,</w:t>
    </w:r>
    <w:r w:rsidRPr="004A4785">
      <w:rPr>
        <w:rFonts w:ascii="Helen Bg Condensed" w:hAnsi="Helen Bg Condensed" w:cs="Helen Bg Condensed"/>
        <w:spacing w:val="40"/>
        <w:sz w:val="26"/>
        <w:szCs w:val="26"/>
      </w:rPr>
      <w:t xml:space="preserve"> храните</w:t>
    </w:r>
    <w:r>
      <w:rPr>
        <w:rFonts w:ascii="Helen Bg Condensed" w:hAnsi="Helen Bg Condensed" w:cs="Helen Bg Condensed"/>
        <w:spacing w:val="40"/>
        <w:sz w:val="26"/>
        <w:szCs w:val="26"/>
      </w:rPr>
      <w:t xml:space="preserve"> и горите</w:t>
    </w:r>
  </w:p>
  <w:p w:rsidR="00EA1302" w:rsidRPr="004A4785" w:rsidRDefault="0096473A" w:rsidP="00E44584">
    <w:pPr>
      <w:ind w:firstLine="1282"/>
      <w:rPr>
        <w:b/>
        <w:bCs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3335" t="11430" r="7620" b="76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333170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="00EA1302"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ru-RU"/>
      </w:rPr>
      <w:t xml:space="preserve">Областна дирекция </w:t>
    </w:r>
    <w:r w:rsidR="00EA1302"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“</w:t>
    </w:r>
    <w:r w:rsidR="00EA1302"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>Земеделие</w:t>
    </w:r>
    <w:r w:rsidR="00EA1302"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”</w:t>
    </w:r>
    <w:r w:rsidR="00EA1302"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 xml:space="preserve"> гр.Кърджали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14A"/>
    <w:multiLevelType w:val="hybridMultilevel"/>
    <w:tmpl w:val="FFF051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335EC"/>
    <w:multiLevelType w:val="hybridMultilevel"/>
    <w:tmpl w:val="D1C27D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15562EB0"/>
    <w:multiLevelType w:val="hybridMultilevel"/>
    <w:tmpl w:val="C49C50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98649E"/>
    <w:multiLevelType w:val="hybridMultilevel"/>
    <w:tmpl w:val="8CB0ADA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D0571C"/>
    <w:multiLevelType w:val="hybridMultilevel"/>
    <w:tmpl w:val="30A467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9447F"/>
    <w:multiLevelType w:val="hybridMultilevel"/>
    <w:tmpl w:val="0AA84D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1595C"/>
    <w:multiLevelType w:val="hybridMultilevel"/>
    <w:tmpl w:val="E04668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B6B3556"/>
    <w:multiLevelType w:val="hybridMultilevel"/>
    <w:tmpl w:val="ABD48E46"/>
    <w:lvl w:ilvl="0" w:tplc="D62E6464">
      <w:start w:val="3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8">
    <w:nsid w:val="58E51E43"/>
    <w:multiLevelType w:val="hybridMultilevel"/>
    <w:tmpl w:val="3E1E4FA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>
    <w:nsid w:val="5A3C775C"/>
    <w:multiLevelType w:val="hybridMultilevel"/>
    <w:tmpl w:val="A806737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E2E06A20">
      <w:start w:val="9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>
    <w:nsid w:val="7C7F5EA0"/>
    <w:multiLevelType w:val="multilevel"/>
    <w:tmpl w:val="C48A6BC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1">
    <w:nsid w:val="7CF62A82"/>
    <w:multiLevelType w:val="hybridMultilevel"/>
    <w:tmpl w:val="0C14C2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3"/>
  </w:num>
  <w:num w:numId="12">
    <w:abstractNumId w:val="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A9"/>
    <w:rsid w:val="0000145B"/>
    <w:rsid w:val="00001579"/>
    <w:rsid w:val="00004AE3"/>
    <w:rsid w:val="00004C03"/>
    <w:rsid w:val="00012549"/>
    <w:rsid w:val="00013344"/>
    <w:rsid w:val="00013B0F"/>
    <w:rsid w:val="0002279B"/>
    <w:rsid w:val="00023762"/>
    <w:rsid w:val="00024C29"/>
    <w:rsid w:val="00025093"/>
    <w:rsid w:val="0003326C"/>
    <w:rsid w:val="000335DD"/>
    <w:rsid w:val="0003377F"/>
    <w:rsid w:val="00033FA1"/>
    <w:rsid w:val="00034275"/>
    <w:rsid w:val="0003452F"/>
    <w:rsid w:val="00035990"/>
    <w:rsid w:val="000361AB"/>
    <w:rsid w:val="00037B0B"/>
    <w:rsid w:val="00045DAE"/>
    <w:rsid w:val="000477BF"/>
    <w:rsid w:val="000512AE"/>
    <w:rsid w:val="00052342"/>
    <w:rsid w:val="00053407"/>
    <w:rsid w:val="00054645"/>
    <w:rsid w:val="00054CC6"/>
    <w:rsid w:val="00054CEB"/>
    <w:rsid w:val="00055852"/>
    <w:rsid w:val="00055AF1"/>
    <w:rsid w:val="0005609A"/>
    <w:rsid w:val="00056DE1"/>
    <w:rsid w:val="000600F8"/>
    <w:rsid w:val="0006066A"/>
    <w:rsid w:val="0006350C"/>
    <w:rsid w:val="00067A24"/>
    <w:rsid w:val="000713C0"/>
    <w:rsid w:val="000721C7"/>
    <w:rsid w:val="00072DD6"/>
    <w:rsid w:val="000740FA"/>
    <w:rsid w:val="00075577"/>
    <w:rsid w:val="00077453"/>
    <w:rsid w:val="00077808"/>
    <w:rsid w:val="00084571"/>
    <w:rsid w:val="00094A70"/>
    <w:rsid w:val="00096130"/>
    <w:rsid w:val="00096189"/>
    <w:rsid w:val="00097770"/>
    <w:rsid w:val="000A134A"/>
    <w:rsid w:val="000A3464"/>
    <w:rsid w:val="000A3697"/>
    <w:rsid w:val="000A411D"/>
    <w:rsid w:val="000A5030"/>
    <w:rsid w:val="000A53AE"/>
    <w:rsid w:val="000B03D9"/>
    <w:rsid w:val="000B15B8"/>
    <w:rsid w:val="000B551B"/>
    <w:rsid w:val="000B56D6"/>
    <w:rsid w:val="000C04E6"/>
    <w:rsid w:val="000C523E"/>
    <w:rsid w:val="000C5E0A"/>
    <w:rsid w:val="000D0A19"/>
    <w:rsid w:val="000D1769"/>
    <w:rsid w:val="000D1A25"/>
    <w:rsid w:val="000D1AAD"/>
    <w:rsid w:val="000D5963"/>
    <w:rsid w:val="000D6523"/>
    <w:rsid w:val="000E10AE"/>
    <w:rsid w:val="000E5541"/>
    <w:rsid w:val="000E6092"/>
    <w:rsid w:val="000F0880"/>
    <w:rsid w:val="000F3064"/>
    <w:rsid w:val="000F6F37"/>
    <w:rsid w:val="000F7EB8"/>
    <w:rsid w:val="001017E3"/>
    <w:rsid w:val="00103051"/>
    <w:rsid w:val="00103E6B"/>
    <w:rsid w:val="00104539"/>
    <w:rsid w:val="00104542"/>
    <w:rsid w:val="0010613B"/>
    <w:rsid w:val="00110046"/>
    <w:rsid w:val="00116310"/>
    <w:rsid w:val="001204B2"/>
    <w:rsid w:val="001241B5"/>
    <w:rsid w:val="00130396"/>
    <w:rsid w:val="00134076"/>
    <w:rsid w:val="0013430C"/>
    <w:rsid w:val="0013700D"/>
    <w:rsid w:val="00140CBC"/>
    <w:rsid w:val="0014183E"/>
    <w:rsid w:val="00141B6A"/>
    <w:rsid w:val="001428C8"/>
    <w:rsid w:val="00146DF8"/>
    <w:rsid w:val="00150AA0"/>
    <w:rsid w:val="0015124F"/>
    <w:rsid w:val="00152A8A"/>
    <w:rsid w:val="00153E58"/>
    <w:rsid w:val="00157D1E"/>
    <w:rsid w:val="00160BE5"/>
    <w:rsid w:val="00164586"/>
    <w:rsid w:val="0016566E"/>
    <w:rsid w:val="00166410"/>
    <w:rsid w:val="001679B3"/>
    <w:rsid w:val="00173477"/>
    <w:rsid w:val="001745E1"/>
    <w:rsid w:val="00177361"/>
    <w:rsid w:val="00181C6C"/>
    <w:rsid w:val="00181E3C"/>
    <w:rsid w:val="00182565"/>
    <w:rsid w:val="001825A1"/>
    <w:rsid w:val="001835B3"/>
    <w:rsid w:val="0018488B"/>
    <w:rsid w:val="00187757"/>
    <w:rsid w:val="00190220"/>
    <w:rsid w:val="00192CB2"/>
    <w:rsid w:val="00194AD0"/>
    <w:rsid w:val="00194DD4"/>
    <w:rsid w:val="00195954"/>
    <w:rsid w:val="001A03EA"/>
    <w:rsid w:val="001A3609"/>
    <w:rsid w:val="001A413F"/>
    <w:rsid w:val="001A6554"/>
    <w:rsid w:val="001A6663"/>
    <w:rsid w:val="001A72FC"/>
    <w:rsid w:val="001A7EDC"/>
    <w:rsid w:val="001B2107"/>
    <w:rsid w:val="001B2C39"/>
    <w:rsid w:val="001B4A56"/>
    <w:rsid w:val="001B4BA5"/>
    <w:rsid w:val="001B4CD2"/>
    <w:rsid w:val="001B65F9"/>
    <w:rsid w:val="001C1EB0"/>
    <w:rsid w:val="001C26BC"/>
    <w:rsid w:val="001C3519"/>
    <w:rsid w:val="001C39AC"/>
    <w:rsid w:val="001C3AC3"/>
    <w:rsid w:val="001C5129"/>
    <w:rsid w:val="001C54E7"/>
    <w:rsid w:val="001D1B49"/>
    <w:rsid w:val="001D20DE"/>
    <w:rsid w:val="001D3B22"/>
    <w:rsid w:val="001E0784"/>
    <w:rsid w:val="001E10FD"/>
    <w:rsid w:val="001E2C6E"/>
    <w:rsid w:val="001E6B5D"/>
    <w:rsid w:val="001E7F15"/>
    <w:rsid w:val="001F048A"/>
    <w:rsid w:val="001F051E"/>
    <w:rsid w:val="001F05CE"/>
    <w:rsid w:val="001F5C24"/>
    <w:rsid w:val="001F600F"/>
    <w:rsid w:val="001F6C98"/>
    <w:rsid w:val="001F7A43"/>
    <w:rsid w:val="001F7AAC"/>
    <w:rsid w:val="001F7D56"/>
    <w:rsid w:val="00201DD3"/>
    <w:rsid w:val="00202CE9"/>
    <w:rsid w:val="00203CAE"/>
    <w:rsid w:val="00203FE8"/>
    <w:rsid w:val="0020653E"/>
    <w:rsid w:val="002121D5"/>
    <w:rsid w:val="00212799"/>
    <w:rsid w:val="0021389A"/>
    <w:rsid w:val="0021419A"/>
    <w:rsid w:val="002202AB"/>
    <w:rsid w:val="00221138"/>
    <w:rsid w:val="00222CE6"/>
    <w:rsid w:val="00225564"/>
    <w:rsid w:val="00227BEE"/>
    <w:rsid w:val="00232F8E"/>
    <w:rsid w:val="00233B0A"/>
    <w:rsid w:val="002349A9"/>
    <w:rsid w:val="002426F7"/>
    <w:rsid w:val="00242A58"/>
    <w:rsid w:val="00243D7B"/>
    <w:rsid w:val="00244020"/>
    <w:rsid w:val="002443A9"/>
    <w:rsid w:val="002460AD"/>
    <w:rsid w:val="00250D9F"/>
    <w:rsid w:val="00253DF9"/>
    <w:rsid w:val="0025496F"/>
    <w:rsid w:val="00255280"/>
    <w:rsid w:val="002558F5"/>
    <w:rsid w:val="00257063"/>
    <w:rsid w:val="002575B3"/>
    <w:rsid w:val="00261A92"/>
    <w:rsid w:val="0026434D"/>
    <w:rsid w:val="00264C5B"/>
    <w:rsid w:val="00266D04"/>
    <w:rsid w:val="00276229"/>
    <w:rsid w:val="00277976"/>
    <w:rsid w:val="00280B45"/>
    <w:rsid w:val="0028145C"/>
    <w:rsid w:val="00282B96"/>
    <w:rsid w:val="002929D0"/>
    <w:rsid w:val="00294F83"/>
    <w:rsid w:val="002A05EE"/>
    <w:rsid w:val="002A1143"/>
    <w:rsid w:val="002A2F51"/>
    <w:rsid w:val="002A35C3"/>
    <w:rsid w:val="002A3A86"/>
    <w:rsid w:val="002A5BD6"/>
    <w:rsid w:val="002A5F60"/>
    <w:rsid w:val="002A7A15"/>
    <w:rsid w:val="002B1389"/>
    <w:rsid w:val="002B1D64"/>
    <w:rsid w:val="002B26C3"/>
    <w:rsid w:val="002B339C"/>
    <w:rsid w:val="002B52AA"/>
    <w:rsid w:val="002B7855"/>
    <w:rsid w:val="002C3A51"/>
    <w:rsid w:val="002C7D80"/>
    <w:rsid w:val="002D1FBA"/>
    <w:rsid w:val="002D2324"/>
    <w:rsid w:val="002D3001"/>
    <w:rsid w:val="002D40DB"/>
    <w:rsid w:val="002D4F3A"/>
    <w:rsid w:val="002D72D8"/>
    <w:rsid w:val="002E1060"/>
    <w:rsid w:val="002E25BD"/>
    <w:rsid w:val="002E25EF"/>
    <w:rsid w:val="002E4129"/>
    <w:rsid w:val="002E7516"/>
    <w:rsid w:val="002E7D0D"/>
    <w:rsid w:val="002E7D1B"/>
    <w:rsid w:val="002E7D4B"/>
    <w:rsid w:val="002F0009"/>
    <w:rsid w:val="002F1D9B"/>
    <w:rsid w:val="002F3B6B"/>
    <w:rsid w:val="002F463D"/>
    <w:rsid w:val="002F68A7"/>
    <w:rsid w:val="0030309F"/>
    <w:rsid w:val="00303D9F"/>
    <w:rsid w:val="00304624"/>
    <w:rsid w:val="00304CD3"/>
    <w:rsid w:val="003123E8"/>
    <w:rsid w:val="003139DC"/>
    <w:rsid w:val="003150BB"/>
    <w:rsid w:val="00315A7E"/>
    <w:rsid w:val="00316276"/>
    <w:rsid w:val="0032007C"/>
    <w:rsid w:val="0032066B"/>
    <w:rsid w:val="003231E9"/>
    <w:rsid w:val="003260EE"/>
    <w:rsid w:val="00331122"/>
    <w:rsid w:val="0033127D"/>
    <w:rsid w:val="0033188A"/>
    <w:rsid w:val="003356C0"/>
    <w:rsid w:val="00335F7F"/>
    <w:rsid w:val="00336792"/>
    <w:rsid w:val="003371F9"/>
    <w:rsid w:val="0034374C"/>
    <w:rsid w:val="003460A1"/>
    <w:rsid w:val="00346A0D"/>
    <w:rsid w:val="003529BD"/>
    <w:rsid w:val="00353649"/>
    <w:rsid w:val="003553FB"/>
    <w:rsid w:val="003562FA"/>
    <w:rsid w:val="003566ED"/>
    <w:rsid w:val="00361B88"/>
    <w:rsid w:val="00364509"/>
    <w:rsid w:val="0036552F"/>
    <w:rsid w:val="00366F61"/>
    <w:rsid w:val="00372296"/>
    <w:rsid w:val="00374BF8"/>
    <w:rsid w:val="0037629B"/>
    <w:rsid w:val="0037630A"/>
    <w:rsid w:val="00376A3C"/>
    <w:rsid w:val="00376F5E"/>
    <w:rsid w:val="003833B3"/>
    <w:rsid w:val="00385DEA"/>
    <w:rsid w:val="00392094"/>
    <w:rsid w:val="00393569"/>
    <w:rsid w:val="00396137"/>
    <w:rsid w:val="00396E12"/>
    <w:rsid w:val="003A209A"/>
    <w:rsid w:val="003A3B5A"/>
    <w:rsid w:val="003A3C30"/>
    <w:rsid w:val="003A5B51"/>
    <w:rsid w:val="003A618F"/>
    <w:rsid w:val="003A68D3"/>
    <w:rsid w:val="003A6AE0"/>
    <w:rsid w:val="003A765F"/>
    <w:rsid w:val="003A789E"/>
    <w:rsid w:val="003B32CB"/>
    <w:rsid w:val="003B45ED"/>
    <w:rsid w:val="003B52B6"/>
    <w:rsid w:val="003B7313"/>
    <w:rsid w:val="003C2FAC"/>
    <w:rsid w:val="003C475C"/>
    <w:rsid w:val="003C4D11"/>
    <w:rsid w:val="003D67C9"/>
    <w:rsid w:val="003E0535"/>
    <w:rsid w:val="003E1E3B"/>
    <w:rsid w:val="003E2414"/>
    <w:rsid w:val="003E2E98"/>
    <w:rsid w:val="003E3CBC"/>
    <w:rsid w:val="003E485E"/>
    <w:rsid w:val="003E5E2E"/>
    <w:rsid w:val="003E6929"/>
    <w:rsid w:val="003E6F3B"/>
    <w:rsid w:val="003E74BB"/>
    <w:rsid w:val="003F3AC6"/>
    <w:rsid w:val="00404969"/>
    <w:rsid w:val="0040548D"/>
    <w:rsid w:val="00411C35"/>
    <w:rsid w:val="00412957"/>
    <w:rsid w:val="004166D4"/>
    <w:rsid w:val="0042153A"/>
    <w:rsid w:val="00421A5D"/>
    <w:rsid w:val="0042345C"/>
    <w:rsid w:val="004249F9"/>
    <w:rsid w:val="00424D4F"/>
    <w:rsid w:val="00424D5E"/>
    <w:rsid w:val="00425B84"/>
    <w:rsid w:val="0042690B"/>
    <w:rsid w:val="004302EE"/>
    <w:rsid w:val="00430F67"/>
    <w:rsid w:val="004311AA"/>
    <w:rsid w:val="00434615"/>
    <w:rsid w:val="00435BF7"/>
    <w:rsid w:val="00436C4E"/>
    <w:rsid w:val="0043776A"/>
    <w:rsid w:val="00443C68"/>
    <w:rsid w:val="004450DE"/>
    <w:rsid w:val="00445C10"/>
    <w:rsid w:val="00445FEE"/>
    <w:rsid w:val="00446795"/>
    <w:rsid w:val="00447822"/>
    <w:rsid w:val="00450699"/>
    <w:rsid w:val="00452CC0"/>
    <w:rsid w:val="0045497D"/>
    <w:rsid w:val="004576DF"/>
    <w:rsid w:val="00462639"/>
    <w:rsid w:val="00467334"/>
    <w:rsid w:val="004679E9"/>
    <w:rsid w:val="00473F58"/>
    <w:rsid w:val="00474B87"/>
    <w:rsid w:val="004755C7"/>
    <w:rsid w:val="004837B1"/>
    <w:rsid w:val="004844C5"/>
    <w:rsid w:val="0049334D"/>
    <w:rsid w:val="00494D94"/>
    <w:rsid w:val="00495762"/>
    <w:rsid w:val="00497912"/>
    <w:rsid w:val="004A21EF"/>
    <w:rsid w:val="004A2808"/>
    <w:rsid w:val="004A4785"/>
    <w:rsid w:val="004A6165"/>
    <w:rsid w:val="004B03BA"/>
    <w:rsid w:val="004B3F7F"/>
    <w:rsid w:val="004B4D86"/>
    <w:rsid w:val="004B4DF1"/>
    <w:rsid w:val="004B58F8"/>
    <w:rsid w:val="004B741E"/>
    <w:rsid w:val="004C3144"/>
    <w:rsid w:val="004C32CB"/>
    <w:rsid w:val="004C48F8"/>
    <w:rsid w:val="004C5562"/>
    <w:rsid w:val="004D0C76"/>
    <w:rsid w:val="004D37F0"/>
    <w:rsid w:val="004D7FFA"/>
    <w:rsid w:val="004E21E3"/>
    <w:rsid w:val="004E5ADD"/>
    <w:rsid w:val="004E7A52"/>
    <w:rsid w:val="004F1A91"/>
    <w:rsid w:val="004F25DA"/>
    <w:rsid w:val="004F3BBC"/>
    <w:rsid w:val="004F468E"/>
    <w:rsid w:val="004F6274"/>
    <w:rsid w:val="004F67D7"/>
    <w:rsid w:val="004F6F3F"/>
    <w:rsid w:val="004F765C"/>
    <w:rsid w:val="004F76D2"/>
    <w:rsid w:val="00503B5F"/>
    <w:rsid w:val="0050406C"/>
    <w:rsid w:val="00506CDB"/>
    <w:rsid w:val="00511D6C"/>
    <w:rsid w:val="00514120"/>
    <w:rsid w:val="00517237"/>
    <w:rsid w:val="00517E1D"/>
    <w:rsid w:val="00517E48"/>
    <w:rsid w:val="00520564"/>
    <w:rsid w:val="0052070B"/>
    <w:rsid w:val="00521B7D"/>
    <w:rsid w:val="00522C20"/>
    <w:rsid w:val="00522E19"/>
    <w:rsid w:val="0052348E"/>
    <w:rsid w:val="00523D41"/>
    <w:rsid w:val="005250EA"/>
    <w:rsid w:val="0052516B"/>
    <w:rsid w:val="00525AE5"/>
    <w:rsid w:val="005275DB"/>
    <w:rsid w:val="0052781F"/>
    <w:rsid w:val="005315B1"/>
    <w:rsid w:val="00532F9E"/>
    <w:rsid w:val="00535200"/>
    <w:rsid w:val="00536C94"/>
    <w:rsid w:val="00537AD5"/>
    <w:rsid w:val="00540A5A"/>
    <w:rsid w:val="00541674"/>
    <w:rsid w:val="0054249C"/>
    <w:rsid w:val="00542607"/>
    <w:rsid w:val="00543D65"/>
    <w:rsid w:val="005508DB"/>
    <w:rsid w:val="00550FD2"/>
    <w:rsid w:val="00556D73"/>
    <w:rsid w:val="0055771C"/>
    <w:rsid w:val="00560044"/>
    <w:rsid w:val="00561905"/>
    <w:rsid w:val="00561E95"/>
    <w:rsid w:val="00562C05"/>
    <w:rsid w:val="00564624"/>
    <w:rsid w:val="005650F0"/>
    <w:rsid w:val="00567C4D"/>
    <w:rsid w:val="0057056E"/>
    <w:rsid w:val="005730D1"/>
    <w:rsid w:val="005743AA"/>
    <w:rsid w:val="00574F6C"/>
    <w:rsid w:val="00575F3E"/>
    <w:rsid w:val="0057737A"/>
    <w:rsid w:val="005773CE"/>
    <w:rsid w:val="00582647"/>
    <w:rsid w:val="00583E01"/>
    <w:rsid w:val="0058547F"/>
    <w:rsid w:val="00586581"/>
    <w:rsid w:val="00590BE1"/>
    <w:rsid w:val="00593766"/>
    <w:rsid w:val="005A0A59"/>
    <w:rsid w:val="005A2020"/>
    <w:rsid w:val="005A3A19"/>
    <w:rsid w:val="005A3A87"/>
    <w:rsid w:val="005A3B17"/>
    <w:rsid w:val="005A45AA"/>
    <w:rsid w:val="005A7BEC"/>
    <w:rsid w:val="005B1EB7"/>
    <w:rsid w:val="005B3E96"/>
    <w:rsid w:val="005B5C37"/>
    <w:rsid w:val="005B69F7"/>
    <w:rsid w:val="005C2A24"/>
    <w:rsid w:val="005C401C"/>
    <w:rsid w:val="005C5A52"/>
    <w:rsid w:val="005C6EAB"/>
    <w:rsid w:val="005D268B"/>
    <w:rsid w:val="005D2765"/>
    <w:rsid w:val="005D2A08"/>
    <w:rsid w:val="005D2B3F"/>
    <w:rsid w:val="005D3E11"/>
    <w:rsid w:val="005D7788"/>
    <w:rsid w:val="005E1352"/>
    <w:rsid w:val="005E19DF"/>
    <w:rsid w:val="005E1BD9"/>
    <w:rsid w:val="005E1EDB"/>
    <w:rsid w:val="005F074B"/>
    <w:rsid w:val="005F1C54"/>
    <w:rsid w:val="005F4BA0"/>
    <w:rsid w:val="005F4DA3"/>
    <w:rsid w:val="00600E9B"/>
    <w:rsid w:val="00602A0B"/>
    <w:rsid w:val="006037D4"/>
    <w:rsid w:val="0060444E"/>
    <w:rsid w:val="0060583E"/>
    <w:rsid w:val="00611C7C"/>
    <w:rsid w:val="00612516"/>
    <w:rsid w:val="006143E6"/>
    <w:rsid w:val="00623A19"/>
    <w:rsid w:val="00623DC0"/>
    <w:rsid w:val="0062435E"/>
    <w:rsid w:val="006260A5"/>
    <w:rsid w:val="00626A33"/>
    <w:rsid w:val="00626E13"/>
    <w:rsid w:val="00627A1B"/>
    <w:rsid w:val="0063112D"/>
    <w:rsid w:val="0063461A"/>
    <w:rsid w:val="00636C78"/>
    <w:rsid w:val="0063719B"/>
    <w:rsid w:val="00641056"/>
    <w:rsid w:val="00644290"/>
    <w:rsid w:val="00646218"/>
    <w:rsid w:val="00647308"/>
    <w:rsid w:val="00650F20"/>
    <w:rsid w:val="00651AF5"/>
    <w:rsid w:val="00654317"/>
    <w:rsid w:val="006544C4"/>
    <w:rsid w:val="00655281"/>
    <w:rsid w:val="006561A8"/>
    <w:rsid w:val="006579F5"/>
    <w:rsid w:val="006617EB"/>
    <w:rsid w:val="00663EEB"/>
    <w:rsid w:val="00673668"/>
    <w:rsid w:val="00674726"/>
    <w:rsid w:val="00676070"/>
    <w:rsid w:val="00676649"/>
    <w:rsid w:val="00681C46"/>
    <w:rsid w:val="0068206D"/>
    <w:rsid w:val="00685B80"/>
    <w:rsid w:val="0068708C"/>
    <w:rsid w:val="00687D73"/>
    <w:rsid w:val="00693227"/>
    <w:rsid w:val="006956F2"/>
    <w:rsid w:val="0069600A"/>
    <w:rsid w:val="006A0299"/>
    <w:rsid w:val="006A10AF"/>
    <w:rsid w:val="006A40AC"/>
    <w:rsid w:val="006A4115"/>
    <w:rsid w:val="006A455E"/>
    <w:rsid w:val="006A558C"/>
    <w:rsid w:val="006A5D98"/>
    <w:rsid w:val="006A65FB"/>
    <w:rsid w:val="006B0B9A"/>
    <w:rsid w:val="006B1B53"/>
    <w:rsid w:val="006B4D7B"/>
    <w:rsid w:val="006B6954"/>
    <w:rsid w:val="006C1A91"/>
    <w:rsid w:val="006C7C8C"/>
    <w:rsid w:val="006D2F5B"/>
    <w:rsid w:val="006D6113"/>
    <w:rsid w:val="006D65E8"/>
    <w:rsid w:val="006E136B"/>
    <w:rsid w:val="006E1608"/>
    <w:rsid w:val="006E181E"/>
    <w:rsid w:val="006E2C9C"/>
    <w:rsid w:val="006E4750"/>
    <w:rsid w:val="006E517E"/>
    <w:rsid w:val="006E7E92"/>
    <w:rsid w:val="006F190E"/>
    <w:rsid w:val="00703200"/>
    <w:rsid w:val="00703F62"/>
    <w:rsid w:val="007053E0"/>
    <w:rsid w:val="00706820"/>
    <w:rsid w:val="0071006D"/>
    <w:rsid w:val="0071020D"/>
    <w:rsid w:val="00710AEF"/>
    <w:rsid w:val="0071162E"/>
    <w:rsid w:val="00712124"/>
    <w:rsid w:val="00715990"/>
    <w:rsid w:val="00716805"/>
    <w:rsid w:val="007203DB"/>
    <w:rsid w:val="00720F55"/>
    <w:rsid w:val="007225FE"/>
    <w:rsid w:val="007240E7"/>
    <w:rsid w:val="007303D9"/>
    <w:rsid w:val="00731BD4"/>
    <w:rsid w:val="007334FA"/>
    <w:rsid w:val="00733F2C"/>
    <w:rsid w:val="00735898"/>
    <w:rsid w:val="00741BCB"/>
    <w:rsid w:val="00742591"/>
    <w:rsid w:val="00743037"/>
    <w:rsid w:val="00744CD5"/>
    <w:rsid w:val="007463D6"/>
    <w:rsid w:val="00747935"/>
    <w:rsid w:val="00756E7C"/>
    <w:rsid w:val="00757E7A"/>
    <w:rsid w:val="007676BB"/>
    <w:rsid w:val="00774667"/>
    <w:rsid w:val="00777E48"/>
    <w:rsid w:val="007806DE"/>
    <w:rsid w:val="00781020"/>
    <w:rsid w:val="0078271B"/>
    <w:rsid w:val="00782BB1"/>
    <w:rsid w:val="00783315"/>
    <w:rsid w:val="00783DBD"/>
    <w:rsid w:val="00786420"/>
    <w:rsid w:val="007865D2"/>
    <w:rsid w:val="007878CA"/>
    <w:rsid w:val="00787C54"/>
    <w:rsid w:val="00792E64"/>
    <w:rsid w:val="00792FEA"/>
    <w:rsid w:val="00795AED"/>
    <w:rsid w:val="00797ECE"/>
    <w:rsid w:val="007A4628"/>
    <w:rsid w:val="007A51F7"/>
    <w:rsid w:val="007A5CEE"/>
    <w:rsid w:val="007A6290"/>
    <w:rsid w:val="007A6AD4"/>
    <w:rsid w:val="007B1B7B"/>
    <w:rsid w:val="007B20FF"/>
    <w:rsid w:val="007B332B"/>
    <w:rsid w:val="007B50E9"/>
    <w:rsid w:val="007B66A3"/>
    <w:rsid w:val="007B72DD"/>
    <w:rsid w:val="007B7524"/>
    <w:rsid w:val="007C0547"/>
    <w:rsid w:val="007C4155"/>
    <w:rsid w:val="007C5214"/>
    <w:rsid w:val="007C581B"/>
    <w:rsid w:val="007D1874"/>
    <w:rsid w:val="007D2AEF"/>
    <w:rsid w:val="007D6978"/>
    <w:rsid w:val="007D6B64"/>
    <w:rsid w:val="007E0EA9"/>
    <w:rsid w:val="007E37E3"/>
    <w:rsid w:val="007E4017"/>
    <w:rsid w:val="007F0845"/>
    <w:rsid w:val="007F278D"/>
    <w:rsid w:val="007F397A"/>
    <w:rsid w:val="007F6BFD"/>
    <w:rsid w:val="0080153C"/>
    <w:rsid w:val="00810728"/>
    <w:rsid w:val="008108FD"/>
    <w:rsid w:val="00811576"/>
    <w:rsid w:val="00811C0C"/>
    <w:rsid w:val="0081403E"/>
    <w:rsid w:val="00817876"/>
    <w:rsid w:val="0082575B"/>
    <w:rsid w:val="00826BD6"/>
    <w:rsid w:val="008301E4"/>
    <w:rsid w:val="00844FDE"/>
    <w:rsid w:val="00845D49"/>
    <w:rsid w:val="008465AA"/>
    <w:rsid w:val="00852204"/>
    <w:rsid w:val="0085348A"/>
    <w:rsid w:val="00857C18"/>
    <w:rsid w:val="0086040A"/>
    <w:rsid w:val="00860957"/>
    <w:rsid w:val="00863FDB"/>
    <w:rsid w:val="00865747"/>
    <w:rsid w:val="00866D9D"/>
    <w:rsid w:val="008703C1"/>
    <w:rsid w:val="00874B06"/>
    <w:rsid w:val="00874CB4"/>
    <w:rsid w:val="008777B5"/>
    <w:rsid w:val="00882628"/>
    <w:rsid w:val="0088660D"/>
    <w:rsid w:val="008915AC"/>
    <w:rsid w:val="00892E20"/>
    <w:rsid w:val="008951D5"/>
    <w:rsid w:val="00896CF7"/>
    <w:rsid w:val="00897824"/>
    <w:rsid w:val="008A073C"/>
    <w:rsid w:val="008A447F"/>
    <w:rsid w:val="008A7956"/>
    <w:rsid w:val="008B0206"/>
    <w:rsid w:val="008B1300"/>
    <w:rsid w:val="008B3E0F"/>
    <w:rsid w:val="008B4487"/>
    <w:rsid w:val="008B6E8A"/>
    <w:rsid w:val="008B739D"/>
    <w:rsid w:val="008C052B"/>
    <w:rsid w:val="008C0563"/>
    <w:rsid w:val="008D01F4"/>
    <w:rsid w:val="008D05C5"/>
    <w:rsid w:val="008D2555"/>
    <w:rsid w:val="008D52D3"/>
    <w:rsid w:val="008D61DF"/>
    <w:rsid w:val="008D633C"/>
    <w:rsid w:val="008D792B"/>
    <w:rsid w:val="008F129E"/>
    <w:rsid w:val="008F2499"/>
    <w:rsid w:val="008F2D75"/>
    <w:rsid w:val="008F418E"/>
    <w:rsid w:val="008F708B"/>
    <w:rsid w:val="008F77F3"/>
    <w:rsid w:val="009042EB"/>
    <w:rsid w:val="00905E41"/>
    <w:rsid w:val="009073BC"/>
    <w:rsid w:val="0090761E"/>
    <w:rsid w:val="0091258A"/>
    <w:rsid w:val="009138BE"/>
    <w:rsid w:val="00914396"/>
    <w:rsid w:val="00914EB4"/>
    <w:rsid w:val="0092105E"/>
    <w:rsid w:val="00921D35"/>
    <w:rsid w:val="009222FA"/>
    <w:rsid w:val="00923F35"/>
    <w:rsid w:val="009248D9"/>
    <w:rsid w:val="00926111"/>
    <w:rsid w:val="009268E5"/>
    <w:rsid w:val="00927619"/>
    <w:rsid w:val="009304CE"/>
    <w:rsid w:val="009332C2"/>
    <w:rsid w:val="0093599D"/>
    <w:rsid w:val="00936377"/>
    <w:rsid w:val="00936425"/>
    <w:rsid w:val="00937235"/>
    <w:rsid w:val="00937AEC"/>
    <w:rsid w:val="009401C9"/>
    <w:rsid w:val="00940D63"/>
    <w:rsid w:val="00940E66"/>
    <w:rsid w:val="009410B1"/>
    <w:rsid w:val="0094206D"/>
    <w:rsid w:val="00944809"/>
    <w:rsid w:val="00945073"/>
    <w:rsid w:val="009466B7"/>
    <w:rsid w:val="00946D85"/>
    <w:rsid w:val="0095143C"/>
    <w:rsid w:val="00953AFB"/>
    <w:rsid w:val="0095450A"/>
    <w:rsid w:val="009563AE"/>
    <w:rsid w:val="00957066"/>
    <w:rsid w:val="00960EA9"/>
    <w:rsid w:val="00962709"/>
    <w:rsid w:val="0096352E"/>
    <w:rsid w:val="0096473A"/>
    <w:rsid w:val="00965E38"/>
    <w:rsid w:val="00970874"/>
    <w:rsid w:val="00971414"/>
    <w:rsid w:val="00973DCE"/>
    <w:rsid w:val="00974546"/>
    <w:rsid w:val="00974B3B"/>
    <w:rsid w:val="009844AF"/>
    <w:rsid w:val="00984C08"/>
    <w:rsid w:val="00985684"/>
    <w:rsid w:val="00990E3F"/>
    <w:rsid w:val="0099275B"/>
    <w:rsid w:val="0099677F"/>
    <w:rsid w:val="00996976"/>
    <w:rsid w:val="0099736D"/>
    <w:rsid w:val="009977F0"/>
    <w:rsid w:val="009A2FF9"/>
    <w:rsid w:val="009A335E"/>
    <w:rsid w:val="009A49E5"/>
    <w:rsid w:val="009A4B03"/>
    <w:rsid w:val="009A7D0C"/>
    <w:rsid w:val="009B0BA5"/>
    <w:rsid w:val="009B149B"/>
    <w:rsid w:val="009B1933"/>
    <w:rsid w:val="009B249D"/>
    <w:rsid w:val="009B31A1"/>
    <w:rsid w:val="009B4FDC"/>
    <w:rsid w:val="009B5299"/>
    <w:rsid w:val="009B738D"/>
    <w:rsid w:val="009B7F55"/>
    <w:rsid w:val="009C06C5"/>
    <w:rsid w:val="009C0F7A"/>
    <w:rsid w:val="009C6F7C"/>
    <w:rsid w:val="009D06F8"/>
    <w:rsid w:val="009D56CE"/>
    <w:rsid w:val="009D605D"/>
    <w:rsid w:val="009D754A"/>
    <w:rsid w:val="009E1260"/>
    <w:rsid w:val="009E1CB2"/>
    <w:rsid w:val="009E2831"/>
    <w:rsid w:val="009E2DCA"/>
    <w:rsid w:val="009E617D"/>
    <w:rsid w:val="009E68EE"/>
    <w:rsid w:val="009E70FA"/>
    <w:rsid w:val="009E7D8E"/>
    <w:rsid w:val="009E7DC7"/>
    <w:rsid w:val="009F07B6"/>
    <w:rsid w:val="009F3464"/>
    <w:rsid w:val="009F6B91"/>
    <w:rsid w:val="00A079E3"/>
    <w:rsid w:val="00A10B90"/>
    <w:rsid w:val="00A11BBD"/>
    <w:rsid w:val="00A13E2C"/>
    <w:rsid w:val="00A142D9"/>
    <w:rsid w:val="00A15922"/>
    <w:rsid w:val="00A240B2"/>
    <w:rsid w:val="00A24C5E"/>
    <w:rsid w:val="00A25792"/>
    <w:rsid w:val="00A3015B"/>
    <w:rsid w:val="00A30B50"/>
    <w:rsid w:val="00A32403"/>
    <w:rsid w:val="00A34093"/>
    <w:rsid w:val="00A4154E"/>
    <w:rsid w:val="00A43CE0"/>
    <w:rsid w:val="00A44712"/>
    <w:rsid w:val="00A457AE"/>
    <w:rsid w:val="00A46892"/>
    <w:rsid w:val="00A46D4E"/>
    <w:rsid w:val="00A479BC"/>
    <w:rsid w:val="00A5124F"/>
    <w:rsid w:val="00A51302"/>
    <w:rsid w:val="00A51817"/>
    <w:rsid w:val="00A5699B"/>
    <w:rsid w:val="00A56FB9"/>
    <w:rsid w:val="00A60031"/>
    <w:rsid w:val="00A60311"/>
    <w:rsid w:val="00A60371"/>
    <w:rsid w:val="00A603EF"/>
    <w:rsid w:val="00A62474"/>
    <w:rsid w:val="00A62531"/>
    <w:rsid w:val="00A6253A"/>
    <w:rsid w:val="00A6417B"/>
    <w:rsid w:val="00A6569C"/>
    <w:rsid w:val="00A7035D"/>
    <w:rsid w:val="00A71450"/>
    <w:rsid w:val="00A7206B"/>
    <w:rsid w:val="00A72F59"/>
    <w:rsid w:val="00A73D6E"/>
    <w:rsid w:val="00A74655"/>
    <w:rsid w:val="00A74FA2"/>
    <w:rsid w:val="00A75F60"/>
    <w:rsid w:val="00A77036"/>
    <w:rsid w:val="00A77B0E"/>
    <w:rsid w:val="00A82EA8"/>
    <w:rsid w:val="00A86B12"/>
    <w:rsid w:val="00A902FA"/>
    <w:rsid w:val="00A9260D"/>
    <w:rsid w:val="00A94414"/>
    <w:rsid w:val="00A949FC"/>
    <w:rsid w:val="00AA4698"/>
    <w:rsid w:val="00AA6453"/>
    <w:rsid w:val="00AB0760"/>
    <w:rsid w:val="00AB0FDE"/>
    <w:rsid w:val="00AB16BB"/>
    <w:rsid w:val="00AB4F9A"/>
    <w:rsid w:val="00AB59CB"/>
    <w:rsid w:val="00AC03E1"/>
    <w:rsid w:val="00AC05E2"/>
    <w:rsid w:val="00AC4EA0"/>
    <w:rsid w:val="00AC5E88"/>
    <w:rsid w:val="00AC6CDD"/>
    <w:rsid w:val="00AC79C2"/>
    <w:rsid w:val="00AD0F51"/>
    <w:rsid w:val="00AD13E8"/>
    <w:rsid w:val="00AD1705"/>
    <w:rsid w:val="00AD2151"/>
    <w:rsid w:val="00AD2559"/>
    <w:rsid w:val="00AD5E1A"/>
    <w:rsid w:val="00AD5EBF"/>
    <w:rsid w:val="00AE042F"/>
    <w:rsid w:val="00AE42AE"/>
    <w:rsid w:val="00AE43EE"/>
    <w:rsid w:val="00AE7650"/>
    <w:rsid w:val="00AF0917"/>
    <w:rsid w:val="00AF2DC5"/>
    <w:rsid w:val="00AF3673"/>
    <w:rsid w:val="00AF5555"/>
    <w:rsid w:val="00AF75BA"/>
    <w:rsid w:val="00AF7EB7"/>
    <w:rsid w:val="00B0091C"/>
    <w:rsid w:val="00B00F75"/>
    <w:rsid w:val="00B064C8"/>
    <w:rsid w:val="00B072D5"/>
    <w:rsid w:val="00B1070E"/>
    <w:rsid w:val="00B10CD5"/>
    <w:rsid w:val="00B14401"/>
    <w:rsid w:val="00B155B8"/>
    <w:rsid w:val="00B20356"/>
    <w:rsid w:val="00B25F2B"/>
    <w:rsid w:val="00B26C57"/>
    <w:rsid w:val="00B26F05"/>
    <w:rsid w:val="00B27C4D"/>
    <w:rsid w:val="00B31093"/>
    <w:rsid w:val="00B340A9"/>
    <w:rsid w:val="00B349B5"/>
    <w:rsid w:val="00B34E59"/>
    <w:rsid w:val="00B40DB7"/>
    <w:rsid w:val="00B417D4"/>
    <w:rsid w:val="00B41D90"/>
    <w:rsid w:val="00B472EA"/>
    <w:rsid w:val="00B50C5A"/>
    <w:rsid w:val="00B517E3"/>
    <w:rsid w:val="00B57F86"/>
    <w:rsid w:val="00B60605"/>
    <w:rsid w:val="00B60A6C"/>
    <w:rsid w:val="00B62B13"/>
    <w:rsid w:val="00B63C15"/>
    <w:rsid w:val="00B67221"/>
    <w:rsid w:val="00B67C50"/>
    <w:rsid w:val="00B7129C"/>
    <w:rsid w:val="00B72AE5"/>
    <w:rsid w:val="00B73711"/>
    <w:rsid w:val="00B73EAA"/>
    <w:rsid w:val="00B824B0"/>
    <w:rsid w:val="00B8695E"/>
    <w:rsid w:val="00B915C4"/>
    <w:rsid w:val="00B92B29"/>
    <w:rsid w:val="00B97711"/>
    <w:rsid w:val="00BA6D72"/>
    <w:rsid w:val="00BB140C"/>
    <w:rsid w:val="00BB1DB3"/>
    <w:rsid w:val="00BB3BD7"/>
    <w:rsid w:val="00BB3CAB"/>
    <w:rsid w:val="00BB41AB"/>
    <w:rsid w:val="00BC0E0B"/>
    <w:rsid w:val="00BC3C2F"/>
    <w:rsid w:val="00BC4CF7"/>
    <w:rsid w:val="00BC6EDC"/>
    <w:rsid w:val="00BC7566"/>
    <w:rsid w:val="00BC7E8E"/>
    <w:rsid w:val="00BD0331"/>
    <w:rsid w:val="00BD097D"/>
    <w:rsid w:val="00BD23A7"/>
    <w:rsid w:val="00BD4644"/>
    <w:rsid w:val="00BD4BDC"/>
    <w:rsid w:val="00BD5457"/>
    <w:rsid w:val="00BD62ED"/>
    <w:rsid w:val="00BD6334"/>
    <w:rsid w:val="00BD6B2E"/>
    <w:rsid w:val="00BE01B4"/>
    <w:rsid w:val="00BE2ABA"/>
    <w:rsid w:val="00BE5056"/>
    <w:rsid w:val="00BE6AF1"/>
    <w:rsid w:val="00BE7A05"/>
    <w:rsid w:val="00BF2174"/>
    <w:rsid w:val="00BF27AD"/>
    <w:rsid w:val="00C006B6"/>
    <w:rsid w:val="00C00904"/>
    <w:rsid w:val="00C02136"/>
    <w:rsid w:val="00C03167"/>
    <w:rsid w:val="00C037AA"/>
    <w:rsid w:val="00C06D62"/>
    <w:rsid w:val="00C104B3"/>
    <w:rsid w:val="00C10D1A"/>
    <w:rsid w:val="00C15C09"/>
    <w:rsid w:val="00C20919"/>
    <w:rsid w:val="00C212B9"/>
    <w:rsid w:val="00C2237D"/>
    <w:rsid w:val="00C233DD"/>
    <w:rsid w:val="00C25F60"/>
    <w:rsid w:val="00C26853"/>
    <w:rsid w:val="00C26A54"/>
    <w:rsid w:val="00C26D5B"/>
    <w:rsid w:val="00C2759C"/>
    <w:rsid w:val="00C30E2F"/>
    <w:rsid w:val="00C32103"/>
    <w:rsid w:val="00C342B0"/>
    <w:rsid w:val="00C35424"/>
    <w:rsid w:val="00C455C2"/>
    <w:rsid w:val="00C45AD7"/>
    <w:rsid w:val="00C46212"/>
    <w:rsid w:val="00C473A4"/>
    <w:rsid w:val="00C50D03"/>
    <w:rsid w:val="00C5228F"/>
    <w:rsid w:val="00C52D3C"/>
    <w:rsid w:val="00C54F52"/>
    <w:rsid w:val="00C56A9C"/>
    <w:rsid w:val="00C601D8"/>
    <w:rsid w:val="00C609B6"/>
    <w:rsid w:val="00C62179"/>
    <w:rsid w:val="00C6280F"/>
    <w:rsid w:val="00C635A0"/>
    <w:rsid w:val="00C63B02"/>
    <w:rsid w:val="00C646D7"/>
    <w:rsid w:val="00C657F2"/>
    <w:rsid w:val="00C65922"/>
    <w:rsid w:val="00C661DA"/>
    <w:rsid w:val="00C738A7"/>
    <w:rsid w:val="00C744FA"/>
    <w:rsid w:val="00C8099A"/>
    <w:rsid w:val="00C866DA"/>
    <w:rsid w:val="00C8736B"/>
    <w:rsid w:val="00C879CA"/>
    <w:rsid w:val="00C87D84"/>
    <w:rsid w:val="00C90266"/>
    <w:rsid w:val="00C90819"/>
    <w:rsid w:val="00C918E1"/>
    <w:rsid w:val="00C92B96"/>
    <w:rsid w:val="00C967BA"/>
    <w:rsid w:val="00C97290"/>
    <w:rsid w:val="00CA1292"/>
    <w:rsid w:val="00CA3258"/>
    <w:rsid w:val="00CA4230"/>
    <w:rsid w:val="00CA4493"/>
    <w:rsid w:val="00CA5DE9"/>
    <w:rsid w:val="00CA7A14"/>
    <w:rsid w:val="00CB121E"/>
    <w:rsid w:val="00CB1620"/>
    <w:rsid w:val="00CB30C6"/>
    <w:rsid w:val="00CB7379"/>
    <w:rsid w:val="00CB764C"/>
    <w:rsid w:val="00CC197E"/>
    <w:rsid w:val="00CC1D22"/>
    <w:rsid w:val="00CC42B2"/>
    <w:rsid w:val="00CC4991"/>
    <w:rsid w:val="00CC675A"/>
    <w:rsid w:val="00CC7610"/>
    <w:rsid w:val="00CD0A12"/>
    <w:rsid w:val="00CD5078"/>
    <w:rsid w:val="00CD6485"/>
    <w:rsid w:val="00CE12A9"/>
    <w:rsid w:val="00CE4548"/>
    <w:rsid w:val="00CE48A9"/>
    <w:rsid w:val="00CF16FD"/>
    <w:rsid w:val="00CF1C7B"/>
    <w:rsid w:val="00CF226D"/>
    <w:rsid w:val="00CF24FA"/>
    <w:rsid w:val="00CF32B4"/>
    <w:rsid w:val="00CF344E"/>
    <w:rsid w:val="00CF459D"/>
    <w:rsid w:val="00CF5627"/>
    <w:rsid w:val="00D0091C"/>
    <w:rsid w:val="00D02958"/>
    <w:rsid w:val="00D04472"/>
    <w:rsid w:val="00D04E79"/>
    <w:rsid w:val="00D06B74"/>
    <w:rsid w:val="00D06DDA"/>
    <w:rsid w:val="00D10389"/>
    <w:rsid w:val="00D10800"/>
    <w:rsid w:val="00D11519"/>
    <w:rsid w:val="00D1424A"/>
    <w:rsid w:val="00D14D77"/>
    <w:rsid w:val="00D152FB"/>
    <w:rsid w:val="00D163BC"/>
    <w:rsid w:val="00D17558"/>
    <w:rsid w:val="00D21D1F"/>
    <w:rsid w:val="00D2516B"/>
    <w:rsid w:val="00D259F5"/>
    <w:rsid w:val="00D2604C"/>
    <w:rsid w:val="00D30206"/>
    <w:rsid w:val="00D30D7E"/>
    <w:rsid w:val="00D31B49"/>
    <w:rsid w:val="00D33797"/>
    <w:rsid w:val="00D41A99"/>
    <w:rsid w:val="00D41CC9"/>
    <w:rsid w:val="00D450FA"/>
    <w:rsid w:val="00D45BDE"/>
    <w:rsid w:val="00D47F3E"/>
    <w:rsid w:val="00D61650"/>
    <w:rsid w:val="00D61AE4"/>
    <w:rsid w:val="00D637B6"/>
    <w:rsid w:val="00D664C4"/>
    <w:rsid w:val="00D67E00"/>
    <w:rsid w:val="00D7021E"/>
    <w:rsid w:val="00D740FD"/>
    <w:rsid w:val="00D7472F"/>
    <w:rsid w:val="00D74D9C"/>
    <w:rsid w:val="00D74F7B"/>
    <w:rsid w:val="00D82AED"/>
    <w:rsid w:val="00D83B91"/>
    <w:rsid w:val="00D8498B"/>
    <w:rsid w:val="00D92B77"/>
    <w:rsid w:val="00D960DE"/>
    <w:rsid w:val="00D96370"/>
    <w:rsid w:val="00D967C1"/>
    <w:rsid w:val="00D96A14"/>
    <w:rsid w:val="00DA2BE5"/>
    <w:rsid w:val="00DA4C97"/>
    <w:rsid w:val="00DA5040"/>
    <w:rsid w:val="00DA56F4"/>
    <w:rsid w:val="00DA5B96"/>
    <w:rsid w:val="00DB046A"/>
    <w:rsid w:val="00DB0BD1"/>
    <w:rsid w:val="00DB129C"/>
    <w:rsid w:val="00DB1995"/>
    <w:rsid w:val="00DB2DB8"/>
    <w:rsid w:val="00DB347B"/>
    <w:rsid w:val="00DC0367"/>
    <w:rsid w:val="00DC0F63"/>
    <w:rsid w:val="00DC169F"/>
    <w:rsid w:val="00DC172B"/>
    <w:rsid w:val="00DC25A8"/>
    <w:rsid w:val="00DC2E18"/>
    <w:rsid w:val="00DC3B4C"/>
    <w:rsid w:val="00DC3CEF"/>
    <w:rsid w:val="00DC78EA"/>
    <w:rsid w:val="00DD11B4"/>
    <w:rsid w:val="00DD2B00"/>
    <w:rsid w:val="00DD450F"/>
    <w:rsid w:val="00DD4E8A"/>
    <w:rsid w:val="00DD57E8"/>
    <w:rsid w:val="00DD7F9D"/>
    <w:rsid w:val="00DE3398"/>
    <w:rsid w:val="00DE3812"/>
    <w:rsid w:val="00DE5971"/>
    <w:rsid w:val="00DE6FC8"/>
    <w:rsid w:val="00DF167F"/>
    <w:rsid w:val="00DF3E18"/>
    <w:rsid w:val="00DF714C"/>
    <w:rsid w:val="00DF7FAE"/>
    <w:rsid w:val="00E0514A"/>
    <w:rsid w:val="00E10834"/>
    <w:rsid w:val="00E11B38"/>
    <w:rsid w:val="00E1229E"/>
    <w:rsid w:val="00E1297A"/>
    <w:rsid w:val="00E12DA5"/>
    <w:rsid w:val="00E13F46"/>
    <w:rsid w:val="00E170D7"/>
    <w:rsid w:val="00E20C0E"/>
    <w:rsid w:val="00E22C27"/>
    <w:rsid w:val="00E22F00"/>
    <w:rsid w:val="00E26423"/>
    <w:rsid w:val="00E32DA8"/>
    <w:rsid w:val="00E3309D"/>
    <w:rsid w:val="00E34BD9"/>
    <w:rsid w:val="00E358FA"/>
    <w:rsid w:val="00E3682E"/>
    <w:rsid w:val="00E42239"/>
    <w:rsid w:val="00E43397"/>
    <w:rsid w:val="00E43E94"/>
    <w:rsid w:val="00E44584"/>
    <w:rsid w:val="00E47EFA"/>
    <w:rsid w:val="00E50CAA"/>
    <w:rsid w:val="00E5762E"/>
    <w:rsid w:val="00E61458"/>
    <w:rsid w:val="00E61B14"/>
    <w:rsid w:val="00E63883"/>
    <w:rsid w:val="00E64118"/>
    <w:rsid w:val="00E67B0E"/>
    <w:rsid w:val="00E71431"/>
    <w:rsid w:val="00E73FE4"/>
    <w:rsid w:val="00E75AFD"/>
    <w:rsid w:val="00E763F7"/>
    <w:rsid w:val="00E76D26"/>
    <w:rsid w:val="00E77628"/>
    <w:rsid w:val="00E77F13"/>
    <w:rsid w:val="00E80A45"/>
    <w:rsid w:val="00E8310E"/>
    <w:rsid w:val="00E83CCF"/>
    <w:rsid w:val="00E91558"/>
    <w:rsid w:val="00E928D5"/>
    <w:rsid w:val="00E961AC"/>
    <w:rsid w:val="00EA0FEF"/>
    <w:rsid w:val="00EA1302"/>
    <w:rsid w:val="00EA1EAF"/>
    <w:rsid w:val="00EA3B1F"/>
    <w:rsid w:val="00EB1B0F"/>
    <w:rsid w:val="00EB27F7"/>
    <w:rsid w:val="00EB51BC"/>
    <w:rsid w:val="00EC138B"/>
    <w:rsid w:val="00EC66D8"/>
    <w:rsid w:val="00EC6A71"/>
    <w:rsid w:val="00ED27D2"/>
    <w:rsid w:val="00ED56B4"/>
    <w:rsid w:val="00ED7815"/>
    <w:rsid w:val="00EE0617"/>
    <w:rsid w:val="00EE1FAF"/>
    <w:rsid w:val="00EE20CB"/>
    <w:rsid w:val="00EE35E2"/>
    <w:rsid w:val="00EE3E9F"/>
    <w:rsid w:val="00EE7783"/>
    <w:rsid w:val="00EF2F91"/>
    <w:rsid w:val="00EF4D86"/>
    <w:rsid w:val="00EF5355"/>
    <w:rsid w:val="00EF5E7F"/>
    <w:rsid w:val="00EF5FC1"/>
    <w:rsid w:val="00EF6156"/>
    <w:rsid w:val="00EF7034"/>
    <w:rsid w:val="00F00584"/>
    <w:rsid w:val="00F030CC"/>
    <w:rsid w:val="00F05BC4"/>
    <w:rsid w:val="00F05DED"/>
    <w:rsid w:val="00F11C7F"/>
    <w:rsid w:val="00F130FB"/>
    <w:rsid w:val="00F1411E"/>
    <w:rsid w:val="00F14F4B"/>
    <w:rsid w:val="00F170E6"/>
    <w:rsid w:val="00F203FE"/>
    <w:rsid w:val="00F21D5F"/>
    <w:rsid w:val="00F26248"/>
    <w:rsid w:val="00F268F2"/>
    <w:rsid w:val="00F34524"/>
    <w:rsid w:val="00F4162F"/>
    <w:rsid w:val="00F43160"/>
    <w:rsid w:val="00F439A9"/>
    <w:rsid w:val="00F45C68"/>
    <w:rsid w:val="00F46D86"/>
    <w:rsid w:val="00F53F1D"/>
    <w:rsid w:val="00F544CA"/>
    <w:rsid w:val="00F612BD"/>
    <w:rsid w:val="00F65E22"/>
    <w:rsid w:val="00F72CF1"/>
    <w:rsid w:val="00F80F78"/>
    <w:rsid w:val="00F81164"/>
    <w:rsid w:val="00F84F6E"/>
    <w:rsid w:val="00F92E09"/>
    <w:rsid w:val="00F93E7A"/>
    <w:rsid w:val="00F95925"/>
    <w:rsid w:val="00FA171F"/>
    <w:rsid w:val="00FA2618"/>
    <w:rsid w:val="00FA4B14"/>
    <w:rsid w:val="00FA70F3"/>
    <w:rsid w:val="00FB169F"/>
    <w:rsid w:val="00FB5D43"/>
    <w:rsid w:val="00FB60C7"/>
    <w:rsid w:val="00FB746C"/>
    <w:rsid w:val="00FB7E8C"/>
    <w:rsid w:val="00FC1259"/>
    <w:rsid w:val="00FC12F4"/>
    <w:rsid w:val="00FC1D62"/>
    <w:rsid w:val="00FC46FC"/>
    <w:rsid w:val="00FD0E4A"/>
    <w:rsid w:val="00FD1F66"/>
    <w:rsid w:val="00FD639F"/>
    <w:rsid w:val="00FE03F9"/>
    <w:rsid w:val="00FE11B8"/>
    <w:rsid w:val="00FE1D9E"/>
    <w:rsid w:val="00FE2521"/>
    <w:rsid w:val="00FE27F3"/>
    <w:rsid w:val="00FE2C7E"/>
    <w:rsid w:val="00FE3E29"/>
    <w:rsid w:val="00FE403C"/>
    <w:rsid w:val="00FE5F5E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F463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8660D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56E7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9"/>
    <w:semiHidden/>
    <w:locked/>
    <w:rsid w:val="00756E7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9"/>
    <w:semiHidden/>
    <w:locked/>
    <w:rsid w:val="00756E7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9"/>
    <w:semiHidden/>
    <w:locked/>
    <w:rsid w:val="00756E7C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link w:val="5"/>
    <w:uiPriority w:val="99"/>
    <w:semiHidden/>
    <w:locked/>
    <w:rsid w:val="00756E7C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лавие 6 Знак"/>
    <w:link w:val="6"/>
    <w:uiPriority w:val="99"/>
    <w:locked/>
    <w:rsid w:val="0088660D"/>
    <w:rPr>
      <w:rFonts w:ascii="Calibri" w:hAnsi="Calibri" w:cs="Calibri"/>
      <w:b/>
      <w:bCs/>
      <w:lang w:val="en-US" w:eastAsia="en-US"/>
    </w:rPr>
  </w:style>
  <w:style w:type="paragraph" w:customStyle="1" w:styleId="Char">
    <w:name w:val="Char Знак"/>
    <w:basedOn w:val="a"/>
    <w:uiPriority w:val="99"/>
    <w:rsid w:val="007100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32066B"/>
    <w:rPr>
      <w:rFonts w:ascii="Arial" w:hAnsi="Arial" w:cs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</w:style>
  <w:style w:type="character" w:customStyle="1" w:styleId="a8">
    <w:name w:val="Основен текст Знак"/>
    <w:link w:val="a7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</w:style>
  <w:style w:type="character" w:customStyle="1" w:styleId="22">
    <w:name w:val="Основен текст 2 Знак"/>
    <w:link w:val="21"/>
    <w:uiPriority w:val="99"/>
    <w:semiHidden/>
    <w:locked/>
    <w:rsid w:val="00756E7C"/>
    <w:rPr>
      <w:rFonts w:ascii="Arial" w:hAnsi="Arial" w:cs="Arial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rsid w:val="00DB046A"/>
    <w:rPr>
      <w:sz w:val="2"/>
      <w:szCs w:val="2"/>
    </w:rPr>
  </w:style>
  <w:style w:type="character" w:customStyle="1" w:styleId="ac">
    <w:name w:val="Изнесен текст Знак"/>
    <w:link w:val="ab"/>
    <w:uiPriority w:val="99"/>
    <w:semiHidden/>
    <w:locked/>
    <w:rsid w:val="00756E7C"/>
    <w:rPr>
      <w:rFonts w:cs="Times New Roman"/>
      <w:sz w:val="2"/>
      <w:szCs w:val="2"/>
      <w:lang w:val="en-US" w:eastAsia="en-US"/>
    </w:rPr>
  </w:style>
  <w:style w:type="paragraph" w:styleId="ad">
    <w:name w:val="List Paragraph"/>
    <w:basedOn w:val="a"/>
    <w:uiPriority w:val="99"/>
    <w:qFormat/>
    <w:rsid w:val="00404969"/>
    <w:pPr>
      <w:ind w:left="720"/>
    </w:pPr>
  </w:style>
  <w:style w:type="paragraph" w:customStyle="1" w:styleId="Style">
    <w:name w:val="Style"/>
    <w:uiPriority w:val="99"/>
    <w:rsid w:val="001F5C24"/>
    <w:pPr>
      <w:autoSpaceDE w:val="0"/>
      <w:autoSpaceDN w:val="0"/>
      <w:adjustRightInd w:val="0"/>
      <w:ind w:left="140" w:right="140" w:firstLine="840"/>
      <w:jc w:val="both"/>
    </w:pPr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rsid w:val="002F463D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character" w:customStyle="1" w:styleId="24">
    <w:name w:val="Основен текст с отстъп 2 Знак"/>
    <w:link w:val="2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e">
    <w:name w:val="Title"/>
    <w:basedOn w:val="a"/>
    <w:link w:val="af"/>
    <w:uiPriority w:val="99"/>
    <w:qFormat/>
    <w:rsid w:val="002F463D"/>
    <w:pPr>
      <w:overflowPunct/>
      <w:autoSpaceDE/>
      <w:autoSpaceDN/>
      <w:adjustRightInd/>
      <w:jc w:val="center"/>
      <w:textAlignment w:val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Заглавие Знак"/>
    <w:link w:val="ae"/>
    <w:uiPriority w:val="99"/>
    <w:locked/>
    <w:rsid w:val="00756E7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f0">
    <w:name w:val="Body Text Indent"/>
    <w:basedOn w:val="a"/>
    <w:link w:val="af1"/>
    <w:uiPriority w:val="99"/>
    <w:rsid w:val="002F463D"/>
    <w:pPr>
      <w:overflowPunct/>
      <w:autoSpaceDE/>
      <w:autoSpaceDN/>
      <w:adjustRightInd/>
      <w:ind w:left="720"/>
      <w:jc w:val="both"/>
      <w:textAlignment w:val="auto"/>
    </w:pPr>
  </w:style>
  <w:style w:type="character" w:customStyle="1" w:styleId="af1">
    <w:name w:val="Основен текст с отстъп Знак"/>
    <w:link w:val="af0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31">
    <w:name w:val="Body Text Indent 3"/>
    <w:basedOn w:val="a"/>
    <w:link w:val="32"/>
    <w:uiPriority w:val="99"/>
    <w:rsid w:val="002F463D"/>
    <w:pPr>
      <w:overflowPunct/>
      <w:autoSpaceDE/>
      <w:autoSpaceDN/>
      <w:adjustRightInd/>
      <w:ind w:left="-360" w:firstLine="1800"/>
      <w:jc w:val="both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756E7C"/>
    <w:rPr>
      <w:rFonts w:ascii="Arial" w:hAnsi="Arial" w:cs="Arial"/>
      <w:sz w:val="16"/>
      <w:szCs w:val="16"/>
      <w:lang w:val="en-US" w:eastAsia="en-US"/>
    </w:rPr>
  </w:style>
  <w:style w:type="character" w:styleId="af2">
    <w:name w:val="Strong"/>
    <w:uiPriority w:val="99"/>
    <w:qFormat/>
    <w:rsid w:val="002F463D"/>
    <w:rPr>
      <w:rFonts w:cs="Times New Roman"/>
      <w:b/>
      <w:bCs/>
    </w:rPr>
  </w:style>
  <w:style w:type="paragraph" w:customStyle="1" w:styleId="Char0">
    <w:name w:val="Char Знак Знак Знак"/>
    <w:basedOn w:val="a"/>
    <w:uiPriority w:val="99"/>
    <w:rsid w:val="002F463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table" w:styleId="af3">
    <w:name w:val="Table Grid"/>
    <w:basedOn w:val="a1"/>
    <w:uiPriority w:val="99"/>
    <w:rsid w:val="002F463D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2F46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page number"/>
    <w:uiPriority w:val="99"/>
    <w:rsid w:val="002F463D"/>
    <w:rPr>
      <w:rFonts w:cs="Times New Roman"/>
    </w:rPr>
  </w:style>
  <w:style w:type="paragraph" w:customStyle="1" w:styleId="CharCharChar">
    <w:name w:val="Char Знак Char Char Знак"/>
    <w:basedOn w:val="a"/>
    <w:uiPriority w:val="99"/>
    <w:rsid w:val="002B52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Знак Char Знак"/>
    <w:basedOn w:val="a"/>
    <w:uiPriority w:val="99"/>
    <w:rsid w:val="005773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0">
    <w:name w:val="Char Знак Char"/>
    <w:basedOn w:val="a"/>
    <w:uiPriority w:val="99"/>
    <w:rsid w:val="00F8116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tyle3">
    <w:name w:val="Style3"/>
    <w:basedOn w:val="a"/>
    <w:uiPriority w:val="99"/>
    <w:rsid w:val="00C342B0"/>
    <w:pPr>
      <w:widowControl w:val="0"/>
      <w:overflowPunct/>
      <w:textAlignment w:val="auto"/>
    </w:pPr>
    <w:rPr>
      <w:lang w:val="en-AU"/>
    </w:rPr>
  </w:style>
  <w:style w:type="character" w:customStyle="1" w:styleId="FontStyle11">
    <w:name w:val="Font Style11"/>
    <w:uiPriority w:val="99"/>
    <w:rsid w:val="00C342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C342B0"/>
    <w:rPr>
      <w:rFonts w:ascii="Times New Roman" w:hAnsi="Times New Roman" w:cs="Times New Roman"/>
      <w:sz w:val="22"/>
      <w:szCs w:val="22"/>
    </w:rPr>
  </w:style>
  <w:style w:type="paragraph" w:customStyle="1" w:styleId="1CharChar">
    <w:name w:val="Знак Знак1 Char Char"/>
    <w:basedOn w:val="a"/>
    <w:uiPriority w:val="99"/>
    <w:rsid w:val="00C342B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6">
    <w:name w:val="caption"/>
    <w:basedOn w:val="a"/>
    <w:next w:val="a"/>
    <w:uiPriority w:val="99"/>
    <w:qFormat/>
    <w:locked/>
    <w:rsid w:val="005C6EAB"/>
    <w:rPr>
      <w:b/>
      <w:bCs/>
    </w:rPr>
  </w:style>
  <w:style w:type="paragraph" w:customStyle="1" w:styleId="Style1">
    <w:name w:val="Style1"/>
    <w:basedOn w:val="a"/>
    <w:uiPriority w:val="99"/>
    <w:rsid w:val="0042690B"/>
    <w:pPr>
      <w:widowControl w:val="0"/>
      <w:overflowPunct/>
      <w:textAlignment w:val="auto"/>
    </w:pPr>
    <w:rPr>
      <w:lang w:val="en-AU"/>
    </w:rPr>
  </w:style>
  <w:style w:type="paragraph" w:customStyle="1" w:styleId="TimesNewRoman">
    <w:name w:val="Нормален + Times New Roman"/>
    <w:aliases w:val="12 pt"/>
    <w:basedOn w:val="a"/>
    <w:link w:val="TimesNewRoman0"/>
    <w:uiPriority w:val="99"/>
    <w:rsid w:val="0042690B"/>
    <w:pPr>
      <w:ind w:firstLine="720"/>
      <w:jc w:val="both"/>
    </w:pPr>
    <w:rPr>
      <w:rFonts w:cs="Times New Roman"/>
      <w:sz w:val="24"/>
      <w:szCs w:val="24"/>
      <w:lang w:val="bg-BG"/>
    </w:rPr>
  </w:style>
  <w:style w:type="character" w:customStyle="1" w:styleId="TimesNewRoman0">
    <w:name w:val="Нормален + Times New Roman Знак"/>
    <w:aliases w:val="12 pt Знак"/>
    <w:link w:val="TimesNewRoman"/>
    <w:uiPriority w:val="99"/>
    <w:locked/>
    <w:rsid w:val="0096352E"/>
    <w:rPr>
      <w:rFonts w:cs="Times New Roman"/>
      <w:sz w:val="24"/>
      <w:szCs w:val="24"/>
      <w:lang w:val="bg-BG" w:eastAsia="en-US"/>
    </w:rPr>
  </w:style>
  <w:style w:type="character" w:customStyle="1" w:styleId="61">
    <w:name w:val="Знак Знак6"/>
    <w:uiPriority w:val="99"/>
    <w:semiHidden/>
    <w:locked/>
    <w:rsid w:val="001C54E7"/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uiPriority w:val="99"/>
    <w:rsid w:val="002F68A7"/>
    <w:rPr>
      <w:rFonts w:cs="Times New Roman"/>
    </w:rPr>
  </w:style>
  <w:style w:type="paragraph" w:customStyle="1" w:styleId="1CharChar1">
    <w:name w:val="Знак Знак1 Char Char1"/>
    <w:basedOn w:val="a"/>
    <w:uiPriority w:val="99"/>
    <w:rsid w:val="00396E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af7">
    <w:name w:val="FollowedHyperlink"/>
    <w:uiPriority w:val="99"/>
    <w:semiHidden/>
    <w:rsid w:val="0042153A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F463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8660D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56E7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9"/>
    <w:semiHidden/>
    <w:locked/>
    <w:rsid w:val="00756E7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9"/>
    <w:semiHidden/>
    <w:locked/>
    <w:rsid w:val="00756E7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9"/>
    <w:semiHidden/>
    <w:locked/>
    <w:rsid w:val="00756E7C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link w:val="5"/>
    <w:uiPriority w:val="99"/>
    <w:semiHidden/>
    <w:locked/>
    <w:rsid w:val="00756E7C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лавие 6 Знак"/>
    <w:link w:val="6"/>
    <w:uiPriority w:val="99"/>
    <w:locked/>
    <w:rsid w:val="0088660D"/>
    <w:rPr>
      <w:rFonts w:ascii="Calibri" w:hAnsi="Calibri" w:cs="Calibri"/>
      <w:b/>
      <w:bCs/>
      <w:lang w:val="en-US" w:eastAsia="en-US"/>
    </w:rPr>
  </w:style>
  <w:style w:type="paragraph" w:customStyle="1" w:styleId="Char">
    <w:name w:val="Char Знак"/>
    <w:basedOn w:val="a"/>
    <w:uiPriority w:val="99"/>
    <w:rsid w:val="007100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32066B"/>
    <w:rPr>
      <w:rFonts w:ascii="Arial" w:hAnsi="Arial" w:cs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</w:style>
  <w:style w:type="character" w:customStyle="1" w:styleId="a8">
    <w:name w:val="Основен текст Знак"/>
    <w:link w:val="a7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</w:style>
  <w:style w:type="character" w:customStyle="1" w:styleId="22">
    <w:name w:val="Основен текст 2 Знак"/>
    <w:link w:val="21"/>
    <w:uiPriority w:val="99"/>
    <w:semiHidden/>
    <w:locked/>
    <w:rsid w:val="00756E7C"/>
    <w:rPr>
      <w:rFonts w:ascii="Arial" w:hAnsi="Arial" w:cs="Arial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rsid w:val="00DB046A"/>
    <w:rPr>
      <w:sz w:val="2"/>
      <w:szCs w:val="2"/>
    </w:rPr>
  </w:style>
  <w:style w:type="character" w:customStyle="1" w:styleId="ac">
    <w:name w:val="Изнесен текст Знак"/>
    <w:link w:val="ab"/>
    <w:uiPriority w:val="99"/>
    <w:semiHidden/>
    <w:locked/>
    <w:rsid w:val="00756E7C"/>
    <w:rPr>
      <w:rFonts w:cs="Times New Roman"/>
      <w:sz w:val="2"/>
      <w:szCs w:val="2"/>
      <w:lang w:val="en-US" w:eastAsia="en-US"/>
    </w:rPr>
  </w:style>
  <w:style w:type="paragraph" w:styleId="ad">
    <w:name w:val="List Paragraph"/>
    <w:basedOn w:val="a"/>
    <w:uiPriority w:val="99"/>
    <w:qFormat/>
    <w:rsid w:val="00404969"/>
    <w:pPr>
      <w:ind w:left="720"/>
    </w:pPr>
  </w:style>
  <w:style w:type="paragraph" w:customStyle="1" w:styleId="Style">
    <w:name w:val="Style"/>
    <w:uiPriority w:val="99"/>
    <w:rsid w:val="001F5C24"/>
    <w:pPr>
      <w:autoSpaceDE w:val="0"/>
      <w:autoSpaceDN w:val="0"/>
      <w:adjustRightInd w:val="0"/>
      <w:ind w:left="140" w:right="140" w:firstLine="840"/>
      <w:jc w:val="both"/>
    </w:pPr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rsid w:val="002F463D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character" w:customStyle="1" w:styleId="24">
    <w:name w:val="Основен текст с отстъп 2 Знак"/>
    <w:link w:val="2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e">
    <w:name w:val="Title"/>
    <w:basedOn w:val="a"/>
    <w:link w:val="af"/>
    <w:uiPriority w:val="99"/>
    <w:qFormat/>
    <w:rsid w:val="002F463D"/>
    <w:pPr>
      <w:overflowPunct/>
      <w:autoSpaceDE/>
      <w:autoSpaceDN/>
      <w:adjustRightInd/>
      <w:jc w:val="center"/>
      <w:textAlignment w:val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Заглавие Знак"/>
    <w:link w:val="ae"/>
    <w:uiPriority w:val="99"/>
    <w:locked/>
    <w:rsid w:val="00756E7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f0">
    <w:name w:val="Body Text Indent"/>
    <w:basedOn w:val="a"/>
    <w:link w:val="af1"/>
    <w:uiPriority w:val="99"/>
    <w:rsid w:val="002F463D"/>
    <w:pPr>
      <w:overflowPunct/>
      <w:autoSpaceDE/>
      <w:autoSpaceDN/>
      <w:adjustRightInd/>
      <w:ind w:left="720"/>
      <w:jc w:val="both"/>
      <w:textAlignment w:val="auto"/>
    </w:pPr>
  </w:style>
  <w:style w:type="character" w:customStyle="1" w:styleId="af1">
    <w:name w:val="Основен текст с отстъп Знак"/>
    <w:link w:val="af0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31">
    <w:name w:val="Body Text Indent 3"/>
    <w:basedOn w:val="a"/>
    <w:link w:val="32"/>
    <w:uiPriority w:val="99"/>
    <w:rsid w:val="002F463D"/>
    <w:pPr>
      <w:overflowPunct/>
      <w:autoSpaceDE/>
      <w:autoSpaceDN/>
      <w:adjustRightInd/>
      <w:ind w:left="-360" w:firstLine="1800"/>
      <w:jc w:val="both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756E7C"/>
    <w:rPr>
      <w:rFonts w:ascii="Arial" w:hAnsi="Arial" w:cs="Arial"/>
      <w:sz w:val="16"/>
      <w:szCs w:val="16"/>
      <w:lang w:val="en-US" w:eastAsia="en-US"/>
    </w:rPr>
  </w:style>
  <w:style w:type="character" w:styleId="af2">
    <w:name w:val="Strong"/>
    <w:uiPriority w:val="99"/>
    <w:qFormat/>
    <w:rsid w:val="002F463D"/>
    <w:rPr>
      <w:rFonts w:cs="Times New Roman"/>
      <w:b/>
      <w:bCs/>
    </w:rPr>
  </w:style>
  <w:style w:type="paragraph" w:customStyle="1" w:styleId="Char0">
    <w:name w:val="Char Знак Знак Знак"/>
    <w:basedOn w:val="a"/>
    <w:uiPriority w:val="99"/>
    <w:rsid w:val="002F463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table" w:styleId="af3">
    <w:name w:val="Table Grid"/>
    <w:basedOn w:val="a1"/>
    <w:uiPriority w:val="99"/>
    <w:rsid w:val="002F463D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2F46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page number"/>
    <w:uiPriority w:val="99"/>
    <w:rsid w:val="002F463D"/>
    <w:rPr>
      <w:rFonts w:cs="Times New Roman"/>
    </w:rPr>
  </w:style>
  <w:style w:type="paragraph" w:customStyle="1" w:styleId="CharCharChar">
    <w:name w:val="Char Знак Char Char Знак"/>
    <w:basedOn w:val="a"/>
    <w:uiPriority w:val="99"/>
    <w:rsid w:val="002B52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Знак Char Знак"/>
    <w:basedOn w:val="a"/>
    <w:uiPriority w:val="99"/>
    <w:rsid w:val="005773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0">
    <w:name w:val="Char Знак Char"/>
    <w:basedOn w:val="a"/>
    <w:uiPriority w:val="99"/>
    <w:rsid w:val="00F8116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tyle3">
    <w:name w:val="Style3"/>
    <w:basedOn w:val="a"/>
    <w:uiPriority w:val="99"/>
    <w:rsid w:val="00C342B0"/>
    <w:pPr>
      <w:widowControl w:val="0"/>
      <w:overflowPunct/>
      <w:textAlignment w:val="auto"/>
    </w:pPr>
    <w:rPr>
      <w:lang w:val="en-AU"/>
    </w:rPr>
  </w:style>
  <w:style w:type="character" w:customStyle="1" w:styleId="FontStyle11">
    <w:name w:val="Font Style11"/>
    <w:uiPriority w:val="99"/>
    <w:rsid w:val="00C342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C342B0"/>
    <w:rPr>
      <w:rFonts w:ascii="Times New Roman" w:hAnsi="Times New Roman" w:cs="Times New Roman"/>
      <w:sz w:val="22"/>
      <w:szCs w:val="22"/>
    </w:rPr>
  </w:style>
  <w:style w:type="paragraph" w:customStyle="1" w:styleId="1CharChar">
    <w:name w:val="Знак Знак1 Char Char"/>
    <w:basedOn w:val="a"/>
    <w:uiPriority w:val="99"/>
    <w:rsid w:val="00C342B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6">
    <w:name w:val="caption"/>
    <w:basedOn w:val="a"/>
    <w:next w:val="a"/>
    <w:uiPriority w:val="99"/>
    <w:qFormat/>
    <w:locked/>
    <w:rsid w:val="005C6EAB"/>
    <w:rPr>
      <w:b/>
      <w:bCs/>
    </w:rPr>
  </w:style>
  <w:style w:type="paragraph" w:customStyle="1" w:styleId="Style1">
    <w:name w:val="Style1"/>
    <w:basedOn w:val="a"/>
    <w:uiPriority w:val="99"/>
    <w:rsid w:val="0042690B"/>
    <w:pPr>
      <w:widowControl w:val="0"/>
      <w:overflowPunct/>
      <w:textAlignment w:val="auto"/>
    </w:pPr>
    <w:rPr>
      <w:lang w:val="en-AU"/>
    </w:rPr>
  </w:style>
  <w:style w:type="paragraph" w:customStyle="1" w:styleId="TimesNewRoman">
    <w:name w:val="Нормален + Times New Roman"/>
    <w:aliases w:val="12 pt"/>
    <w:basedOn w:val="a"/>
    <w:link w:val="TimesNewRoman0"/>
    <w:uiPriority w:val="99"/>
    <w:rsid w:val="0042690B"/>
    <w:pPr>
      <w:ind w:firstLine="720"/>
      <w:jc w:val="both"/>
    </w:pPr>
    <w:rPr>
      <w:rFonts w:cs="Times New Roman"/>
      <w:sz w:val="24"/>
      <w:szCs w:val="24"/>
      <w:lang w:val="bg-BG"/>
    </w:rPr>
  </w:style>
  <w:style w:type="character" w:customStyle="1" w:styleId="TimesNewRoman0">
    <w:name w:val="Нормален + Times New Roman Знак"/>
    <w:aliases w:val="12 pt Знак"/>
    <w:link w:val="TimesNewRoman"/>
    <w:uiPriority w:val="99"/>
    <w:locked/>
    <w:rsid w:val="0096352E"/>
    <w:rPr>
      <w:rFonts w:cs="Times New Roman"/>
      <w:sz w:val="24"/>
      <w:szCs w:val="24"/>
      <w:lang w:val="bg-BG" w:eastAsia="en-US"/>
    </w:rPr>
  </w:style>
  <w:style w:type="character" w:customStyle="1" w:styleId="61">
    <w:name w:val="Знак Знак6"/>
    <w:uiPriority w:val="99"/>
    <w:semiHidden/>
    <w:locked/>
    <w:rsid w:val="001C54E7"/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uiPriority w:val="99"/>
    <w:rsid w:val="002F68A7"/>
    <w:rPr>
      <w:rFonts w:cs="Times New Roman"/>
    </w:rPr>
  </w:style>
  <w:style w:type="paragraph" w:customStyle="1" w:styleId="1CharChar1">
    <w:name w:val="Знак Знак1 Char Char1"/>
    <w:basedOn w:val="a"/>
    <w:uiPriority w:val="99"/>
    <w:rsid w:val="00396E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af7">
    <w:name w:val="FollowedHyperlink"/>
    <w:uiPriority w:val="99"/>
    <w:semiHidden/>
    <w:rsid w:val="0042153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3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798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g.wikipedia.org/wiki/%D0%90%D1%80%D0%B4%D0%B8%D0%BD%D0%B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g.wikipedia.org/wiki/%D0%9A%D1%80%D1%83%D0%BC%D0%BE%D0%B2%D0%B3%D1%80%D0%B0%D0%B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g.wikipedia.org/wiki/%D0%9C%D0%BE%D0%BC%D1%87%D0%B8%D0%BB%D0%B3%D1%80%D0%B0%D0%B4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hyperlink" Target="https://bg.wikipedia.org/wiki/%D0%9A%D1%8A%D1%80%D0%B4%D0%B6%D0%B0%D0%BB%D0%B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g.wikipedia.org/wiki/%D0%9E%D0%B1%D0%BB%D0%B0%D1%81%D1%82%D0%B8_%D0%BD%D0%B0_%D0%91%D1%8A%D0%BB%D0%B3%D0%B0%D1%80%D0%B8%D1%8F" TargetMode="External"/><Relationship Id="rId14" Type="http://schemas.openxmlformats.org/officeDocument/2006/relationships/hyperlink" Target="https://bg.wikipedia.org/wiki/%D0%94%D0%B6%D0%B5%D0%B1%D0%B5%D0%B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bg-BG"/>
              <a:t>Брой животни през 2015, 2016, 2017, 2018,2019 г. </a:t>
            </a:r>
          </a:p>
        </c:rich>
      </c:tx>
      <c:layout>
        <c:manualLayout>
          <c:xMode val="edge"/>
          <c:yMode val="edge"/>
          <c:x val="0.19217687074829931"/>
          <c:y val="2.0771513353115726E-2"/>
        </c:manualLayout>
      </c:layout>
      <c:overlay val="0"/>
      <c:spPr>
        <a:noFill/>
        <a:ln w="25392">
          <a:noFill/>
        </a:ln>
      </c:spPr>
    </c:title>
    <c:autoTitleDeleted val="0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414965986394558"/>
          <c:y val="0.16913946587537093"/>
          <c:w val="0.85544217687074831"/>
          <c:h val="0.5964391691394659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51343</c:v>
                </c:pt>
                <c:pt idx="1">
                  <c:v>80887</c:v>
                </c:pt>
                <c:pt idx="2">
                  <c:v>5554</c:v>
                </c:pt>
                <c:pt idx="3">
                  <c:v>0</c:v>
                </c:pt>
                <c:pt idx="4">
                  <c:v>260800</c:v>
                </c:pt>
                <c:pt idx="5">
                  <c:v>212</c:v>
                </c:pt>
                <c:pt idx="6">
                  <c:v>15603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1E-4A52-842F-46CE6381596D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69651</c:v>
                </c:pt>
                <c:pt idx="1">
                  <c:v>96570</c:v>
                </c:pt>
                <c:pt idx="2">
                  <c:v>7458</c:v>
                </c:pt>
                <c:pt idx="3">
                  <c:v>0</c:v>
                </c:pt>
                <c:pt idx="4">
                  <c:v>286000</c:v>
                </c:pt>
                <c:pt idx="5">
                  <c:v>1524</c:v>
                </c:pt>
                <c:pt idx="6">
                  <c:v>16677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1E-4A52-842F-46CE6381596D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71884</c:v>
                </c:pt>
                <c:pt idx="1">
                  <c:v>90543</c:v>
                </c:pt>
                <c:pt idx="2">
                  <c:v>7250</c:v>
                </c:pt>
                <c:pt idx="3">
                  <c:v>0</c:v>
                </c:pt>
                <c:pt idx="4">
                  <c:v>177000</c:v>
                </c:pt>
                <c:pt idx="5">
                  <c:v>2626</c:v>
                </c:pt>
                <c:pt idx="6">
                  <c:v>16000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1E-4A52-842F-46CE6381596D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6600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  <c:pt idx="0">
                  <c:v>68994</c:v>
                </c:pt>
                <c:pt idx="1">
                  <c:v>87162</c:v>
                </c:pt>
                <c:pt idx="2">
                  <c:v>7188</c:v>
                </c:pt>
                <c:pt idx="3">
                  <c:v>0</c:v>
                </c:pt>
                <c:pt idx="4">
                  <c:v>285000</c:v>
                </c:pt>
                <c:pt idx="5">
                  <c:v>2551</c:v>
                </c:pt>
                <c:pt idx="6">
                  <c:v>15421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11E-4A52-842F-46CE6381596D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Sheet1!$B$6:$H$6</c:f>
              <c:numCache>
                <c:formatCode>General</c:formatCode>
                <c:ptCount val="7"/>
                <c:pt idx="0">
                  <c:v>68305</c:v>
                </c:pt>
                <c:pt idx="1">
                  <c:v>85329</c:v>
                </c:pt>
                <c:pt idx="2">
                  <c:v>7546</c:v>
                </c:pt>
                <c:pt idx="3">
                  <c:v>379</c:v>
                </c:pt>
                <c:pt idx="4">
                  <c:v>277000</c:v>
                </c:pt>
                <c:pt idx="5">
                  <c:v>2446</c:v>
                </c:pt>
                <c:pt idx="6">
                  <c:v>16265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11E-4A52-842F-46CE638159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3907328"/>
        <c:axId val="99946880"/>
        <c:axId val="0"/>
      </c:bar3DChart>
      <c:catAx>
        <c:axId val="43907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bg-BG"/>
                  <a:t>животни</a:t>
                </a:r>
              </a:p>
            </c:rich>
          </c:tx>
          <c:layout>
            <c:manualLayout>
              <c:xMode val="edge"/>
              <c:yMode val="edge"/>
              <c:x val="0.49489795918367346"/>
              <c:y val="0.88427299703264095"/>
            </c:manualLayout>
          </c:layout>
          <c:overlay val="0"/>
          <c:spPr>
            <a:noFill/>
            <a:ln w="25392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bg-BG"/>
          </a:p>
        </c:txPr>
        <c:crossAx val="99946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9946880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брой</a:t>
                </a:r>
              </a:p>
            </c:rich>
          </c:tx>
          <c:layout>
            <c:manualLayout>
              <c:xMode val="edge"/>
              <c:yMode val="edge"/>
              <c:x val="7.4829931972789115E-2"/>
              <c:y val="0.39169139465875369"/>
            </c:manualLayout>
          </c:layout>
          <c:overlay val="0"/>
          <c:spPr>
            <a:noFill/>
            <a:ln w="2539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43907328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layout>
        <c:manualLayout>
          <c:xMode val="edge"/>
          <c:yMode val="edge"/>
          <c:x val="0.90986394557823125"/>
          <c:y val="0.36498516320474778"/>
          <c:w val="7.1428571428571425E-2"/>
          <c:h val="0.28486646884272998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bg-BG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0.4995</cdr:x>
      <cdr:y>0.49825</cdr:y>
    </cdr:from>
    <cdr:to>
      <cdr:x>0.52325</cdr:x>
      <cdr:y>0.55475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7550" y="1599345"/>
          <a:ext cx="133016" cy="1813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bg-BG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750F-21EB-48DD-B15D-6D62B0EC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6814</Words>
  <Characters>38844</Characters>
  <Application>Microsoft Office Word</Application>
  <DocSecurity>0</DocSecurity>
  <Lines>323</Lines>
  <Paragraphs>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admin1</cp:lastModifiedBy>
  <cp:revision>2</cp:revision>
  <cp:lastPrinted>2019-02-18T07:46:00Z</cp:lastPrinted>
  <dcterms:created xsi:type="dcterms:W3CDTF">2025-08-08T05:47:00Z</dcterms:created>
  <dcterms:modified xsi:type="dcterms:W3CDTF">2025-08-08T05:47:00Z</dcterms:modified>
</cp:coreProperties>
</file>