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02016E"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A40F5" w:rsidRPr="0002016E" w:rsidRDefault="0002016E" w:rsidP="008B7A95">
      <w:pPr>
        <w:jc w:val="both"/>
        <w:rPr>
          <w:rFonts w:ascii="Arial" w:hAnsi="Arial" w:cs="Arial"/>
          <w:noProof/>
          <w:sz w:val="20"/>
        </w:rPr>
      </w:pPr>
      <w:r w:rsidRPr="0002016E">
        <w:rPr>
          <w:rFonts w:ascii="Arial" w:hAnsi="Arial" w:cs="Arial"/>
          <w:b/>
          <w:noProof/>
          <w:sz w:val="20"/>
        </w:rPr>
        <w:t>4</w:t>
      </w:r>
      <w:r w:rsidR="00CA40F5" w:rsidRPr="0002016E">
        <w:rPr>
          <w:rFonts w:ascii="Arial" w:hAnsi="Arial" w:cs="Arial"/>
          <w:b/>
          <w:noProof/>
          <w:sz w:val="20"/>
        </w:rPr>
        <w:t>. Министрите по селско стопанство обсъдиха бъдещето на ОСП, стратегията „От фермата до трап</w:t>
      </w:r>
      <w:r w:rsidR="00C96E9D">
        <w:rPr>
          <w:rFonts w:ascii="Arial" w:hAnsi="Arial" w:cs="Arial"/>
          <w:b/>
          <w:noProof/>
          <w:sz w:val="20"/>
        </w:rPr>
        <w:t xml:space="preserve">езата“, </w:t>
      </w:r>
      <w:r w:rsidR="00452F9D" w:rsidRPr="0002016E">
        <w:rPr>
          <w:rFonts w:ascii="Arial" w:hAnsi="Arial" w:cs="Arial"/>
          <w:b/>
          <w:noProof/>
          <w:sz w:val="20"/>
        </w:rPr>
        <w:t>прилагането и бюджета на еко-схемите</w:t>
      </w:r>
      <w:r w:rsidR="00452F9D">
        <w:rPr>
          <w:rFonts w:ascii="Arial" w:hAnsi="Arial" w:cs="Arial"/>
          <w:b/>
          <w:noProof/>
          <w:sz w:val="20"/>
        </w:rPr>
        <w:t xml:space="preserve"> </w:t>
      </w:r>
      <w:r w:rsidR="00412AFD">
        <w:rPr>
          <w:rFonts w:ascii="Arial" w:hAnsi="Arial" w:cs="Arial"/>
          <w:b/>
          <w:noProof/>
          <w:sz w:val="20"/>
        </w:rPr>
        <w:t>и ситуацията на пазарите</w:t>
      </w:r>
      <w:r w:rsidR="00BF7565">
        <w:rPr>
          <w:rFonts w:ascii="Arial" w:hAnsi="Arial" w:cs="Arial"/>
          <w:b/>
          <w:noProof/>
          <w:sz w:val="20"/>
        </w:rPr>
        <w:t xml:space="preserve"> по време на </w:t>
      </w:r>
      <w:r w:rsidR="00CA40F5" w:rsidRPr="00BF7565">
        <w:rPr>
          <w:rFonts w:ascii="Arial" w:hAnsi="Arial" w:cs="Arial"/>
          <w:b/>
          <w:noProof/>
          <w:sz w:val="20"/>
        </w:rPr>
        <w:t>Съвет</w:t>
      </w:r>
      <w:r w:rsidR="00BF7565" w:rsidRPr="00BF7565">
        <w:rPr>
          <w:rFonts w:ascii="Arial" w:hAnsi="Arial" w:cs="Arial"/>
          <w:b/>
          <w:noProof/>
          <w:sz w:val="20"/>
        </w:rPr>
        <w:t>а по земеделие и рибарство, който се проведе на</w:t>
      </w:r>
      <w:r w:rsidR="00CA40F5" w:rsidRPr="00BF7565">
        <w:rPr>
          <w:rFonts w:ascii="Arial" w:hAnsi="Arial" w:cs="Arial"/>
          <w:b/>
          <w:noProof/>
          <w:sz w:val="20"/>
        </w:rPr>
        <w:t xml:space="preserve"> 20 юли</w:t>
      </w:r>
      <w:r w:rsidR="00BF7565" w:rsidRPr="00BF7565">
        <w:rPr>
          <w:rFonts w:ascii="Arial" w:hAnsi="Arial" w:cs="Arial"/>
          <w:b/>
          <w:noProof/>
          <w:sz w:val="20"/>
        </w:rPr>
        <w:t xml:space="preserve"> в Брюксел</w:t>
      </w:r>
      <w:r w:rsidR="00BF7565">
        <w:rPr>
          <w:rFonts w:ascii="Arial" w:hAnsi="Arial" w:cs="Arial"/>
          <w:b/>
          <w:noProof/>
          <w:sz w:val="20"/>
        </w:rPr>
        <w:t xml:space="preserve">, </w:t>
      </w:r>
      <w:r w:rsidR="00BF7565" w:rsidRPr="0002016E">
        <w:rPr>
          <w:rFonts w:ascii="Arial" w:hAnsi="Arial" w:cs="Arial"/>
          <w:b/>
          <w:noProof/>
          <w:sz w:val="20"/>
        </w:rPr>
        <w:t>в навечерието на споразумение</w:t>
      </w:r>
      <w:r w:rsidR="00BF7565">
        <w:rPr>
          <w:rFonts w:ascii="Arial" w:hAnsi="Arial" w:cs="Arial"/>
          <w:b/>
          <w:noProof/>
          <w:sz w:val="20"/>
        </w:rPr>
        <w:t>то</w:t>
      </w:r>
      <w:r w:rsidR="00BF7565" w:rsidRPr="0002016E">
        <w:rPr>
          <w:rFonts w:ascii="Arial" w:hAnsi="Arial" w:cs="Arial"/>
          <w:b/>
          <w:noProof/>
          <w:sz w:val="20"/>
        </w:rPr>
        <w:t xml:space="preserve"> за бюджета на ЕС</w:t>
      </w:r>
      <w:r w:rsidR="00BF7565" w:rsidRPr="00BF7565">
        <w:rPr>
          <w:rFonts w:ascii="Arial" w:hAnsi="Arial" w:cs="Arial"/>
          <w:b/>
          <w:noProof/>
          <w:sz w:val="20"/>
        </w:rPr>
        <w:t>.</w:t>
      </w:r>
      <w:r w:rsidR="00CA40F5" w:rsidRPr="0002016E">
        <w:rPr>
          <w:rFonts w:ascii="Arial" w:hAnsi="Arial" w:cs="Arial"/>
          <w:noProof/>
          <w:sz w:val="20"/>
        </w:rPr>
        <w:t xml:space="preserve"> </w:t>
      </w:r>
      <w:r w:rsidR="00BF7565">
        <w:rPr>
          <w:rFonts w:ascii="Arial" w:hAnsi="Arial" w:cs="Arial"/>
          <w:noProof/>
          <w:sz w:val="20"/>
        </w:rPr>
        <w:t xml:space="preserve">Заседанието се проведе </w:t>
      </w:r>
      <w:r w:rsidR="00CA40F5" w:rsidRPr="0002016E">
        <w:rPr>
          <w:rFonts w:ascii="Arial" w:hAnsi="Arial" w:cs="Arial"/>
          <w:noProof/>
          <w:sz w:val="20"/>
        </w:rPr>
        <w:t xml:space="preserve">паралелно с преговорите за новата </w:t>
      </w:r>
      <w:r w:rsidR="000576D0">
        <w:rPr>
          <w:rFonts w:ascii="Arial" w:hAnsi="Arial" w:cs="Arial"/>
          <w:noProof/>
          <w:sz w:val="20"/>
        </w:rPr>
        <w:t>Многогодишна финансова рамка и П</w:t>
      </w:r>
      <w:r w:rsidR="00CA40F5" w:rsidRPr="0002016E">
        <w:rPr>
          <w:rFonts w:ascii="Arial" w:hAnsi="Arial" w:cs="Arial"/>
          <w:noProof/>
          <w:sz w:val="20"/>
        </w:rPr>
        <w:t>лан</w:t>
      </w:r>
      <w:r w:rsidR="000576D0">
        <w:rPr>
          <w:rFonts w:ascii="Arial" w:hAnsi="Arial" w:cs="Arial"/>
          <w:noProof/>
          <w:sz w:val="20"/>
        </w:rPr>
        <w:t>а</w:t>
      </w:r>
      <w:r w:rsidR="00CA40F5" w:rsidRPr="0002016E">
        <w:rPr>
          <w:rFonts w:ascii="Arial" w:hAnsi="Arial" w:cs="Arial"/>
          <w:noProof/>
          <w:sz w:val="20"/>
        </w:rPr>
        <w:t xml:space="preserve"> за възстановяване на</w:t>
      </w:r>
      <w:r w:rsidR="000576D0">
        <w:rPr>
          <w:rFonts w:ascii="Arial" w:hAnsi="Arial" w:cs="Arial"/>
          <w:noProof/>
          <w:sz w:val="20"/>
        </w:rPr>
        <w:t xml:space="preserve"> ЕС</w:t>
      </w:r>
      <w:r w:rsidR="00452F9D">
        <w:rPr>
          <w:rFonts w:ascii="Arial" w:hAnsi="Arial" w:cs="Arial"/>
          <w:noProof/>
          <w:sz w:val="20"/>
        </w:rPr>
        <w:t xml:space="preserve"> (</w:t>
      </w:r>
      <w:r w:rsidR="000576D0">
        <w:rPr>
          <w:rFonts w:ascii="Arial" w:hAnsi="Arial" w:cs="Arial"/>
          <w:noProof/>
          <w:sz w:val="20"/>
        </w:rPr>
        <w:t>от 17 до 21 юли</w:t>
      </w:r>
      <w:r w:rsidR="00452F9D">
        <w:rPr>
          <w:rFonts w:ascii="Arial" w:hAnsi="Arial" w:cs="Arial"/>
          <w:noProof/>
          <w:sz w:val="20"/>
        </w:rPr>
        <w:t>)</w:t>
      </w:r>
      <w:r w:rsidR="00F02F9B">
        <w:rPr>
          <w:rFonts w:ascii="Arial" w:hAnsi="Arial" w:cs="Arial"/>
          <w:noProof/>
          <w:sz w:val="20"/>
        </w:rPr>
        <w:t xml:space="preserve"> и</w:t>
      </w:r>
      <w:r w:rsidR="00CA40F5" w:rsidRPr="0002016E">
        <w:rPr>
          <w:rFonts w:ascii="Arial" w:hAnsi="Arial" w:cs="Arial"/>
          <w:noProof/>
          <w:sz w:val="20"/>
        </w:rPr>
        <w:t xml:space="preserve"> беше първото с физическо присъствие, след възникване</w:t>
      </w:r>
      <w:r w:rsidR="00452F9D">
        <w:rPr>
          <w:rFonts w:ascii="Arial" w:hAnsi="Arial" w:cs="Arial"/>
          <w:noProof/>
          <w:sz w:val="20"/>
        </w:rPr>
        <w:t>то</w:t>
      </w:r>
      <w:r w:rsidR="00CA40F5" w:rsidRPr="0002016E">
        <w:rPr>
          <w:rFonts w:ascii="Arial" w:hAnsi="Arial" w:cs="Arial"/>
          <w:noProof/>
          <w:sz w:val="20"/>
        </w:rPr>
        <w:t xml:space="preserve"> на пандемията от COVID-19 и първо</w:t>
      </w:r>
      <w:r w:rsidR="000576D0">
        <w:rPr>
          <w:rFonts w:ascii="Arial" w:hAnsi="Arial" w:cs="Arial"/>
          <w:noProof/>
          <w:sz w:val="20"/>
        </w:rPr>
        <w:t>то</w:t>
      </w:r>
      <w:r w:rsidR="00CA40F5" w:rsidRPr="0002016E">
        <w:rPr>
          <w:rFonts w:ascii="Arial" w:hAnsi="Arial" w:cs="Arial"/>
          <w:noProof/>
          <w:sz w:val="20"/>
        </w:rPr>
        <w:t xml:space="preserve"> заседание</w:t>
      </w:r>
      <w:r w:rsidR="000576D0">
        <w:rPr>
          <w:rFonts w:ascii="Arial" w:hAnsi="Arial" w:cs="Arial"/>
          <w:noProof/>
          <w:sz w:val="20"/>
        </w:rPr>
        <w:t xml:space="preserve"> </w:t>
      </w:r>
      <w:r w:rsidR="00CA40F5" w:rsidRPr="0002016E">
        <w:rPr>
          <w:rFonts w:ascii="Arial" w:hAnsi="Arial" w:cs="Arial"/>
          <w:noProof/>
          <w:sz w:val="20"/>
        </w:rPr>
        <w:t xml:space="preserve">под председателството на Германия. </w:t>
      </w:r>
      <w:r w:rsidR="00452F9D">
        <w:rPr>
          <w:rFonts w:ascii="Arial" w:hAnsi="Arial" w:cs="Arial"/>
          <w:noProof/>
          <w:sz w:val="20"/>
        </w:rPr>
        <w:t xml:space="preserve">След представянето от </w:t>
      </w:r>
      <w:r w:rsidR="00CA40F5" w:rsidRPr="0002016E">
        <w:rPr>
          <w:rFonts w:ascii="Arial" w:hAnsi="Arial" w:cs="Arial"/>
          <w:noProof/>
          <w:sz w:val="20"/>
        </w:rPr>
        <w:t xml:space="preserve">немското председателство </w:t>
      </w:r>
      <w:r w:rsidR="00452F9D">
        <w:rPr>
          <w:rFonts w:ascii="Arial" w:hAnsi="Arial" w:cs="Arial"/>
          <w:noProof/>
          <w:sz w:val="20"/>
        </w:rPr>
        <w:t>на</w:t>
      </w:r>
      <w:r w:rsidR="00CA40F5" w:rsidRPr="0002016E">
        <w:rPr>
          <w:rFonts w:ascii="Arial" w:hAnsi="Arial" w:cs="Arial"/>
          <w:noProof/>
          <w:sz w:val="20"/>
        </w:rPr>
        <w:t xml:space="preserve"> работна</w:t>
      </w:r>
      <w:r w:rsidR="00452F9D">
        <w:rPr>
          <w:rFonts w:ascii="Arial" w:hAnsi="Arial" w:cs="Arial"/>
          <w:noProof/>
          <w:sz w:val="20"/>
        </w:rPr>
        <w:t>та</w:t>
      </w:r>
      <w:r w:rsidR="00CA40F5" w:rsidRPr="0002016E">
        <w:rPr>
          <w:rFonts w:ascii="Arial" w:hAnsi="Arial" w:cs="Arial"/>
          <w:noProof/>
          <w:sz w:val="20"/>
        </w:rPr>
        <w:t xml:space="preserve"> програма за втората половина на 2020 г. </w:t>
      </w:r>
      <w:r w:rsidR="00452F9D">
        <w:rPr>
          <w:rFonts w:ascii="Arial" w:hAnsi="Arial" w:cs="Arial"/>
          <w:noProof/>
          <w:sz w:val="20"/>
        </w:rPr>
        <w:t xml:space="preserve">започна </w:t>
      </w:r>
      <w:r w:rsidR="00CA40F5" w:rsidRPr="0002016E">
        <w:rPr>
          <w:rFonts w:ascii="Arial" w:hAnsi="Arial" w:cs="Arial"/>
          <w:noProof/>
          <w:sz w:val="20"/>
        </w:rPr>
        <w:t>публично</w:t>
      </w:r>
      <w:r w:rsidR="00452F9D">
        <w:rPr>
          <w:rFonts w:ascii="Arial" w:hAnsi="Arial" w:cs="Arial"/>
          <w:noProof/>
          <w:sz w:val="20"/>
        </w:rPr>
        <w:t>то</w:t>
      </w:r>
      <w:r w:rsidR="00CA40F5" w:rsidRPr="0002016E">
        <w:rPr>
          <w:rFonts w:ascii="Arial" w:hAnsi="Arial" w:cs="Arial"/>
          <w:noProof/>
          <w:sz w:val="20"/>
        </w:rPr>
        <w:t xml:space="preserve"> обсъждане на страте</w:t>
      </w:r>
      <w:r w:rsidR="00452F9D">
        <w:rPr>
          <w:rFonts w:ascii="Arial" w:hAnsi="Arial" w:cs="Arial"/>
          <w:noProof/>
          <w:sz w:val="20"/>
        </w:rPr>
        <w:t>гията „От фермата до трапезата“. Министрите</w:t>
      </w:r>
      <w:r w:rsidR="00CA40F5" w:rsidRPr="0002016E">
        <w:rPr>
          <w:rFonts w:ascii="Arial" w:hAnsi="Arial" w:cs="Arial"/>
          <w:noProof/>
          <w:sz w:val="20"/>
        </w:rPr>
        <w:t xml:space="preserve"> изразиха смесени позиции по отношение на очакваните препоръки от Комисията и призоваха за повече прозрачност, гъвкавост и бързина при изготвянето и официалното публикуване на препоръките за националните Стратегически планове.</w:t>
      </w:r>
      <w:r w:rsidR="00EB7BA6">
        <w:rPr>
          <w:rFonts w:ascii="Arial" w:hAnsi="Arial" w:cs="Arial"/>
          <w:noProof/>
          <w:sz w:val="20"/>
        </w:rPr>
        <w:t xml:space="preserve"> </w:t>
      </w:r>
      <w:r w:rsidR="00CA6CB8">
        <w:rPr>
          <w:rFonts w:ascii="Arial" w:hAnsi="Arial" w:cs="Arial"/>
          <w:noProof/>
          <w:sz w:val="20"/>
        </w:rPr>
        <w:t>И</w:t>
      </w:r>
      <w:r w:rsidR="00CA40F5" w:rsidRPr="0002016E">
        <w:rPr>
          <w:rFonts w:ascii="Arial" w:hAnsi="Arial" w:cs="Arial"/>
          <w:noProof/>
          <w:sz w:val="20"/>
        </w:rPr>
        <w:t>зказаха принципно съгласие, че Стратегическите планове трябва да отговарят на приоритетите на стратегията „От фермата до трапезата“</w:t>
      </w:r>
      <w:r w:rsidR="00452F9D">
        <w:rPr>
          <w:rFonts w:ascii="Arial" w:hAnsi="Arial" w:cs="Arial"/>
          <w:noProof/>
          <w:sz w:val="20"/>
        </w:rPr>
        <w:t xml:space="preserve">. </w:t>
      </w:r>
      <w:r w:rsidR="00DD1C95">
        <w:rPr>
          <w:rFonts w:ascii="Arial" w:hAnsi="Arial" w:cs="Arial"/>
          <w:noProof/>
          <w:sz w:val="20"/>
        </w:rPr>
        <w:t>О</w:t>
      </w:r>
      <w:r w:rsidR="00CA40F5" w:rsidRPr="0002016E">
        <w:rPr>
          <w:rFonts w:ascii="Arial" w:hAnsi="Arial" w:cs="Arial"/>
          <w:noProof/>
          <w:sz w:val="20"/>
        </w:rPr>
        <w:t xml:space="preserve">бърнаха сериозно внимание, че никакви допълнителни изисквания и условия не трябва да възпрепятстват окончателното одобрените на Стратегическите планове. Голям брой </w:t>
      </w:r>
      <w:r w:rsidR="00452F9D">
        <w:rPr>
          <w:rFonts w:ascii="Arial" w:hAnsi="Arial" w:cs="Arial"/>
          <w:noProof/>
          <w:sz w:val="20"/>
        </w:rPr>
        <w:t>делегации</w:t>
      </w:r>
      <w:r w:rsidR="00CA40F5" w:rsidRPr="0002016E">
        <w:rPr>
          <w:rFonts w:ascii="Arial" w:hAnsi="Arial" w:cs="Arial"/>
          <w:noProof/>
          <w:sz w:val="20"/>
        </w:rPr>
        <w:t xml:space="preserve"> настояха, че принципите на субсидиарност и прозрачност трябва да бъдат в основата на процеса по одобрение на Стратегическите планове. </w:t>
      </w:r>
      <w:r w:rsidR="00CA6CB8">
        <w:rPr>
          <w:rFonts w:ascii="Arial" w:hAnsi="Arial" w:cs="Arial"/>
          <w:noProof/>
          <w:sz w:val="20"/>
        </w:rPr>
        <w:t>П</w:t>
      </w:r>
      <w:r w:rsidR="00DD1C95">
        <w:rPr>
          <w:rFonts w:ascii="Arial" w:hAnsi="Arial" w:cs="Arial"/>
          <w:noProof/>
          <w:sz w:val="20"/>
        </w:rPr>
        <w:t>о</w:t>
      </w:r>
      <w:r w:rsidR="00CA40F5" w:rsidRPr="0002016E">
        <w:rPr>
          <w:rFonts w:ascii="Arial" w:hAnsi="Arial" w:cs="Arial"/>
          <w:noProof/>
          <w:sz w:val="20"/>
        </w:rPr>
        <w:t>иска</w:t>
      </w:r>
      <w:r w:rsidR="00DD1C95">
        <w:rPr>
          <w:rFonts w:ascii="Arial" w:hAnsi="Arial" w:cs="Arial"/>
          <w:noProof/>
          <w:sz w:val="20"/>
        </w:rPr>
        <w:t>ха</w:t>
      </w:r>
      <w:r w:rsidR="00CA40F5" w:rsidRPr="0002016E">
        <w:rPr>
          <w:rFonts w:ascii="Arial" w:hAnsi="Arial" w:cs="Arial"/>
          <w:noProof/>
          <w:sz w:val="20"/>
        </w:rPr>
        <w:t xml:space="preserve"> да бъде избегнато всякакво допълнително забавяне на преговорите, </w:t>
      </w:r>
      <w:r w:rsidR="00CA6CB8">
        <w:rPr>
          <w:rFonts w:ascii="Arial" w:hAnsi="Arial" w:cs="Arial"/>
          <w:noProof/>
          <w:sz w:val="20"/>
        </w:rPr>
        <w:t>което</w:t>
      </w:r>
      <w:r w:rsidR="00CA40F5" w:rsidRPr="0002016E">
        <w:rPr>
          <w:rFonts w:ascii="Arial" w:hAnsi="Arial" w:cs="Arial"/>
          <w:noProof/>
          <w:sz w:val="20"/>
        </w:rPr>
        <w:t xml:space="preserve"> може да доведе до голяма несигурност селскостопанския сектор. Комисията </w:t>
      </w:r>
      <w:r w:rsidR="00452F9D">
        <w:rPr>
          <w:rFonts w:ascii="Arial" w:hAnsi="Arial" w:cs="Arial"/>
          <w:noProof/>
          <w:sz w:val="20"/>
        </w:rPr>
        <w:t>поясни</w:t>
      </w:r>
      <w:r w:rsidR="00CA40F5" w:rsidRPr="0002016E">
        <w:rPr>
          <w:rFonts w:ascii="Arial" w:hAnsi="Arial" w:cs="Arial"/>
          <w:noProof/>
          <w:sz w:val="20"/>
        </w:rPr>
        <w:t xml:space="preserve">, че препоръките няма да бъдат законово задължение за ДЧ, но ще бъдат взети предвид при одобрението на Стратегическите планове. </w:t>
      </w:r>
      <w:r w:rsidR="00C70511">
        <w:rPr>
          <w:rFonts w:ascii="Arial" w:hAnsi="Arial" w:cs="Arial"/>
          <w:noProof/>
          <w:sz w:val="20"/>
        </w:rPr>
        <w:t>Ц</w:t>
      </w:r>
      <w:r w:rsidR="00CA40F5" w:rsidRPr="0002016E">
        <w:rPr>
          <w:rFonts w:ascii="Arial" w:hAnsi="Arial" w:cs="Arial"/>
          <w:noProof/>
          <w:sz w:val="20"/>
        </w:rPr>
        <w:t>елите на стратегията „От фермата до трапезата“ са „политически“, а именно, въвеждане</w:t>
      </w:r>
      <w:r w:rsidR="00452F9D">
        <w:rPr>
          <w:rFonts w:ascii="Arial" w:hAnsi="Arial" w:cs="Arial"/>
          <w:noProof/>
          <w:sz w:val="20"/>
        </w:rPr>
        <w:t>то</w:t>
      </w:r>
      <w:r w:rsidR="00CA40F5" w:rsidRPr="0002016E">
        <w:rPr>
          <w:rFonts w:ascii="Arial" w:hAnsi="Arial" w:cs="Arial"/>
          <w:noProof/>
          <w:sz w:val="20"/>
        </w:rPr>
        <w:t xml:space="preserve"> на устойчиво производство на храни“</w:t>
      </w:r>
      <w:r w:rsidR="00C70511">
        <w:rPr>
          <w:rFonts w:ascii="Arial" w:hAnsi="Arial" w:cs="Arial"/>
          <w:noProof/>
          <w:sz w:val="20"/>
        </w:rPr>
        <w:t xml:space="preserve"> и</w:t>
      </w:r>
      <w:r w:rsidR="00CA40F5" w:rsidRPr="0002016E">
        <w:rPr>
          <w:rFonts w:ascii="Arial" w:hAnsi="Arial" w:cs="Arial"/>
          <w:noProof/>
          <w:sz w:val="20"/>
        </w:rPr>
        <w:t xml:space="preserve"> трябва да бъдат постигнати на ниво ЕС, а не отделно от всяка ДЧ. Намерението </w:t>
      </w:r>
      <w:r w:rsidR="00452F9D">
        <w:rPr>
          <w:rFonts w:ascii="Arial" w:hAnsi="Arial" w:cs="Arial"/>
          <w:noProof/>
          <w:sz w:val="20"/>
        </w:rPr>
        <w:t>на Комисията</w:t>
      </w:r>
      <w:r w:rsidR="00CA6CB8">
        <w:rPr>
          <w:rFonts w:ascii="Arial" w:hAnsi="Arial" w:cs="Arial"/>
          <w:noProof/>
          <w:sz w:val="20"/>
        </w:rPr>
        <w:t xml:space="preserve"> е</w:t>
      </w:r>
      <w:r w:rsidR="00C70511">
        <w:rPr>
          <w:rFonts w:ascii="Arial" w:hAnsi="Arial" w:cs="Arial"/>
          <w:noProof/>
          <w:sz w:val="20"/>
        </w:rPr>
        <w:t xml:space="preserve"> </w:t>
      </w:r>
      <w:r w:rsidR="00CA40F5" w:rsidRPr="0002016E">
        <w:rPr>
          <w:rFonts w:ascii="Arial" w:hAnsi="Arial" w:cs="Arial"/>
          <w:noProof/>
          <w:sz w:val="20"/>
        </w:rPr>
        <w:t xml:space="preserve">да предостави препоръките за предварително обсъждане </w:t>
      </w:r>
      <w:r w:rsidR="00CA6CB8">
        <w:rPr>
          <w:rFonts w:ascii="Arial" w:hAnsi="Arial" w:cs="Arial"/>
          <w:noProof/>
          <w:sz w:val="20"/>
        </w:rPr>
        <w:t>с</w:t>
      </w:r>
      <w:r w:rsidR="00CA40F5" w:rsidRPr="0002016E">
        <w:rPr>
          <w:rFonts w:ascii="Arial" w:hAnsi="Arial" w:cs="Arial"/>
          <w:noProof/>
          <w:sz w:val="20"/>
        </w:rPr>
        <w:t xml:space="preserve"> ДЧ през есента, преди те да бъдат официално публикувани през последното тримесечие на 2020 г.</w:t>
      </w:r>
      <w:r w:rsidR="00C70511">
        <w:rPr>
          <w:rFonts w:ascii="Arial" w:hAnsi="Arial" w:cs="Arial"/>
          <w:noProof/>
          <w:sz w:val="20"/>
        </w:rPr>
        <w:t xml:space="preserve"> </w:t>
      </w:r>
      <w:r w:rsidR="00CA40F5" w:rsidRPr="0002016E">
        <w:rPr>
          <w:rFonts w:ascii="Arial" w:hAnsi="Arial" w:cs="Arial"/>
          <w:noProof/>
          <w:sz w:val="20"/>
        </w:rPr>
        <w:t xml:space="preserve">Според Комисията, способността на ОСП да подпомогне осъществяването на приоритетите на Европейската зелена сделка ще зависи </w:t>
      </w:r>
      <w:r w:rsidR="0019617C">
        <w:rPr>
          <w:rFonts w:ascii="Arial" w:hAnsi="Arial" w:cs="Arial"/>
          <w:noProof/>
          <w:sz w:val="20"/>
        </w:rPr>
        <w:t xml:space="preserve">от </w:t>
      </w:r>
      <w:r w:rsidR="00CA40F5" w:rsidRPr="0002016E">
        <w:rPr>
          <w:rFonts w:ascii="Arial" w:hAnsi="Arial" w:cs="Arial"/>
          <w:noProof/>
          <w:sz w:val="20"/>
        </w:rPr>
        <w:t>окончателно</w:t>
      </w:r>
      <w:r w:rsidR="0019617C">
        <w:rPr>
          <w:rFonts w:ascii="Arial" w:hAnsi="Arial" w:cs="Arial"/>
          <w:noProof/>
          <w:sz w:val="20"/>
        </w:rPr>
        <w:t>то</w:t>
      </w:r>
      <w:r w:rsidR="00C70511">
        <w:rPr>
          <w:rFonts w:ascii="Arial" w:hAnsi="Arial" w:cs="Arial"/>
          <w:noProof/>
          <w:sz w:val="20"/>
        </w:rPr>
        <w:t xml:space="preserve"> споразумение </w:t>
      </w:r>
      <w:r w:rsidR="00CA40F5" w:rsidRPr="0002016E">
        <w:rPr>
          <w:rFonts w:ascii="Arial" w:hAnsi="Arial" w:cs="Arial"/>
          <w:noProof/>
          <w:sz w:val="20"/>
        </w:rPr>
        <w:t>по основни</w:t>
      </w:r>
      <w:r w:rsidR="0019617C">
        <w:rPr>
          <w:rFonts w:ascii="Arial" w:hAnsi="Arial" w:cs="Arial"/>
          <w:noProof/>
          <w:sz w:val="20"/>
        </w:rPr>
        <w:t>те</w:t>
      </w:r>
      <w:r w:rsidR="00CA40F5" w:rsidRPr="0002016E">
        <w:rPr>
          <w:rFonts w:ascii="Arial" w:hAnsi="Arial" w:cs="Arial"/>
          <w:noProof/>
          <w:sz w:val="20"/>
        </w:rPr>
        <w:t xml:space="preserve"> елементи на реформата, които включват амбициозна предварителна условност, задължителни еко-схеми и специално заделен бюджет за постигане на екологичните и климатични цели на ОСП след 2020 г.</w:t>
      </w:r>
      <w:r w:rsidR="00BF7565">
        <w:rPr>
          <w:rFonts w:ascii="Arial" w:hAnsi="Arial" w:cs="Arial"/>
          <w:noProof/>
          <w:sz w:val="20"/>
        </w:rPr>
        <w:t xml:space="preserve"> </w:t>
      </w:r>
      <w:r w:rsidR="00C70511">
        <w:rPr>
          <w:rFonts w:ascii="Arial" w:hAnsi="Arial" w:cs="Arial"/>
          <w:noProof/>
          <w:sz w:val="20"/>
        </w:rPr>
        <w:t>Относно</w:t>
      </w:r>
      <w:r w:rsidR="00BF7565" w:rsidRPr="0002016E">
        <w:rPr>
          <w:rFonts w:ascii="Arial" w:hAnsi="Arial" w:cs="Arial"/>
          <w:noProof/>
          <w:sz w:val="20"/>
        </w:rPr>
        <w:t xml:space="preserve"> реформата на ОСП след 2020 г.</w:t>
      </w:r>
      <w:r w:rsidR="00C70511">
        <w:rPr>
          <w:rFonts w:ascii="Arial" w:hAnsi="Arial" w:cs="Arial"/>
          <w:noProof/>
          <w:sz w:val="20"/>
        </w:rPr>
        <w:t xml:space="preserve"> министрите</w:t>
      </w:r>
      <w:r w:rsidR="00BF7565" w:rsidRPr="0002016E">
        <w:rPr>
          <w:rFonts w:ascii="Arial" w:hAnsi="Arial" w:cs="Arial"/>
          <w:noProof/>
          <w:sz w:val="20"/>
        </w:rPr>
        <w:t xml:space="preserve"> отново изказа</w:t>
      </w:r>
      <w:r w:rsidR="00C70511">
        <w:rPr>
          <w:rFonts w:ascii="Arial" w:hAnsi="Arial" w:cs="Arial"/>
          <w:noProof/>
          <w:sz w:val="20"/>
        </w:rPr>
        <w:t>ха</w:t>
      </w:r>
      <w:r w:rsidR="00BF7565" w:rsidRPr="0002016E">
        <w:rPr>
          <w:rFonts w:ascii="Arial" w:hAnsi="Arial" w:cs="Arial"/>
          <w:noProof/>
          <w:sz w:val="20"/>
        </w:rPr>
        <w:t xml:space="preserve"> различни мнения по отношение на Стратегическите планове и „зелената архитектура“. Всички ДЧ представиха своит</w:t>
      </w:r>
      <w:r w:rsidR="0019617C">
        <w:rPr>
          <w:rFonts w:ascii="Arial" w:hAnsi="Arial" w:cs="Arial"/>
          <w:noProof/>
          <w:sz w:val="20"/>
        </w:rPr>
        <w:t>е позиции по въпроса. Държавите членки</w:t>
      </w:r>
      <w:r w:rsidR="00BF7565" w:rsidRPr="0002016E">
        <w:rPr>
          <w:rFonts w:ascii="Arial" w:hAnsi="Arial" w:cs="Arial"/>
          <w:noProof/>
          <w:sz w:val="20"/>
        </w:rPr>
        <w:t xml:space="preserve"> от „Вишеградската четворка“ (Чехия, Унгария, Полша и Словакия), плюс България и Румъния, представиха съвместна декларация относно развитието на бъдещата селскостопанска политика на ЕС, в контекста на Европейската зелена сделка, стратегията „От фермата до трапезата“ и Стратегията за биоразнообразие</w:t>
      </w:r>
      <w:r w:rsidR="00BF7565">
        <w:rPr>
          <w:rFonts w:ascii="Arial" w:hAnsi="Arial" w:cs="Arial"/>
          <w:noProof/>
          <w:sz w:val="20"/>
        </w:rPr>
        <w:t>то</w:t>
      </w:r>
      <w:r w:rsidR="00BF7565" w:rsidRPr="0002016E">
        <w:rPr>
          <w:rFonts w:ascii="Arial" w:hAnsi="Arial" w:cs="Arial"/>
          <w:noProof/>
          <w:sz w:val="20"/>
        </w:rPr>
        <w:t xml:space="preserve">, както и </w:t>
      </w:r>
      <w:r w:rsidR="00BF7565">
        <w:rPr>
          <w:rFonts w:ascii="Arial" w:hAnsi="Arial" w:cs="Arial"/>
          <w:noProof/>
          <w:sz w:val="20"/>
        </w:rPr>
        <w:t xml:space="preserve">за </w:t>
      </w:r>
      <w:r w:rsidR="00BF7565" w:rsidRPr="0002016E">
        <w:rPr>
          <w:rFonts w:ascii="Arial" w:hAnsi="Arial" w:cs="Arial"/>
          <w:noProof/>
          <w:sz w:val="20"/>
        </w:rPr>
        <w:t xml:space="preserve">настъпилата пандемия. </w:t>
      </w:r>
      <w:r w:rsidR="00BF7565">
        <w:rPr>
          <w:rFonts w:ascii="Arial" w:hAnsi="Arial" w:cs="Arial"/>
          <w:noProof/>
          <w:sz w:val="20"/>
        </w:rPr>
        <w:t>Н</w:t>
      </w:r>
      <w:r w:rsidR="00BF7565" w:rsidRPr="0002016E">
        <w:rPr>
          <w:rFonts w:ascii="Arial" w:hAnsi="Arial" w:cs="Arial"/>
          <w:noProof/>
          <w:sz w:val="20"/>
        </w:rPr>
        <w:t xml:space="preserve">емското председателство </w:t>
      </w:r>
      <w:r w:rsidR="00BF7565">
        <w:rPr>
          <w:rFonts w:ascii="Arial" w:hAnsi="Arial" w:cs="Arial"/>
          <w:noProof/>
          <w:sz w:val="20"/>
        </w:rPr>
        <w:t>има</w:t>
      </w:r>
      <w:r w:rsidR="0019617C">
        <w:rPr>
          <w:rFonts w:ascii="Arial" w:hAnsi="Arial" w:cs="Arial"/>
          <w:noProof/>
          <w:sz w:val="20"/>
        </w:rPr>
        <w:t xml:space="preserve"> </w:t>
      </w:r>
      <w:r w:rsidR="00BF7565">
        <w:rPr>
          <w:rFonts w:ascii="Arial" w:hAnsi="Arial" w:cs="Arial"/>
          <w:noProof/>
          <w:sz w:val="20"/>
        </w:rPr>
        <w:t>за цел</w:t>
      </w:r>
      <w:r w:rsidR="00BF7565" w:rsidRPr="0002016E">
        <w:rPr>
          <w:rFonts w:ascii="Arial" w:hAnsi="Arial" w:cs="Arial"/>
          <w:noProof/>
          <w:sz w:val="20"/>
        </w:rPr>
        <w:t xml:space="preserve"> да постигне споразумение относно пакета за реформа на ОСП след 2020 г. и </w:t>
      </w:r>
      <w:r w:rsidR="00BF7565">
        <w:rPr>
          <w:rFonts w:ascii="Arial" w:hAnsi="Arial" w:cs="Arial"/>
          <w:noProof/>
          <w:sz w:val="20"/>
        </w:rPr>
        <w:t xml:space="preserve">да </w:t>
      </w:r>
      <w:r w:rsidR="00BF7565" w:rsidRPr="0002016E">
        <w:rPr>
          <w:rFonts w:ascii="Arial" w:hAnsi="Arial" w:cs="Arial"/>
          <w:noProof/>
          <w:sz w:val="20"/>
        </w:rPr>
        <w:t xml:space="preserve">изготви заключения на Съвета относно стратегията „От фермата до трапезата“, които да бъдат приети от Съвета на министрите през октомври 2020 г. (бел. очаква се провеждане на заседание на Съвета по селско стопанство на 19-20 октомври). Комисарят по селско стопанство, г-н Януш Войчеховски, представи актуална информация относно състоянието на </w:t>
      </w:r>
      <w:r w:rsidR="0019617C">
        <w:rPr>
          <w:rFonts w:ascii="Arial" w:hAnsi="Arial" w:cs="Arial"/>
          <w:noProof/>
          <w:sz w:val="20"/>
        </w:rPr>
        <w:t xml:space="preserve">пазарите по време на пандемията. </w:t>
      </w:r>
      <w:r w:rsidR="00BF7565" w:rsidRPr="0002016E">
        <w:rPr>
          <w:rFonts w:ascii="Arial" w:hAnsi="Arial" w:cs="Arial"/>
          <w:noProof/>
          <w:sz w:val="20"/>
        </w:rPr>
        <w:t xml:space="preserve">Франция призова за подкрепа по отношение на телешкото месо, тъй като </w:t>
      </w:r>
      <w:r w:rsidR="00BF7565">
        <w:rPr>
          <w:rFonts w:ascii="Arial" w:hAnsi="Arial" w:cs="Arial"/>
          <w:noProof/>
          <w:sz w:val="20"/>
        </w:rPr>
        <w:t xml:space="preserve">със </w:t>
      </w:r>
      <w:r w:rsidR="00BF7565" w:rsidRPr="0002016E">
        <w:rPr>
          <w:rFonts w:ascii="Arial" w:hAnsi="Arial" w:cs="Arial"/>
          <w:noProof/>
          <w:sz w:val="20"/>
        </w:rPr>
        <w:t xml:space="preserve">затварянето на заведенията за обществено хранене се натрупват запаси, които са в тежест за пазара. Подобна беше позицията на </w:t>
      </w:r>
      <w:r w:rsidR="00BF7565">
        <w:rPr>
          <w:rFonts w:ascii="Arial" w:hAnsi="Arial" w:cs="Arial"/>
          <w:noProof/>
          <w:sz w:val="20"/>
        </w:rPr>
        <w:t>няколко други държави-членки</w:t>
      </w:r>
      <w:r w:rsidR="00BF7565" w:rsidRPr="0002016E">
        <w:rPr>
          <w:rFonts w:ascii="Arial" w:hAnsi="Arial" w:cs="Arial"/>
          <w:noProof/>
          <w:sz w:val="20"/>
        </w:rPr>
        <w:t xml:space="preserve">, които призоваха за добавяне на нови сектори към обхвата на схемите за частно складиране. </w:t>
      </w:r>
      <w:r w:rsidR="00BF7565">
        <w:rPr>
          <w:rFonts w:ascii="Arial" w:hAnsi="Arial" w:cs="Arial"/>
          <w:noProof/>
          <w:sz w:val="20"/>
        </w:rPr>
        <w:t>Една държава-членка</w:t>
      </w:r>
      <w:r w:rsidR="00BF7565" w:rsidRPr="0002016E">
        <w:rPr>
          <w:rFonts w:ascii="Arial" w:hAnsi="Arial" w:cs="Arial"/>
          <w:noProof/>
          <w:sz w:val="20"/>
        </w:rPr>
        <w:t xml:space="preserve"> обърна внима</w:t>
      </w:r>
      <w:r w:rsidR="00BF7565">
        <w:rPr>
          <w:rFonts w:ascii="Arial" w:hAnsi="Arial" w:cs="Arial"/>
          <w:noProof/>
          <w:sz w:val="20"/>
        </w:rPr>
        <w:t>ние на затруднената ситуация на</w:t>
      </w:r>
      <w:r w:rsidR="00BF7565" w:rsidRPr="0002016E">
        <w:rPr>
          <w:rFonts w:ascii="Arial" w:hAnsi="Arial" w:cs="Arial"/>
          <w:noProof/>
          <w:sz w:val="20"/>
        </w:rPr>
        <w:t xml:space="preserve"> пазара на вино.</w:t>
      </w:r>
    </w:p>
    <w:p w:rsidR="00CA40F5" w:rsidRPr="0002016E" w:rsidRDefault="00CA40F5" w:rsidP="008B7A95">
      <w:pPr>
        <w:jc w:val="both"/>
        <w:rPr>
          <w:rFonts w:ascii="Arial" w:hAnsi="Arial" w:cs="Arial"/>
          <w:b/>
          <w:noProof/>
          <w:sz w:val="20"/>
        </w:rPr>
      </w:pPr>
    </w:p>
    <w:p w:rsidR="001B1430" w:rsidRPr="0002016E" w:rsidRDefault="007178AB" w:rsidP="008B7A95">
      <w:pPr>
        <w:jc w:val="both"/>
        <w:rPr>
          <w:rFonts w:ascii="Arial" w:hAnsi="Arial" w:cs="Arial"/>
          <w:b/>
          <w:noProof/>
          <w:sz w:val="20"/>
        </w:rPr>
      </w:pPr>
      <w:r>
        <w:rPr>
          <w:rFonts w:ascii="Arial" w:hAnsi="Arial" w:cs="Arial"/>
          <w:b/>
          <w:noProof/>
          <w:sz w:val="20"/>
        </w:rPr>
        <w:t>5</w:t>
      </w:r>
      <w:r w:rsidR="00CA40F5" w:rsidRPr="0002016E">
        <w:rPr>
          <w:rFonts w:ascii="Arial" w:hAnsi="Arial" w:cs="Arial"/>
          <w:b/>
          <w:noProof/>
          <w:sz w:val="20"/>
        </w:rPr>
        <w:t>. Разнопосочни позиции относно прилагането и бюджета на еко-схемите</w:t>
      </w:r>
      <w:r w:rsidR="00AC52D6">
        <w:rPr>
          <w:rFonts w:ascii="Arial" w:hAnsi="Arial" w:cs="Arial"/>
          <w:b/>
          <w:noProof/>
          <w:sz w:val="20"/>
        </w:rPr>
        <w:t xml:space="preserve"> изразиха</w:t>
      </w:r>
      <w:r w:rsidR="008B7A95">
        <w:rPr>
          <w:rFonts w:ascii="Arial" w:hAnsi="Arial" w:cs="Arial"/>
          <w:b/>
          <w:noProof/>
          <w:sz w:val="20"/>
        </w:rPr>
        <w:t xml:space="preserve"> министрите </w:t>
      </w:r>
      <w:r w:rsidR="00AC52D6" w:rsidRPr="00AC52D6">
        <w:rPr>
          <w:rFonts w:ascii="Arial" w:hAnsi="Arial" w:cs="Arial"/>
          <w:b/>
          <w:noProof/>
          <w:sz w:val="20"/>
        </w:rPr>
        <w:t>п</w:t>
      </w:r>
      <w:r w:rsidR="00CA40F5" w:rsidRPr="00AC52D6">
        <w:rPr>
          <w:rFonts w:ascii="Arial" w:hAnsi="Arial" w:cs="Arial"/>
          <w:b/>
          <w:noProof/>
          <w:sz w:val="20"/>
        </w:rPr>
        <w:t xml:space="preserve">о време на </w:t>
      </w:r>
      <w:r w:rsidR="008B7A95">
        <w:rPr>
          <w:rFonts w:ascii="Arial" w:hAnsi="Arial" w:cs="Arial"/>
          <w:b/>
          <w:noProof/>
          <w:sz w:val="20"/>
        </w:rPr>
        <w:t xml:space="preserve">засеанието на </w:t>
      </w:r>
      <w:r w:rsidR="00CA40F5" w:rsidRPr="00AC52D6">
        <w:rPr>
          <w:rFonts w:ascii="Arial" w:hAnsi="Arial" w:cs="Arial"/>
          <w:b/>
          <w:noProof/>
          <w:sz w:val="20"/>
        </w:rPr>
        <w:t>Съвета</w:t>
      </w:r>
      <w:r w:rsidR="00AC52D6">
        <w:rPr>
          <w:rFonts w:ascii="Arial" w:hAnsi="Arial" w:cs="Arial"/>
          <w:noProof/>
          <w:sz w:val="20"/>
        </w:rPr>
        <w:t>.</w:t>
      </w:r>
      <w:r w:rsidR="00CA40F5" w:rsidRPr="0002016E">
        <w:rPr>
          <w:rFonts w:ascii="Arial" w:hAnsi="Arial" w:cs="Arial"/>
          <w:noProof/>
          <w:sz w:val="20"/>
        </w:rPr>
        <w:t xml:space="preserve"> </w:t>
      </w:r>
      <w:r w:rsidR="008B7A95">
        <w:rPr>
          <w:rFonts w:ascii="Arial" w:hAnsi="Arial" w:cs="Arial"/>
          <w:noProof/>
          <w:sz w:val="20"/>
        </w:rPr>
        <w:t>Част от минитрите</w:t>
      </w:r>
      <w:r w:rsidR="00AC52D6">
        <w:rPr>
          <w:rFonts w:ascii="Arial" w:hAnsi="Arial" w:cs="Arial"/>
          <w:noProof/>
          <w:sz w:val="20"/>
        </w:rPr>
        <w:t xml:space="preserve"> </w:t>
      </w:r>
      <w:r w:rsidR="00CA40F5" w:rsidRPr="0002016E">
        <w:rPr>
          <w:rFonts w:ascii="Arial" w:hAnsi="Arial" w:cs="Arial"/>
          <w:noProof/>
          <w:sz w:val="20"/>
        </w:rPr>
        <w:t xml:space="preserve">се изказаха против заделяне на определен бюджет за еко-схемите от Стълб 1, </w:t>
      </w:r>
      <w:r w:rsidR="00E32DB5">
        <w:rPr>
          <w:rFonts w:ascii="Arial" w:hAnsi="Arial" w:cs="Arial"/>
          <w:noProof/>
          <w:sz w:val="20"/>
        </w:rPr>
        <w:t>но</w:t>
      </w:r>
      <w:r w:rsidR="00CA40F5" w:rsidRPr="0002016E">
        <w:rPr>
          <w:rFonts w:ascii="Arial" w:hAnsi="Arial" w:cs="Arial"/>
          <w:noProof/>
          <w:sz w:val="20"/>
        </w:rPr>
        <w:t xml:space="preserve"> са съгласни, че трябва да бъдат избегнати всякакви потенциални загуби на средства вследствие на неизползвано финансиране. ДЧ изказ</w:t>
      </w:r>
      <w:r w:rsidR="00E32DB5">
        <w:rPr>
          <w:rFonts w:ascii="Arial" w:hAnsi="Arial" w:cs="Arial"/>
          <w:noProof/>
          <w:sz w:val="20"/>
        </w:rPr>
        <w:t>аха</w:t>
      </w:r>
      <w:r w:rsidR="00CA40F5" w:rsidRPr="0002016E">
        <w:rPr>
          <w:rFonts w:ascii="Arial" w:hAnsi="Arial" w:cs="Arial"/>
          <w:noProof/>
          <w:sz w:val="20"/>
        </w:rPr>
        <w:t xml:space="preserve"> опасения относно липсата на предишен опит при прилагането на новите еко-схеми, поради което считат, че трябва да бъдат прилагани доброволно както от ДЧ, така и от фермерите. Голям брой ДЧ обърнаха внимание също</w:t>
      </w:r>
      <w:r w:rsidR="00E32DB5">
        <w:rPr>
          <w:rFonts w:ascii="Arial" w:hAnsi="Arial" w:cs="Arial"/>
          <w:noProof/>
          <w:sz w:val="20"/>
        </w:rPr>
        <w:t xml:space="preserve"> така</w:t>
      </w:r>
      <w:r w:rsidR="00CA40F5" w:rsidRPr="0002016E">
        <w:rPr>
          <w:rFonts w:ascii="Arial" w:hAnsi="Arial" w:cs="Arial"/>
          <w:noProof/>
          <w:sz w:val="20"/>
        </w:rPr>
        <w:t xml:space="preserve"> на „добрия опит“, който имат с прилагане</w:t>
      </w:r>
      <w:r w:rsidR="0082041E">
        <w:rPr>
          <w:rFonts w:ascii="Arial" w:hAnsi="Arial" w:cs="Arial"/>
          <w:noProof/>
          <w:sz w:val="20"/>
        </w:rPr>
        <w:t>то</w:t>
      </w:r>
      <w:r w:rsidR="00CA40F5" w:rsidRPr="0002016E">
        <w:rPr>
          <w:rFonts w:ascii="Arial" w:hAnsi="Arial" w:cs="Arial"/>
          <w:noProof/>
          <w:sz w:val="20"/>
        </w:rPr>
        <w:t xml:space="preserve"> на мерките от Стълб 2, които вече са добре познати на фермерите.</w:t>
      </w:r>
      <w:r w:rsidR="0082041E">
        <w:rPr>
          <w:rFonts w:ascii="Arial" w:hAnsi="Arial" w:cs="Arial"/>
          <w:noProof/>
          <w:sz w:val="20"/>
        </w:rPr>
        <w:t xml:space="preserve"> </w:t>
      </w:r>
      <w:r w:rsidR="00CA40F5" w:rsidRPr="0002016E">
        <w:rPr>
          <w:rFonts w:ascii="Arial" w:hAnsi="Arial" w:cs="Arial"/>
          <w:noProof/>
          <w:sz w:val="20"/>
        </w:rPr>
        <w:t>Разнопосочни позиции бяха изказани относно възможността за установяване на единен процент</w:t>
      </w:r>
      <w:r w:rsidR="0082041E">
        <w:rPr>
          <w:rFonts w:ascii="Arial" w:hAnsi="Arial" w:cs="Arial"/>
          <w:noProof/>
          <w:sz w:val="20"/>
        </w:rPr>
        <w:t>,</w:t>
      </w:r>
      <w:r w:rsidR="00CA40F5" w:rsidRPr="0002016E">
        <w:rPr>
          <w:rFonts w:ascii="Arial" w:hAnsi="Arial" w:cs="Arial"/>
          <w:noProof/>
          <w:sz w:val="20"/>
        </w:rPr>
        <w:t xml:space="preserve"> на ниво ЕС</w:t>
      </w:r>
      <w:r w:rsidR="0082041E">
        <w:rPr>
          <w:rFonts w:ascii="Arial" w:hAnsi="Arial" w:cs="Arial"/>
          <w:noProof/>
          <w:sz w:val="20"/>
        </w:rPr>
        <w:t>,</w:t>
      </w:r>
      <w:r w:rsidR="00CA40F5" w:rsidRPr="0002016E">
        <w:rPr>
          <w:rFonts w:ascii="Arial" w:hAnsi="Arial" w:cs="Arial"/>
          <w:noProof/>
          <w:sz w:val="20"/>
        </w:rPr>
        <w:t xml:space="preserve"> от обработваема земеделска площ, която да бъде заделена за непроизводствени цели за подобряване на биологичното разнообразие в земеделското стопанство, като например отглеждане на междинни или азотфиксиращи култури. Също така, министрите настоя</w:t>
      </w:r>
      <w:r w:rsidR="0082041E">
        <w:rPr>
          <w:rFonts w:ascii="Arial" w:hAnsi="Arial" w:cs="Arial"/>
          <w:noProof/>
          <w:sz w:val="20"/>
        </w:rPr>
        <w:t>ха</w:t>
      </w:r>
      <w:r w:rsidR="00CA40F5" w:rsidRPr="0002016E">
        <w:rPr>
          <w:rFonts w:ascii="Arial" w:hAnsi="Arial" w:cs="Arial"/>
          <w:noProof/>
          <w:sz w:val="20"/>
        </w:rPr>
        <w:t xml:space="preserve"> за въвеждане на 2</w:t>
      </w:r>
      <w:r w:rsidR="0082041E">
        <w:rPr>
          <w:rFonts w:ascii="Arial" w:hAnsi="Arial" w:cs="Arial"/>
          <w:noProof/>
          <w:sz w:val="20"/>
        </w:rPr>
        <w:t>-</w:t>
      </w:r>
      <w:r w:rsidR="00CA40F5" w:rsidRPr="0002016E">
        <w:rPr>
          <w:rFonts w:ascii="Arial" w:hAnsi="Arial" w:cs="Arial"/>
          <w:noProof/>
          <w:sz w:val="20"/>
        </w:rPr>
        <w:t xml:space="preserve"> годишен преходен период, преди да бъдат приложени новите правила за ОСП след 2020 г.</w:t>
      </w:r>
    </w:p>
    <w:p w:rsidR="0072576F" w:rsidRPr="00567614" w:rsidRDefault="0072576F" w:rsidP="00567614">
      <w:pPr>
        <w:shd w:val="clear" w:color="auto" w:fill="FFFFFF"/>
        <w:jc w:val="both"/>
        <w:rPr>
          <w:rFonts w:ascii="Arial" w:hAnsi="Arial" w:cs="Arial"/>
          <w:b/>
          <w:noProof/>
          <w:sz w:val="20"/>
        </w:rPr>
      </w:pPr>
      <w:bookmarkStart w:id="0" w:name="_GoBack"/>
      <w:bookmarkEnd w:id="0"/>
    </w:p>
    <w:p w:rsidR="0072576F" w:rsidRPr="00292138" w:rsidRDefault="0072576F" w:rsidP="008B7A95">
      <w:pPr>
        <w:jc w:val="both"/>
        <w:outlineLvl w:val="0"/>
        <w:rPr>
          <w:rFonts w:ascii="Arial" w:hAnsi="Arial" w:cs="Arial"/>
          <w:sz w:val="20"/>
        </w:rPr>
      </w:pPr>
    </w:p>
    <w:p w:rsidR="0024496F" w:rsidRDefault="002449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Pr="009C11B2" w:rsidRDefault="009C11B2" w:rsidP="008B7A95">
      <w:pPr>
        <w:jc w:val="both"/>
        <w:rPr>
          <w:rFonts w:ascii="Arial" w:hAnsi="Arial" w:cs="Arial"/>
          <w:b/>
          <w:sz w:val="20"/>
          <w:lang w:val="en-US"/>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24496F" w:rsidRPr="008B7A95" w:rsidRDefault="0024496F" w:rsidP="008B7A95">
      <w:pPr>
        <w:jc w:val="right"/>
        <w:rPr>
          <w:rFonts w:ascii="Arial" w:hAnsi="Arial" w:cs="Arial"/>
          <w:b/>
          <w:i/>
          <w:sz w:val="20"/>
        </w:rPr>
      </w:pPr>
      <w:r w:rsidRPr="008B7A95">
        <w:rPr>
          <w:rFonts w:ascii="Arial" w:hAnsi="Arial" w:cs="Arial"/>
          <w:b/>
          <w:i/>
          <w:sz w:val="20"/>
        </w:rPr>
        <w:t>Приложение 1</w:t>
      </w:r>
    </w:p>
    <w:p w:rsidR="0024496F" w:rsidRDefault="0024496F" w:rsidP="008B7A95">
      <w:pPr>
        <w:jc w:val="both"/>
        <w:rPr>
          <w:rFonts w:ascii="Arial" w:hAnsi="Arial" w:cs="Arial"/>
          <w:b/>
          <w:sz w:val="20"/>
        </w:rPr>
      </w:pPr>
    </w:p>
    <w:p w:rsidR="0072576F" w:rsidRPr="001C5BC3" w:rsidRDefault="0072576F" w:rsidP="008B7A95">
      <w:pPr>
        <w:jc w:val="center"/>
        <w:rPr>
          <w:rFonts w:asciiTheme="minorHAnsi" w:hAnsiTheme="minorHAnsi"/>
          <w:b/>
        </w:rPr>
      </w:pPr>
      <w:r w:rsidRPr="001C5BC3">
        <w:rPr>
          <w:rFonts w:asciiTheme="minorHAnsi" w:hAnsiTheme="minorHAnsi"/>
          <w:b/>
        </w:rPr>
        <w:t>Основни резултати от и</w:t>
      </w:r>
      <w:r w:rsidRPr="001C5BC3">
        <w:rPr>
          <w:rFonts w:asciiTheme="minorHAnsi" w:hAnsiTheme="minorHAnsi" w:hint="eastAsia"/>
          <w:b/>
        </w:rPr>
        <w:t>звънредно</w:t>
      </w:r>
      <w:r w:rsidRPr="001C5BC3">
        <w:rPr>
          <w:rFonts w:asciiTheme="minorHAnsi" w:hAnsiTheme="minorHAnsi"/>
          <w:b/>
        </w:rPr>
        <w:t xml:space="preserve">то </w:t>
      </w:r>
      <w:r w:rsidRPr="001C5BC3">
        <w:rPr>
          <w:rFonts w:asciiTheme="minorHAnsi" w:hAnsiTheme="minorHAnsi" w:hint="eastAsia"/>
          <w:b/>
        </w:rPr>
        <w:t>заседание</w:t>
      </w:r>
      <w:r w:rsidRPr="001C5BC3">
        <w:rPr>
          <w:rFonts w:asciiTheme="minorHAnsi" w:hAnsiTheme="minorHAnsi"/>
          <w:b/>
        </w:rPr>
        <w:t xml:space="preserve"> </w:t>
      </w:r>
      <w:r w:rsidRPr="001C5BC3">
        <w:rPr>
          <w:rFonts w:asciiTheme="minorHAnsi" w:hAnsiTheme="minorHAnsi" w:hint="eastAsia"/>
          <w:b/>
        </w:rPr>
        <w:t>на</w:t>
      </w:r>
      <w:r w:rsidRPr="001C5BC3">
        <w:rPr>
          <w:rFonts w:asciiTheme="minorHAnsi" w:hAnsiTheme="minorHAnsi"/>
          <w:b/>
        </w:rPr>
        <w:t xml:space="preserve"> </w:t>
      </w:r>
      <w:r w:rsidRPr="001C5BC3">
        <w:rPr>
          <w:rFonts w:asciiTheme="minorHAnsi" w:hAnsiTheme="minorHAnsi" w:hint="eastAsia"/>
          <w:b/>
        </w:rPr>
        <w:t>Европейския</w:t>
      </w:r>
      <w:r w:rsidRPr="001C5BC3">
        <w:rPr>
          <w:rFonts w:asciiTheme="minorHAnsi" w:hAnsiTheme="minorHAnsi"/>
          <w:b/>
        </w:rPr>
        <w:t xml:space="preserve"> </w:t>
      </w:r>
      <w:r w:rsidRPr="001C5BC3">
        <w:rPr>
          <w:rFonts w:asciiTheme="minorHAnsi" w:hAnsiTheme="minorHAnsi" w:hint="eastAsia"/>
          <w:b/>
        </w:rPr>
        <w:t>съвет</w:t>
      </w:r>
      <w:r w:rsidRPr="001C5BC3">
        <w:rPr>
          <w:rFonts w:asciiTheme="minorHAnsi" w:hAnsiTheme="minorHAnsi"/>
          <w:b/>
        </w:rPr>
        <w:t xml:space="preserve">, 17–21 </w:t>
      </w:r>
      <w:r w:rsidRPr="001C5BC3">
        <w:rPr>
          <w:rFonts w:asciiTheme="minorHAnsi" w:hAnsiTheme="minorHAnsi" w:hint="eastAsia"/>
          <w:b/>
        </w:rPr>
        <w:t>юли</w:t>
      </w:r>
      <w:r w:rsidRPr="001C5BC3">
        <w:rPr>
          <w:rFonts w:asciiTheme="minorHAnsi" w:hAnsiTheme="minorHAnsi"/>
          <w:b/>
        </w:rPr>
        <w:t xml:space="preserve"> 2020 </w:t>
      </w:r>
      <w:r w:rsidRPr="001C5BC3">
        <w:rPr>
          <w:rFonts w:asciiTheme="minorHAnsi" w:hAnsiTheme="minorHAnsi" w:hint="eastAsia"/>
          <w:b/>
        </w:rPr>
        <w:t>г</w:t>
      </w:r>
      <w:r w:rsidRPr="001C5BC3">
        <w:rPr>
          <w:rFonts w:asciiTheme="minorHAnsi" w:hAnsiTheme="minorHAnsi"/>
          <w:b/>
        </w:rPr>
        <w:t>.</w:t>
      </w:r>
    </w:p>
    <w:p w:rsidR="0072576F" w:rsidRDefault="0072576F" w:rsidP="008B7A95">
      <w:pPr>
        <w:jc w:val="both"/>
        <w:rPr>
          <w:rFonts w:asciiTheme="minorHAnsi" w:hAnsiTheme="minorHAnsi"/>
        </w:rPr>
      </w:pPr>
    </w:p>
    <w:p w:rsidR="00617956" w:rsidRPr="00292138" w:rsidRDefault="003425D5" w:rsidP="008B7A95">
      <w:pPr>
        <w:jc w:val="both"/>
        <w:rPr>
          <w:rFonts w:ascii="Arial" w:hAnsi="Arial" w:cs="Arial"/>
          <w:sz w:val="20"/>
        </w:rPr>
      </w:pPr>
      <w:hyperlink r:id="rId8" w:tooltip="Дългосрочен бюджет на ЕС за 2021 – 2027 г. (обща информация)" w:history="1"/>
      <w:r w:rsidR="00617956" w:rsidRPr="00292138">
        <w:rPr>
          <w:rFonts w:ascii="Arial" w:hAnsi="Arial" w:cs="Arial"/>
          <w:b/>
          <w:bCs/>
          <w:sz w:val="20"/>
        </w:rPr>
        <w:t>Фонд за възстановяване</w:t>
      </w:r>
      <w:r w:rsidR="00617956" w:rsidRPr="00292138">
        <w:rPr>
          <w:rFonts w:ascii="Arial" w:hAnsi="Arial" w:cs="Arial"/>
          <w:sz w:val="20"/>
        </w:rPr>
        <w:t xml:space="preserve"> NGEU</w:t>
      </w:r>
      <w:r w:rsidR="0072576F">
        <w:rPr>
          <w:rFonts w:ascii="Arial" w:hAnsi="Arial" w:cs="Arial"/>
          <w:sz w:val="20"/>
        </w:rPr>
        <w:t>-</w:t>
      </w:r>
      <w:r w:rsidR="00617956" w:rsidRPr="00292138">
        <w:rPr>
          <w:rFonts w:ascii="Arial" w:hAnsi="Arial" w:cs="Arial"/>
          <w:sz w:val="20"/>
        </w:rPr>
        <w:t xml:space="preserve"> ще осигури на Съюза необходимите средства за справяне с предизвикателствата, свързани с пандемията от COVID-19. Съгласно споразумението Европейската комисия (ЕК) ще може да получи заеми на капиталовите пазари в размер до </w:t>
      </w:r>
      <w:r w:rsidR="00617956" w:rsidRPr="0072576F">
        <w:rPr>
          <w:rFonts w:ascii="Arial" w:hAnsi="Arial" w:cs="Arial"/>
          <w:bCs/>
          <w:sz w:val="20"/>
        </w:rPr>
        <w:t>750 милиарда евро</w:t>
      </w:r>
      <w:r w:rsidR="00617956" w:rsidRPr="00292138">
        <w:rPr>
          <w:rFonts w:ascii="Arial" w:hAnsi="Arial" w:cs="Arial"/>
          <w:sz w:val="20"/>
        </w:rPr>
        <w:t xml:space="preserve">, които ще бъдат изплатени до 2058 г. </w:t>
      </w:r>
      <w:r w:rsidR="00617956" w:rsidRPr="0072576F">
        <w:rPr>
          <w:rFonts w:ascii="Arial" w:hAnsi="Arial" w:cs="Arial"/>
          <w:sz w:val="20"/>
        </w:rPr>
        <w:t>Заемните средства може да се използват за предоставяне на заеми на ДЧ в размер до 360 млрд. евро и за разходи (грантове) в размер до 390 млрд. евро по цени от 2018</w:t>
      </w:r>
      <w:r w:rsidR="00617956" w:rsidRPr="00292138">
        <w:rPr>
          <w:rFonts w:ascii="Arial" w:hAnsi="Arial" w:cs="Arial"/>
          <w:b/>
          <w:sz w:val="20"/>
        </w:rPr>
        <w:t xml:space="preserve"> г.</w:t>
      </w:r>
      <w:r w:rsidR="00617956" w:rsidRPr="00292138">
        <w:rPr>
          <w:rFonts w:ascii="Arial" w:hAnsi="Arial" w:cs="Arial"/>
          <w:sz w:val="20"/>
        </w:rPr>
        <w:t xml:space="preserve"> Сумите по линия на NGEU ще бъдат разпределени за седем отделни програми: Механизъм за възстановяване и устойчивост: 672,5 млрд. евро (заеми: 360 млрд. евро, грантове: 312,5 млрд. евро), ReactEU: 47,5 млрд. евро, „Хоризонт Европа“: 5 млрд. евро, InvestEU: 5,6 млрд. евро, Развитие на селските райони: 7,5 млрд. евро, Фонд за справедлив преход (ФСП): 10 млрд. евро и RescEU: 1,9 млрд. евро</w:t>
      </w:r>
      <w:r w:rsidR="0072576F">
        <w:rPr>
          <w:rFonts w:ascii="Arial" w:hAnsi="Arial" w:cs="Arial"/>
          <w:sz w:val="20"/>
        </w:rPr>
        <w:t>.</w:t>
      </w:r>
    </w:p>
    <w:p w:rsidR="00617956" w:rsidRPr="00292138" w:rsidRDefault="00617956" w:rsidP="008B7A95">
      <w:pPr>
        <w:jc w:val="both"/>
        <w:rPr>
          <w:rFonts w:ascii="Arial" w:hAnsi="Arial" w:cs="Arial"/>
          <w:sz w:val="20"/>
        </w:rPr>
      </w:pPr>
      <w:r w:rsidRPr="00292138">
        <w:rPr>
          <w:rFonts w:ascii="Arial" w:hAnsi="Arial" w:cs="Arial"/>
          <w:sz w:val="20"/>
        </w:rPr>
        <w:t>30% от общите разходи по линия на МФР и NGEU ще бъдат насочени към </w:t>
      </w:r>
      <w:r w:rsidRPr="00292138">
        <w:rPr>
          <w:rFonts w:ascii="Arial" w:hAnsi="Arial" w:cs="Arial"/>
          <w:b/>
          <w:bCs/>
          <w:sz w:val="20"/>
        </w:rPr>
        <w:t>проекти, свързани с климата</w:t>
      </w:r>
      <w:r w:rsidRPr="00292138">
        <w:rPr>
          <w:rFonts w:ascii="Arial" w:hAnsi="Arial" w:cs="Arial"/>
          <w:sz w:val="20"/>
        </w:rPr>
        <w:t xml:space="preserve">. </w:t>
      </w:r>
    </w:p>
    <w:p w:rsidR="00617956" w:rsidRPr="00292138" w:rsidRDefault="00617956" w:rsidP="008B7A95">
      <w:pPr>
        <w:jc w:val="both"/>
        <w:rPr>
          <w:rFonts w:ascii="Arial" w:hAnsi="Arial" w:cs="Arial"/>
          <w:sz w:val="20"/>
        </w:rPr>
      </w:pPr>
      <w:r w:rsidRPr="00292138">
        <w:rPr>
          <w:rFonts w:ascii="Arial" w:hAnsi="Arial" w:cs="Arial"/>
          <w:color w:val="000000"/>
          <w:sz w:val="20"/>
        </w:rPr>
        <w:t xml:space="preserve">Предвиденият </w:t>
      </w:r>
      <w:r w:rsidRPr="00292138">
        <w:rPr>
          <w:rFonts w:ascii="Arial" w:hAnsi="Arial" w:cs="Arial"/>
          <w:b/>
          <w:color w:val="000000"/>
          <w:sz w:val="20"/>
        </w:rPr>
        <w:t>бюджет за ОСП</w:t>
      </w:r>
      <w:r w:rsidRPr="00292138">
        <w:rPr>
          <w:rFonts w:ascii="Arial" w:hAnsi="Arial" w:cs="Arial"/>
          <w:color w:val="000000"/>
          <w:sz w:val="20"/>
        </w:rPr>
        <w:t xml:space="preserve"> за периода 2021-2027 г. възлиза на 343,95 милиарда евро (по съпоставими цени от 2018 г.), от които 258,594 милиарда евро за 1-ви стълб и 77,85 милиарда евро за 2-ри стълб. Съгласно плана на ЕС за икономическо възстановяване след 2020 г. 7,5 милиарда евро ще бъдат добавени към бюджета на 2-ри стълб. Секторът ще трябва да се изправи пред „повече предизвикателства с по-малко бюджет“.</w:t>
      </w:r>
      <w:r w:rsidRPr="00292138">
        <w:rPr>
          <w:rFonts w:ascii="Arial" w:hAnsi="Arial" w:cs="Arial"/>
          <w:sz w:val="20"/>
        </w:rPr>
        <w:t xml:space="preserve"> Директните плащания (ДП) съгласно Регламент (ЕС) № 1307/2013 и съгласно Регламента за стратегическите планове по ОСП няма да надвишават 239 916 млн. евро.</w:t>
      </w:r>
    </w:p>
    <w:p w:rsidR="00617956" w:rsidRPr="00292138" w:rsidRDefault="00617956" w:rsidP="008B7A95">
      <w:pPr>
        <w:jc w:val="both"/>
        <w:rPr>
          <w:rFonts w:ascii="Arial" w:hAnsi="Arial" w:cs="Arial"/>
          <w:sz w:val="20"/>
        </w:rPr>
      </w:pPr>
      <w:r w:rsidRPr="00292138">
        <w:rPr>
          <w:rFonts w:ascii="Arial" w:hAnsi="Arial" w:cs="Arial"/>
          <w:sz w:val="20"/>
        </w:rPr>
        <w:t xml:space="preserve">В рамките на ОСП по 1-ви стълб ще продължи </w:t>
      </w:r>
      <w:r w:rsidRPr="00292138">
        <w:rPr>
          <w:rFonts w:ascii="Arial" w:hAnsi="Arial" w:cs="Arial"/>
          <w:b/>
          <w:sz w:val="20"/>
        </w:rPr>
        <w:t>външното сближаване (конвергенция)</w:t>
      </w:r>
      <w:r w:rsidRPr="00292138">
        <w:rPr>
          <w:rFonts w:ascii="Arial" w:hAnsi="Arial" w:cs="Arial"/>
          <w:sz w:val="20"/>
        </w:rPr>
        <w:t xml:space="preserve"> на ДП. Всички държави членки (ДЧ) с ДП на хектар под 90% от средната стойност за ЕС ще намалят с 50% разликата между средното равнище на своите текущи директни плащания и 90 % от средната стойност за ЕС на </w:t>
      </w:r>
      <w:r w:rsidRPr="00292138">
        <w:rPr>
          <w:rFonts w:ascii="Arial" w:hAnsi="Arial" w:cs="Arial"/>
          <w:sz w:val="20"/>
        </w:rPr>
        <w:lastRenderedPageBreak/>
        <w:t xml:space="preserve">шест равни стъпки, започвайки през 2022 г. Това сближаване ще бъде финансирано пропорционално от всички ДЧ. В допълнение всички ДЧ ще разполагат с равнище от поне 200 евро на хектар, като ще трябва да достигнат ниво от поне 215 евро на хектар до 2027 г. </w:t>
      </w:r>
    </w:p>
    <w:p w:rsidR="00617956" w:rsidRPr="00292138" w:rsidRDefault="00617956" w:rsidP="008B7A95">
      <w:pPr>
        <w:pStyle w:val="Default"/>
        <w:jc w:val="both"/>
        <w:rPr>
          <w:color w:val="auto"/>
          <w:sz w:val="20"/>
          <w:szCs w:val="20"/>
          <w:lang w:val="bg-BG"/>
        </w:rPr>
      </w:pPr>
      <w:r w:rsidRPr="00292138">
        <w:rPr>
          <w:color w:val="auto"/>
          <w:sz w:val="20"/>
          <w:szCs w:val="20"/>
          <w:lang w:val="bg-BG"/>
        </w:rPr>
        <w:t xml:space="preserve">На доброволен принцип ще бъде въведена </w:t>
      </w:r>
      <w:r w:rsidRPr="00292138">
        <w:rPr>
          <w:b/>
          <w:color w:val="auto"/>
          <w:sz w:val="20"/>
          <w:szCs w:val="20"/>
          <w:lang w:val="bg-BG"/>
        </w:rPr>
        <w:t>горна граница на директните плащания от 100 000 евро</w:t>
      </w:r>
      <w:r w:rsidRPr="00292138">
        <w:rPr>
          <w:color w:val="auto"/>
          <w:sz w:val="20"/>
          <w:szCs w:val="20"/>
          <w:lang w:val="bg-BG"/>
        </w:rPr>
        <w:t xml:space="preserve"> за големите бенефициенти. Тя ще се прилага само за основното подпомагане на доходите за устойчивост (BISS). При прилагането на горната граница ДЧ ще могат да приспадат от сумата на основното подпомагане на всеки бенефициент всички разходи, свързани с работната сила. </w:t>
      </w:r>
    </w:p>
    <w:p w:rsidR="00617956" w:rsidRPr="00292138" w:rsidRDefault="00617956" w:rsidP="008B7A95">
      <w:pPr>
        <w:pStyle w:val="Default"/>
        <w:jc w:val="both"/>
        <w:rPr>
          <w:color w:val="auto"/>
          <w:sz w:val="20"/>
          <w:szCs w:val="20"/>
          <w:lang w:val="bg-BG"/>
        </w:rPr>
      </w:pPr>
      <w:r w:rsidRPr="00292138">
        <w:rPr>
          <w:color w:val="auto"/>
          <w:sz w:val="20"/>
          <w:szCs w:val="20"/>
          <w:lang w:val="bg-BG"/>
        </w:rPr>
        <w:t xml:space="preserve">В началото на всяка година в рамките на Европейския фонд за гарантиране на земеделието (ЕФГЗ) се създава </w:t>
      </w:r>
      <w:r w:rsidRPr="00292138">
        <w:rPr>
          <w:b/>
          <w:color w:val="auto"/>
          <w:sz w:val="20"/>
          <w:szCs w:val="20"/>
          <w:lang w:val="bg-BG"/>
        </w:rPr>
        <w:t>резерв,</w:t>
      </w:r>
      <w:r w:rsidRPr="00292138">
        <w:rPr>
          <w:color w:val="auto"/>
          <w:sz w:val="20"/>
          <w:szCs w:val="20"/>
          <w:lang w:val="bg-BG"/>
        </w:rPr>
        <w:t xml:space="preserve"> чрез който да се оказва подкрепа на селскостопанския сектор с цел пазарно управление или стабилизация или в случай на кризи, засягащи селскостопанското производство или разпределение („селскостопански резерв“). Сумата по селскостопанския резерв е 450 млн. евро по текущи цени в началото на всяка година за периода 2021—2027 г. Неизползваните суми от този резерв през финансовата 2020 година ще бъдат пренесени към финансовата 2021 година с цел формиране на резерва (точните години ще бъдат синхронизирани с преходния период на ОСП).  </w:t>
      </w:r>
    </w:p>
    <w:p w:rsidR="00617956" w:rsidRPr="00292138" w:rsidRDefault="00617956" w:rsidP="008B7A95">
      <w:pPr>
        <w:jc w:val="both"/>
        <w:rPr>
          <w:rFonts w:ascii="Arial" w:hAnsi="Arial" w:cs="Arial"/>
          <w:sz w:val="20"/>
        </w:rPr>
      </w:pPr>
      <w:r w:rsidRPr="00292138">
        <w:rPr>
          <w:rFonts w:ascii="Arial" w:hAnsi="Arial" w:cs="Arial"/>
          <w:b/>
          <w:sz w:val="20"/>
        </w:rPr>
        <w:t>Бюджетните трансфери</w:t>
      </w:r>
      <w:r w:rsidRPr="00292138">
        <w:rPr>
          <w:rFonts w:ascii="Arial" w:hAnsi="Arial" w:cs="Arial"/>
          <w:sz w:val="20"/>
        </w:rPr>
        <w:t xml:space="preserve"> от </w:t>
      </w:r>
      <w:r w:rsidRPr="00292138">
        <w:rPr>
          <w:rFonts w:ascii="Arial" w:hAnsi="Arial" w:cs="Arial"/>
          <w:b/>
          <w:sz w:val="20"/>
        </w:rPr>
        <w:t>1-ви към 2-ри стълб</w:t>
      </w:r>
      <w:r w:rsidRPr="00292138">
        <w:rPr>
          <w:rFonts w:ascii="Arial" w:hAnsi="Arial" w:cs="Arial"/>
          <w:sz w:val="20"/>
        </w:rPr>
        <w:t xml:space="preserve"> на ОСП ще бъдат до 42%, като с 25% ще се финансират всяко действие, избрано от 2-ри стълб, 15% за финансиране само на действия в областта на околната среда и 2% за мерки в полза на младите земеделски стопани. Обратно, трансферите от </w:t>
      </w:r>
      <w:r w:rsidRPr="00292138">
        <w:rPr>
          <w:rFonts w:ascii="Arial" w:hAnsi="Arial" w:cs="Arial"/>
          <w:b/>
          <w:sz w:val="20"/>
        </w:rPr>
        <w:t>2-ри към 1-ви стълб</w:t>
      </w:r>
      <w:r w:rsidRPr="00292138">
        <w:rPr>
          <w:rFonts w:ascii="Arial" w:hAnsi="Arial" w:cs="Arial"/>
          <w:sz w:val="20"/>
        </w:rPr>
        <w:t xml:space="preserve"> могат да бъдат до 25% и могат да бъдат увеличени до 30% за ДЧ, чието директно подпомагане под 90% от средното за Европа.</w:t>
      </w:r>
    </w:p>
    <w:p w:rsidR="00617956" w:rsidRPr="00292138" w:rsidRDefault="00617956" w:rsidP="008B7A95">
      <w:pPr>
        <w:jc w:val="both"/>
        <w:rPr>
          <w:rFonts w:ascii="Arial" w:hAnsi="Arial" w:cs="Arial"/>
          <w:sz w:val="20"/>
        </w:rPr>
      </w:pPr>
      <w:r w:rsidRPr="00292138">
        <w:rPr>
          <w:rFonts w:ascii="Arial" w:hAnsi="Arial" w:cs="Arial"/>
          <w:b/>
          <w:sz w:val="20"/>
        </w:rPr>
        <w:t>В рамките на ОСП България ще има достъп до над 7 млрд. евро</w:t>
      </w:r>
      <w:r w:rsidRPr="00292138">
        <w:rPr>
          <w:rFonts w:ascii="Arial" w:hAnsi="Arial" w:cs="Arial"/>
          <w:sz w:val="20"/>
        </w:rPr>
        <w:t>, над 5 от които са за ДП и над 2 млрд. евро за развитие на селските райони (РСР) по предварителни изчисления.</w:t>
      </w:r>
    </w:p>
    <w:p w:rsidR="00617956" w:rsidRPr="00292138" w:rsidRDefault="00617956" w:rsidP="008B7A95">
      <w:pPr>
        <w:jc w:val="both"/>
        <w:rPr>
          <w:rFonts w:ascii="Arial" w:hAnsi="Arial" w:cs="Arial"/>
          <w:sz w:val="20"/>
        </w:rPr>
      </w:pPr>
      <w:r w:rsidRPr="00292138">
        <w:rPr>
          <w:rFonts w:ascii="Arial" w:hAnsi="Arial" w:cs="Arial"/>
          <w:sz w:val="20"/>
        </w:rPr>
        <w:t>Това ще позволи повишаване на средствата за ДП прогнозно с около 5% в сравнение с текущия финансов период и от 5,3 млрд. евро да станат 5,6 млрд. евро, благодарение на прилагането на механизма за външна конвергенция. Прогнозно осредненото плащане на хектар до 2027 г. следва да достигне 219 евро/ха.</w:t>
      </w:r>
    </w:p>
    <w:p w:rsidR="00617956" w:rsidRPr="00292138" w:rsidRDefault="00617956" w:rsidP="008B7A95">
      <w:pPr>
        <w:jc w:val="both"/>
        <w:rPr>
          <w:rFonts w:ascii="Arial" w:hAnsi="Arial" w:cs="Arial"/>
          <w:sz w:val="20"/>
        </w:rPr>
      </w:pPr>
      <w:r w:rsidRPr="00292138">
        <w:rPr>
          <w:rFonts w:ascii="Arial" w:hAnsi="Arial" w:cs="Arial"/>
          <w:sz w:val="20"/>
        </w:rPr>
        <w:t xml:space="preserve">Очакванията са предвиденият финансов ресурс да позволи повишаване на средствата за РСР за България с 250 млн. евро от ЕЗФРСР, или 10% повече в сравнение с първоначалното предложение на ЕК от 2018 г. С увеличението спрямо 2018 г. средствата за ЕЗФРСР от 1.97 млрд. евро достигат  2.2 млрд. евро по текущи цени.  </w:t>
      </w:r>
    </w:p>
    <w:p w:rsidR="0001496E" w:rsidRPr="0002016E" w:rsidRDefault="00617956" w:rsidP="008B7A95">
      <w:pPr>
        <w:jc w:val="both"/>
        <w:rPr>
          <w:rStyle w:val="longtext"/>
          <w:noProof/>
        </w:rPr>
      </w:pPr>
      <w:r w:rsidRPr="00292138">
        <w:rPr>
          <w:rFonts w:ascii="Arial" w:hAnsi="Arial" w:cs="Arial"/>
          <w:sz w:val="20"/>
        </w:rPr>
        <w:t xml:space="preserve">Пакетът за МФР предстои да бъде представен за съгласуване с Европейския парламент.  </w:t>
      </w:r>
    </w:p>
    <w:sectPr w:rsidR="0001496E" w:rsidRPr="0002016E"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5D5" w:rsidRDefault="003425D5">
      <w:r>
        <w:separator/>
      </w:r>
    </w:p>
  </w:endnote>
  <w:endnote w:type="continuationSeparator" w:id="0">
    <w:p w:rsidR="003425D5" w:rsidRDefault="0034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3425D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3425D5"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567614">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3425D5">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5D5" w:rsidRDefault="003425D5">
      <w:r>
        <w:separator/>
      </w:r>
    </w:p>
  </w:footnote>
  <w:footnote w:type="continuationSeparator" w:id="0">
    <w:p w:rsidR="003425D5" w:rsidRDefault="00342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0"/>
      <w:gridCol w:w="2512"/>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3425D5"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3425D5">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527A50">
      <w:rPr>
        <w:rFonts w:ascii="Arial" w:hAnsi="Arial"/>
        <w:b/>
        <w:bCs/>
        <w:color w:val="800080"/>
        <w:sz w:val="20"/>
        <w:lang w:val="en-US"/>
      </w:rPr>
      <w:t>30</w:t>
    </w:r>
    <w:r>
      <w:rPr>
        <w:rFonts w:ascii="Arial" w:hAnsi="Arial"/>
        <w:b/>
        <w:bCs/>
        <w:color w:val="800080"/>
        <w:sz w:val="20"/>
      </w:rPr>
      <w:t>/</w:t>
    </w:r>
    <w:r w:rsidR="00A741E2">
      <w:rPr>
        <w:rFonts w:ascii="Arial" w:hAnsi="Arial"/>
        <w:b/>
        <w:bCs/>
        <w:color w:val="800080"/>
        <w:sz w:val="20"/>
      </w:rPr>
      <w:t>2</w:t>
    </w:r>
    <w:r w:rsidR="00527A50">
      <w:rPr>
        <w:rFonts w:ascii="Arial" w:hAnsi="Arial"/>
        <w:b/>
        <w:bCs/>
        <w:color w:val="800080"/>
        <w:sz w:val="20"/>
      </w:rPr>
      <w:t>7</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A31F0"/>
    <w:rsid w:val="000A7CFB"/>
    <w:rsid w:val="000B2026"/>
    <w:rsid w:val="000B3B85"/>
    <w:rsid w:val="000B7B54"/>
    <w:rsid w:val="000C72E3"/>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425D5"/>
    <w:rsid w:val="00350E9F"/>
    <w:rsid w:val="00353ACF"/>
    <w:rsid w:val="00374E31"/>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923C1"/>
    <w:rsid w:val="00496775"/>
    <w:rsid w:val="004A0254"/>
    <w:rsid w:val="004A4C92"/>
    <w:rsid w:val="004B46D9"/>
    <w:rsid w:val="004F4705"/>
    <w:rsid w:val="004F5E4F"/>
    <w:rsid w:val="00502A0A"/>
    <w:rsid w:val="00504E8D"/>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67614"/>
    <w:rsid w:val="00594324"/>
    <w:rsid w:val="00596313"/>
    <w:rsid w:val="005A0184"/>
    <w:rsid w:val="005B1884"/>
    <w:rsid w:val="005B4574"/>
    <w:rsid w:val="005C1BB7"/>
    <w:rsid w:val="005F3548"/>
    <w:rsid w:val="006068B4"/>
    <w:rsid w:val="00617956"/>
    <w:rsid w:val="00623765"/>
    <w:rsid w:val="00626A3F"/>
    <w:rsid w:val="00627881"/>
    <w:rsid w:val="006367A9"/>
    <w:rsid w:val="00642BB6"/>
    <w:rsid w:val="0066444F"/>
    <w:rsid w:val="00667C81"/>
    <w:rsid w:val="006809BC"/>
    <w:rsid w:val="00682667"/>
    <w:rsid w:val="006961F0"/>
    <w:rsid w:val="006A094F"/>
    <w:rsid w:val="006A7391"/>
    <w:rsid w:val="006A739D"/>
    <w:rsid w:val="006C196D"/>
    <w:rsid w:val="006E7A46"/>
    <w:rsid w:val="006F38F7"/>
    <w:rsid w:val="0070200F"/>
    <w:rsid w:val="00705B40"/>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34FA6"/>
    <w:rsid w:val="009355BA"/>
    <w:rsid w:val="00936F1A"/>
    <w:rsid w:val="0094133F"/>
    <w:rsid w:val="00955B0D"/>
    <w:rsid w:val="00956512"/>
    <w:rsid w:val="009704A2"/>
    <w:rsid w:val="00975F09"/>
    <w:rsid w:val="00977CA7"/>
    <w:rsid w:val="0099695D"/>
    <w:rsid w:val="009A2752"/>
    <w:rsid w:val="009A5D09"/>
    <w:rsid w:val="009B1FAD"/>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52D6"/>
    <w:rsid w:val="00AC73DE"/>
    <w:rsid w:val="00AD504F"/>
    <w:rsid w:val="00AE0D25"/>
    <w:rsid w:val="00AE14FF"/>
    <w:rsid w:val="00AE2FF4"/>
    <w:rsid w:val="00B03285"/>
    <w:rsid w:val="00B16835"/>
    <w:rsid w:val="00B16C07"/>
    <w:rsid w:val="00B200ED"/>
    <w:rsid w:val="00B3223C"/>
    <w:rsid w:val="00B34793"/>
    <w:rsid w:val="00B36E39"/>
    <w:rsid w:val="00B411AC"/>
    <w:rsid w:val="00B539A9"/>
    <w:rsid w:val="00B6207E"/>
    <w:rsid w:val="00B64F87"/>
    <w:rsid w:val="00B73DA3"/>
    <w:rsid w:val="00B81125"/>
    <w:rsid w:val="00B8112B"/>
    <w:rsid w:val="00B853D4"/>
    <w:rsid w:val="00B873EA"/>
    <w:rsid w:val="00B90317"/>
    <w:rsid w:val="00B93F21"/>
    <w:rsid w:val="00BA2A9E"/>
    <w:rsid w:val="00BB4446"/>
    <w:rsid w:val="00BC35B8"/>
    <w:rsid w:val="00BC70E2"/>
    <w:rsid w:val="00BE0FE4"/>
    <w:rsid w:val="00BE55CA"/>
    <w:rsid w:val="00BF118B"/>
    <w:rsid w:val="00BF28EC"/>
    <w:rsid w:val="00BF7565"/>
    <w:rsid w:val="00C00F88"/>
    <w:rsid w:val="00C05E95"/>
    <w:rsid w:val="00C20809"/>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40F5"/>
    <w:rsid w:val="00CA6CB8"/>
    <w:rsid w:val="00CA7960"/>
    <w:rsid w:val="00CB196D"/>
    <w:rsid w:val="00CB2886"/>
    <w:rsid w:val="00CC7CF0"/>
    <w:rsid w:val="00CD304C"/>
    <w:rsid w:val="00CE5641"/>
    <w:rsid w:val="00CE5E69"/>
    <w:rsid w:val="00CE7025"/>
    <w:rsid w:val="00CF0DEA"/>
    <w:rsid w:val="00D000AE"/>
    <w:rsid w:val="00D100BD"/>
    <w:rsid w:val="00D118DE"/>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17E07"/>
    <w:rsid w:val="00E2125A"/>
    <w:rsid w:val="00E23670"/>
    <w:rsid w:val="00E24FA2"/>
    <w:rsid w:val="00E256E7"/>
    <w:rsid w:val="00E32DB5"/>
    <w:rsid w:val="00E350AD"/>
    <w:rsid w:val="00E35D6F"/>
    <w:rsid w:val="00E4290A"/>
    <w:rsid w:val="00E44DF1"/>
    <w:rsid w:val="00E47639"/>
    <w:rsid w:val="00E51A6D"/>
    <w:rsid w:val="00E5449B"/>
    <w:rsid w:val="00E6099A"/>
    <w:rsid w:val="00E60B1D"/>
    <w:rsid w:val="00E67885"/>
    <w:rsid w:val="00E80A45"/>
    <w:rsid w:val="00E828B4"/>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B1B"/>
    <w:rsid w:val="00F029F3"/>
    <w:rsid w:val="00F02F9B"/>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66B73"/>
  <w15:docId w15:val="{1D4F2458-7616-4367-AC91-54778C5E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bg/policies/long-term-eu-budget-2021-20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1B92-2791-4AE6-B1E8-2A2DCCF0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Dell Old</cp:lastModifiedBy>
  <cp:revision>2</cp:revision>
  <dcterms:created xsi:type="dcterms:W3CDTF">2020-07-27T14:04:00Z</dcterms:created>
  <dcterms:modified xsi:type="dcterms:W3CDTF">2020-07-27T14:04:00Z</dcterms:modified>
</cp:coreProperties>
</file>