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F7" w:rsidRPr="006B4B36" w:rsidRDefault="00DC0AF7">
      <w:pPr>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НАРЕДБА № 4 ОТ 30 МАЙ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DC0AF7" w:rsidRPr="006B4B36" w:rsidRDefault="00DC0AF7">
      <w:pPr>
        <w:spacing w:before="283"/>
        <w:ind w:firstLine="850"/>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Издадена от министъра на земеделието, храните и горите</w:t>
      </w:r>
    </w:p>
    <w:p w:rsidR="00DC0AF7" w:rsidRPr="006B4B36" w:rsidRDefault="00DC0AF7">
      <w:pPr>
        <w:spacing w:before="283"/>
        <w:ind w:firstLine="850"/>
        <w:jc w:val="both"/>
        <w:rPr>
          <w:rFonts w:eastAsia="Times New Roman"/>
          <w:sz w:val="22"/>
          <w:szCs w:val="22"/>
          <w:highlight w:val="white"/>
          <w:shd w:val="clear" w:color="auto" w:fill="FEFEFE"/>
        </w:rPr>
      </w:pPr>
      <w:proofErr w:type="spellStart"/>
      <w:r w:rsidRPr="006B4B36">
        <w:rPr>
          <w:rFonts w:eastAsia="Times New Roman"/>
          <w:i/>
          <w:iCs/>
          <w:sz w:val="22"/>
          <w:szCs w:val="22"/>
          <w:highlight w:val="white"/>
          <w:shd w:val="clear" w:color="auto" w:fill="FEFEFE"/>
        </w:rPr>
        <w:t>Обн</w:t>
      </w:r>
      <w:proofErr w:type="spellEnd"/>
      <w:r w:rsidRPr="006B4B36">
        <w:rPr>
          <w:rFonts w:eastAsia="Times New Roman"/>
          <w:i/>
          <w:iCs/>
          <w:sz w:val="22"/>
          <w:szCs w:val="22"/>
          <w:highlight w:val="white"/>
          <w:shd w:val="clear" w:color="auto" w:fill="FEFEFE"/>
        </w:rPr>
        <w:t xml:space="preserve">. ДВ. бр.48 от 8 Юни 2018г., изм. и доп. ДВ. бр.74 от 20 Септември 2019г., изм. и доп. ДВ. бр.64 от 18 Юли 2020г., доп. ДВ. бр.108 от 22 Декември 2020г., доп. ДВ. бр.34 от 23 Април 2021г., </w:t>
      </w:r>
      <w:r w:rsidRPr="006B4B36">
        <w:rPr>
          <w:rFonts w:eastAsia="Times New Roman"/>
          <w:b/>
          <w:bCs/>
          <w:i/>
          <w:iCs/>
          <w:sz w:val="22"/>
          <w:szCs w:val="22"/>
          <w:highlight w:val="white"/>
          <w:shd w:val="clear" w:color="auto" w:fill="FEFEFE"/>
        </w:rPr>
        <w:t>доп. ДВ. бр.83 от 5 Октомври 2021г.</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Глава първа.</w:t>
      </w:r>
      <w:r w:rsidRPr="006B4B36">
        <w:rPr>
          <w:rFonts w:eastAsia="Times New Roman"/>
          <w:b/>
          <w:bCs/>
          <w:sz w:val="22"/>
          <w:szCs w:val="22"/>
          <w:highlight w:val="white"/>
          <w:shd w:val="clear" w:color="auto" w:fill="FEFEFE"/>
        </w:rPr>
        <w:br/>
        <w:t>ОБЩИ ПОЛОЖЕНИЯ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1. (1) С тази наредба се уреждат условията и редът за: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изплащане на финансовата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намаляване на финансовата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отказ за изплащане на финансовата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оттегляне на изплатената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Изплащането на финансовата помощ обхваща и действията по чл. 48, параграфи 3, 4 и 5 от Регламент за изпълнение (ЕС) № 809/2014 на Комисията от 17 юли 2014 г.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255/18 от 28 август 2014 г.), наричан по-нататък "Регламент № 809/2014".</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(3) Наредбата се прилага за мерките и </w:t>
      </w:r>
      <w:proofErr w:type="spellStart"/>
      <w:r w:rsidRPr="006B4B36">
        <w:rPr>
          <w:rFonts w:eastAsia="Times New Roman"/>
          <w:sz w:val="22"/>
          <w:szCs w:val="22"/>
          <w:highlight w:val="white"/>
          <w:shd w:val="clear" w:color="auto" w:fill="FEFEFE"/>
        </w:rPr>
        <w:t>подмерките</w:t>
      </w:r>
      <w:proofErr w:type="spellEnd"/>
      <w:r w:rsidRPr="006B4B36">
        <w:rPr>
          <w:rFonts w:eastAsia="Times New Roman"/>
          <w:sz w:val="22"/>
          <w:szCs w:val="22"/>
          <w:highlight w:val="white"/>
          <w:shd w:val="clear" w:color="auto" w:fill="FEFEFE"/>
        </w:rPr>
        <w:t xml:space="preserve"> от Програмата за развитие на селските райони за периода 2014 - 2020 г. (ПРСР 2014 - 2020 г.) по чл. 9б, т. 2 от Закона за подпомагане на земеделските производители (ЗПЗП).</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2. Всички уведомления и издаваните от Държавен фонд "Земеделие" - Разплащателна агенция (ДФЗ - РА), решения по реда и условията на тази наредба се изпращат чрез Информационната система за управление и наблюдение на средствата от Европейските структурни и инвестиционни фондове (ИСУН) посредством електронния профил на бенефициента, създаден от ДФЗ - РА, по реда на чл. 29 от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(ДВ, бр. 76 от 2016 г.).</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Глава втора.</w:t>
      </w:r>
      <w:r w:rsidRPr="006B4B36">
        <w:rPr>
          <w:rFonts w:eastAsia="Times New Roman"/>
          <w:b/>
          <w:bCs/>
          <w:sz w:val="22"/>
          <w:szCs w:val="22"/>
          <w:highlight w:val="white"/>
          <w:shd w:val="clear" w:color="auto" w:fill="FEFEFE"/>
        </w:rPr>
        <w:br/>
        <w:t>УСЛОВИЯ И РЕД ЗА ИЗПЛАЩАНЕ НА ФИНАНСОВАТА ПОМОЩ</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Раздел I.</w:t>
      </w:r>
      <w:r w:rsidRPr="006B4B36">
        <w:rPr>
          <w:rFonts w:eastAsia="Times New Roman"/>
          <w:b/>
          <w:bCs/>
          <w:sz w:val="22"/>
          <w:szCs w:val="22"/>
          <w:highlight w:val="white"/>
          <w:shd w:val="clear" w:color="auto" w:fill="FEFEFE"/>
        </w:rPr>
        <w:br/>
        <w:t>Плащания и искане за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3. (1) Държавен фонд "Земеделие" - Разплащателна агенция, извършва плащания въз основа на искане на бенефициент, подадено по реда на тази наредба, на основание сключен административен договор или заповед за предоставяне на безвъзмездна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Плащанията по ал. 1 могат да бъдат авансови, междинни, окончателни или плащания съгласно приложение № 1.</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Чл. 4. (1) Искането за плащане се подава от бенефициента чрез </w:t>
      </w:r>
      <w:hyperlink r:id="rId6" w:history="1">
        <w:r w:rsidRPr="006B4B36">
          <w:rPr>
            <w:rFonts w:eastAsia="Times New Roman"/>
            <w:color w:val="0000FF"/>
            <w:sz w:val="22"/>
            <w:szCs w:val="22"/>
            <w:highlight w:val="white"/>
            <w:u w:val="single"/>
            <w:shd w:val="clear" w:color="auto" w:fill="FEFEFE"/>
          </w:rPr>
          <w:t>ИСУН</w:t>
        </w:r>
      </w:hyperlink>
      <w:r w:rsidRPr="006B4B36">
        <w:rPr>
          <w:rFonts w:eastAsia="Times New Roman"/>
          <w:sz w:val="22"/>
          <w:szCs w:val="22"/>
          <w:highlight w:val="white"/>
          <w:shd w:val="clear" w:color="auto" w:fill="FEFEFE"/>
        </w:rPr>
        <w:t xml:space="preserve"> по образец, под формата на електронен формуляр, публикуван в ИСУН с приложени към него изискуеми документи, съгласно документите по чл. 26 от Закона за управление на средствата от Европейските структурни и инвестиционни фондове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(2) По проекти за </w:t>
      </w:r>
      <w:proofErr w:type="spellStart"/>
      <w:r w:rsidRPr="006B4B36">
        <w:rPr>
          <w:rFonts w:eastAsia="Times New Roman"/>
          <w:sz w:val="22"/>
          <w:szCs w:val="22"/>
          <w:highlight w:val="white"/>
          <w:shd w:val="clear" w:color="auto" w:fill="FEFEFE"/>
        </w:rPr>
        <w:t>вътрешнотериториално</w:t>
      </w:r>
      <w:proofErr w:type="spellEnd"/>
      <w:r w:rsidRPr="006B4B36">
        <w:rPr>
          <w:rFonts w:eastAsia="Times New Roman"/>
          <w:sz w:val="22"/>
          <w:szCs w:val="22"/>
          <w:highlight w:val="white"/>
          <w:shd w:val="clear" w:color="auto" w:fill="FEFEFE"/>
        </w:rPr>
        <w:t xml:space="preserve"> или транснационално сътрудничество по подмярка 19.3 "Подготовка и изпълнение на дейности за сътрудничество на местни инициативни групи" от мярка 19 </w:t>
      </w:r>
      <w:r w:rsidRPr="006B4B36">
        <w:rPr>
          <w:rFonts w:eastAsia="Times New Roman"/>
          <w:sz w:val="22"/>
          <w:szCs w:val="22"/>
          <w:highlight w:val="white"/>
          <w:shd w:val="clear" w:color="auto" w:fill="FEFEFE"/>
        </w:rPr>
        <w:lastRenderedPageBreak/>
        <w:t>"Водено от общностите местно развитие" ПРСР 2014 - 2020 г. бенефициентът подава общо искане за плащане за разходите на партньорите по проекта съгласно документите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Чл. 5. (1) Всички срокове за разглеждане на искания за плащане започват да текат за ДФЗ - РА, от датата на изпращането им от бенефициента в </w:t>
      </w:r>
      <w:hyperlink r:id="rId7" w:history="1">
        <w:r w:rsidRPr="006B4B36">
          <w:rPr>
            <w:rFonts w:eastAsia="Times New Roman"/>
            <w:color w:val="0000FF"/>
            <w:sz w:val="22"/>
            <w:szCs w:val="22"/>
            <w:highlight w:val="white"/>
            <w:u w:val="single"/>
            <w:shd w:val="clear" w:color="auto" w:fill="FEFEFE"/>
          </w:rPr>
          <w:t>ИСУН</w:t>
        </w:r>
      </w:hyperlink>
      <w:r w:rsidRPr="006B4B36">
        <w:rPr>
          <w:rFonts w:eastAsia="Times New Roman"/>
          <w:sz w:val="22"/>
          <w:szCs w:val="22"/>
          <w:highlight w:val="white"/>
          <w:shd w:val="clear" w:color="auto" w:fill="FEFEFE"/>
        </w:rPr>
        <w:t>.</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(2) Всички срокове, посочени в уведомленията и решенията на ДФЗ - РА, започват да текат от датата на изпращането им в </w:t>
      </w:r>
      <w:hyperlink r:id="rId8" w:history="1">
        <w:r w:rsidRPr="006B4B36">
          <w:rPr>
            <w:rFonts w:eastAsia="Times New Roman"/>
            <w:color w:val="0000FF"/>
            <w:sz w:val="22"/>
            <w:szCs w:val="22"/>
            <w:highlight w:val="white"/>
            <w:u w:val="single"/>
            <w:shd w:val="clear" w:color="auto" w:fill="FEFEFE"/>
          </w:rPr>
          <w:t>ИСУН</w:t>
        </w:r>
      </w:hyperlink>
      <w:r w:rsidRPr="006B4B36">
        <w:rPr>
          <w:rFonts w:eastAsia="Times New Roman"/>
          <w:sz w:val="22"/>
          <w:szCs w:val="22"/>
          <w:highlight w:val="white"/>
          <w:shd w:val="clear" w:color="auto" w:fill="FEFEFE"/>
        </w:rPr>
        <w:t>.</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Предвидените срокове за разглеждане на исканията за плащане спират да текат от изпращане на уведомление за представяне на изискуеми документи и информация до датата на представянето им, съответно до изтичане на срока за представянето им, както и в други случаи, предвидени в тази наредба.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Чл. 6. Документите, приложени към исканията за плащане, както и тези, представени от бенефициентите в резултат на допълнително искане от ДФЗ - РА,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6B4B36">
        <w:rPr>
          <w:rFonts w:eastAsia="Times New Roman"/>
          <w:sz w:val="22"/>
          <w:szCs w:val="22"/>
          <w:highlight w:val="white"/>
          <w:shd w:val="clear" w:color="auto" w:fill="FEFEFE"/>
        </w:rPr>
        <w:t>апостил</w:t>
      </w:r>
      <w:proofErr w:type="spellEnd"/>
      <w:r w:rsidRPr="006B4B36">
        <w:rPr>
          <w:rFonts w:eastAsia="Times New Roman"/>
          <w:sz w:val="22"/>
          <w:szCs w:val="22"/>
          <w:highlight w:val="white"/>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6а. (Нов - ДВ, бр. 74 от 2019 г., в сила от 20.09.2019 г.) (1) При използване на опростени разходи в съответствие с чл. 67, параграф 1, букви "б" и "в" от Регламент (ЕС) № 1303/2013 г.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347 от 20 декември 2013 г.) се използват стойностите, определени в ПРСР 2014 - 2020 г.</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При използване на опростени разходи за подмярка 19.4 "Текущи разходи и популяризиране на стратегия за Водено от общностите местно развитие" на мярка 19 "Водено от общностите местно развитие" се прилага приложение № 1а.</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Раздел II.</w:t>
      </w:r>
      <w:r w:rsidRPr="006B4B36">
        <w:rPr>
          <w:rFonts w:eastAsia="Times New Roman"/>
          <w:b/>
          <w:bCs/>
          <w:sz w:val="22"/>
          <w:szCs w:val="22"/>
          <w:highlight w:val="white"/>
          <w:shd w:val="clear" w:color="auto" w:fill="FEFEFE"/>
        </w:rPr>
        <w:br/>
        <w:t>Авансово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7. (1) Искане за авансово плащане се подава по образеца по чл. 4, ал. 1 и към него се прилагат документите съгласно приложение № 2.</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Искането по ал. 1 се подава от бенефициента в срок не по-рано от 10 дни от сключване на административния договор, съответно издаване на заповедта за предоставяне на безвъзмездна финансова помощ, и не по-късно от шест месеца преди изтичане на крайния срок за изпълнение на одобрения проект, посочен в административния договор или заповедта за предоставяне на финансова помощ, освен когато в Условията за изпълнение на одобрените проекти по чл. 26 от ЗУСЕСИФ е предвиден друг срок.</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Минималният и максималният размер, както и допустимият брой на авансовите плащания през периода на изпълнение на одобрен проект се определят с Условията за изпълнение на одобрените проекти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8. (1) Бенефициентът представя обезпечение по авансово плащане под формата на: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1. безусловна и неотменима банкова гаранция в полза на ДФЗ - РА, по образец, утвърден от изпълнителния директор на ДФЗ - РА, и публикуван на </w:t>
      </w:r>
      <w:hyperlink r:id="rId9" w:history="1">
        <w:r w:rsidRPr="006B4B36">
          <w:rPr>
            <w:rFonts w:eastAsia="Times New Roman"/>
            <w:color w:val="0000FF"/>
            <w:sz w:val="22"/>
            <w:szCs w:val="22"/>
            <w:highlight w:val="white"/>
            <w:u w:val="single"/>
            <w:shd w:val="clear" w:color="auto" w:fill="FEFEFE"/>
          </w:rPr>
          <w:t>електронната страница</w:t>
        </w:r>
      </w:hyperlink>
      <w:r w:rsidRPr="006B4B36">
        <w:rPr>
          <w:rFonts w:eastAsia="Times New Roman"/>
          <w:sz w:val="22"/>
          <w:szCs w:val="22"/>
          <w:highlight w:val="white"/>
          <w:shd w:val="clear" w:color="auto" w:fill="FEFEFE"/>
        </w:rPr>
        <w:t xml:space="preserve"> на ДФЗ - РА;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2. запис на заповед "без протест" и "без разноски" по образец, утвърден от изпълнителния директор на ДФЗ - РА, и публикуван на </w:t>
      </w:r>
      <w:hyperlink r:id="rId10" w:history="1">
        <w:r w:rsidRPr="006B4B36">
          <w:rPr>
            <w:rFonts w:eastAsia="Times New Roman"/>
            <w:color w:val="0000FF"/>
            <w:sz w:val="22"/>
            <w:szCs w:val="22"/>
            <w:highlight w:val="white"/>
            <w:u w:val="single"/>
            <w:shd w:val="clear" w:color="auto" w:fill="FEFEFE"/>
          </w:rPr>
          <w:t>електронната страница</w:t>
        </w:r>
      </w:hyperlink>
      <w:r w:rsidRPr="006B4B36">
        <w:rPr>
          <w:rFonts w:eastAsia="Times New Roman"/>
          <w:sz w:val="22"/>
          <w:szCs w:val="22"/>
          <w:highlight w:val="white"/>
          <w:shd w:val="clear" w:color="auto" w:fill="FEFEFE"/>
        </w:rPr>
        <w:t xml:space="preserve"> на ДФЗ - РА.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(2) Видът на допустимото обезпечение за всяка от мерките и </w:t>
      </w:r>
      <w:proofErr w:type="spellStart"/>
      <w:r w:rsidRPr="006B4B36">
        <w:rPr>
          <w:rFonts w:eastAsia="Times New Roman"/>
          <w:sz w:val="22"/>
          <w:szCs w:val="22"/>
          <w:highlight w:val="white"/>
          <w:shd w:val="clear" w:color="auto" w:fill="FEFEFE"/>
        </w:rPr>
        <w:t>подмерките</w:t>
      </w:r>
      <w:proofErr w:type="spellEnd"/>
      <w:r w:rsidRPr="006B4B36">
        <w:rPr>
          <w:rFonts w:eastAsia="Times New Roman"/>
          <w:sz w:val="22"/>
          <w:szCs w:val="22"/>
          <w:highlight w:val="white"/>
          <w:shd w:val="clear" w:color="auto" w:fill="FEFEFE"/>
        </w:rPr>
        <w:t xml:space="preserve"> по чл. 9б, т. 2 от ЗПЗП се посочва в документите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Обезпечението по ал. 1 трябва да 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със срок на валидност, равен на срока за изпълнение на одобрения проект, посочен в административния договор или в заповедта за предоставяне на финансова помощ, удължен с шест месеца;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2. в размер сто процента от размера на авансовото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Обезпечението се освобождава изцяло от ДФЗ - РА, до четиринадесет дни от датата, на която ДФЗ - РА, установи, че размерът на подлежащата на изплащане финансова помощ по подадено искане за междинно и/или окончателно плащане надхвърля размера на авансовото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Когато размерът на подлежащата на изплащане финансова помощ по ал. 4 не надхвърля размера на авансовото плащане, обезпечението може да бъде заменено с друго, покриващо остатъка на авансовото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Чл. 9. В срок до седем дни от подаване на искането за авансово плащане бенефициентът представя оригиналния екземпляр на приложеното обезпечение в областната дирекция на Държавен фонд "Земеделие" по чл. 44 от </w:t>
      </w:r>
      <w:proofErr w:type="spellStart"/>
      <w:r w:rsidRPr="006B4B36">
        <w:rPr>
          <w:rFonts w:eastAsia="Times New Roman"/>
          <w:sz w:val="22"/>
          <w:szCs w:val="22"/>
          <w:highlight w:val="white"/>
          <w:shd w:val="clear" w:color="auto" w:fill="FEFEFE"/>
        </w:rPr>
        <w:t>Устройствения</w:t>
      </w:r>
      <w:proofErr w:type="spellEnd"/>
      <w:r w:rsidRPr="006B4B36">
        <w:rPr>
          <w:rFonts w:eastAsia="Times New Roman"/>
          <w:sz w:val="22"/>
          <w:szCs w:val="22"/>
          <w:highlight w:val="white"/>
          <w:shd w:val="clear" w:color="auto" w:fill="FEFEFE"/>
        </w:rPr>
        <w:t xml:space="preserve"> правилник на Държавен фонд "Земеделие". </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10. Когато към искането за плащане не са приложени документите съгласно приложение № 2 или е представено обезпечение, което не отговаря на изискванията по чл. 8, или бенефициентът не е изпълнил задължението си по чл. 9, ДФЗ - РА, му изпраща уведомление, като предоставя срок от 15 дни за отстраняване на констатираните пропуски или несъответствия.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11. (1) (Предишен текст на чл. 11 - ДВ, бр. 34 от 2021 г., в сила от 23.04.2021 г.) Държавен фонд "Земеделие" - Разплащателна агенция, извършва авансово плащане в срок до 30 дни от датата на подаване на искане за авансово плащане, когато са изпълнени всички изисквания за извършване на плащането, посочени в тази наредба.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(Нова - ДВ, бр. 34 от 2021 г., в сила от 23.04.2021 г.) Срокът по ал. 1 спира да тече, когато: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Държавен фонд "Земеделие" - Разплащателна агенция, е изискала от бенефициента документи и/или данни по чл. 10 - за периода от изпращане на уведомлението до представяне на изисканите документи и/или данни, а когато такива не са представени - до изтичане на указания в уведомлението срок;</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са представени документи, от които възниква съмнение за нередност, което налага извършването на допълнителни проверки от специализирано структурно звено към ДФЗ - РА - за период не по-дълъг от три месеца;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в случаите по т. 2 възникнат съмнения за измама и бъде сезирана прокуратурата от ДФЗ - РА, или е образувано досъдебно производство, от чийто изход зависи произнасянето по искането за плащане - за периода до постановяване на влязъл в сила акт на компетентния орган;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се установи необходимост от изискване от ДФЗ - РА, на становище или информация от други органи или институции - за периода от изпращане на искането за предоставяне на становище или информация до датата на получаването им от ДФЗ - РА.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(Нова - ДВ, бр. 34 от 2021 г., в сила от 23.04.2021 г.) В случаите по ал. 2, т. 2 ДФЗ - РА, изпраща уведомление до бенефициента за спирането на срока по ал. 1, като посочва мотивите за това.</w:t>
      </w:r>
    </w:p>
    <w:p w:rsidR="00DC0AF7" w:rsidRPr="006B4B36" w:rsidRDefault="00DC0AF7">
      <w:pPr>
        <w:rPr>
          <w:rFonts w:eastAsia="Times New Roman"/>
          <w:sz w:val="22"/>
          <w:szCs w:val="22"/>
          <w:highlight w:val="white"/>
          <w:shd w:val="clear" w:color="auto" w:fill="FEFEFE"/>
        </w:rPr>
      </w:pP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12. В срока по чл. 11 ДФЗ - РА, отказва да извърши изцяло или частично авансовото плащане, когато: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не са изпълнени условията или сроковете по чл. 7;</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не е представено обезпечение съгласно чл. 8 или размерът на представеното обезпечение не покрива пълния размер на заявеното авансово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бенефициентът не отстрани пропуските или несъответствията в срока по чл. 10;</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по отношение на бенефициента е налице основание за отстраняване по чл. 25, ал. 2 от ЗУСЕСИФ.</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Раздел III.</w:t>
      </w:r>
      <w:r w:rsidRPr="006B4B36">
        <w:rPr>
          <w:rFonts w:eastAsia="Times New Roman"/>
          <w:b/>
          <w:bCs/>
          <w:sz w:val="22"/>
          <w:szCs w:val="22"/>
          <w:highlight w:val="white"/>
          <w:shd w:val="clear" w:color="auto" w:fill="FEFEFE"/>
        </w:rPr>
        <w:br/>
        <w:t>Междинно и окончателно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13. (1) Бенефициентът може да подаде искане за междинно плащане, когато е предвидено в административния договор или в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Допустимият брой на междинните плащания за периода на изпълнение на одобрения проект се определя с Условията за изпълнение на одобрените проекти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Чл. 14. (1) Бенефициентът подава искане за междинно плащане по образеца по чл. 4, ал. 1 и прилага документите, определени в Условията за изпълнение на одобрените проекти по чл. 26 от </w:t>
      </w:r>
      <w:r w:rsidRPr="006B4B36">
        <w:rPr>
          <w:rFonts w:eastAsia="Times New Roman"/>
          <w:sz w:val="22"/>
          <w:szCs w:val="22"/>
          <w:highlight w:val="white"/>
          <w:shd w:val="clear" w:color="auto" w:fill="FEFEFE"/>
        </w:rPr>
        <w:lastRenderedPageBreak/>
        <w:t>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Бенефициентът има право да подава искане за междинно плащане в срок до четири месеца преди изтичане на крайния срок за изпълнение на одобрения проект, посочен в административния договор или в заповедта за предоставяне на финансова помощ, доколкото в документите по чл. 26 от ЗУСЕСИФ не е предвидено друго.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Междинно плащане е допустимо за одобрена обособена част от одобрения проект или съгласно Условията за изпълнение на одобрените проекти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Документите по ал. 1 се представят във формат, определен в Условията за изпълнение на одобрените проекти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Общият размер на допустимите междинни плащания се определя в Условията за изпълнение на одобрените проекти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15. (1) Бенефициентът подава искане за окончателно плащане по образеца по чл. 4, ал. 1 и прилага документите съгласно Условията за изпълнение на одобрените проекти по чл. 26 от ЗУСЕСИФ след изпълнение на одобрения проект в срока, посочен в административния договор или в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Документите по ал. 1 се представят във формат, определен в Условията за изпълнение на одобрените проекти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16. (1) Държавен фонд "Земеделие" - Разплащателна агенция, извършва проверка за съответствие на представените документи с изискуемите по чл. 14, ал. 1 или чл. 15, ал. 1 в срок до седем дни от подаване на искане за междинно или окончателно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Когато при проверката по ал. 1 се установи, че към искането за плащане не са приложени изискуеми документи, ДФЗ - РА, изпраща на бенефициента уведомление и му предоставя срок от 15 дни за отстраняване на констатираните пропуски.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Разплащателната агенция разглежда искането за плащане въз основа на приложените към него документи, включително и допълнително представените в срока по ал. 2.</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17. (1) В срок до 90 дни от подаване на искането за плащане ДФЗ - РА, проверява заявените данни и други обстоятелства, свързани с искането за плащане, за установяване спазване на критериите за допустимост и другите задължения на бенефициента, посочени в Условията за изпълнение на одобрените проекти по чл. 26 от ЗУСЕСИФ и в административния договор или в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(2) Държавен фонд "Земеделие" - Разплащателна агенция, може да извърши проверка на място за установяване на фактическото съответствие с представените документи и заявените данни, за което изпраща уведомление чрез </w:t>
      </w:r>
      <w:hyperlink r:id="rId11" w:history="1">
        <w:r w:rsidRPr="006B4B36">
          <w:rPr>
            <w:rFonts w:eastAsia="Times New Roman"/>
            <w:color w:val="0000FF"/>
            <w:sz w:val="22"/>
            <w:szCs w:val="22"/>
            <w:highlight w:val="white"/>
            <w:u w:val="single"/>
            <w:shd w:val="clear" w:color="auto" w:fill="FEFEFE"/>
          </w:rPr>
          <w:t>ИСУН</w:t>
        </w:r>
      </w:hyperlink>
      <w:r w:rsidRPr="006B4B36">
        <w:rPr>
          <w:rFonts w:eastAsia="Times New Roman"/>
          <w:sz w:val="22"/>
          <w:szCs w:val="22"/>
          <w:highlight w:val="white"/>
          <w:shd w:val="clear" w:color="auto" w:fill="FEFEFE"/>
        </w:rPr>
        <w:t xml:space="preserve"> до бенефициента за датата и часа на предстоящата проверка, освен в случаите по чл. 25 от Регламент за изпълнение № 809/2014.</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Проверката се извършва в присъствието на бенефициента или на упълномощен негов представител или в присъствието на свидетел, ако бенефициентът или упълномощен от него представител не се е явил на датата и часа по ал. 2.</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След приключване на проверката на място се съставя доклад за проверка, който се подписва от длъжностното лице, което го е изготвило, и от бенефициента или от упълномощен негов представител, който има право да напише в протокола обяснения и възражения по направените констатации.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Докладът по ал. 4 се съставя в два еднообразни екземпляра, като един се предоставя на бенефициента или на упълномощения негов представител. Когато на проверката не се е явил бенефициентът или упълномощено от него лице, докладът се подписва от длъжностното лице, което го е изготвило, вписват се данни за присъстващия свидетел и се изпраща на бенефициента.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 В срок до 15 дни от предоставянето, съответно от изпращането на доклада за проверка на място, бенефициентът или негов упълномощен представител може да направи възражения и да даде обяснения по направените констатации.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 Държавен фонд "Земеделие" - Разплащателна агенция, може да извършва посещение на място като част от проверката по ал. 1, за което се прилагат съответно условията по ал. 2 и 3.</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 В срока по ал. 1 ДФЗ - РА, определя размера на допустимите разходи и изплаща или мотивирано отказва изплащането на междинното или окончателното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18. (1) Държавен фонд "Земеделие" - Разплащателна агенция, изпраща уведомление до бенефициента, когато при извършване на проверките по чл. 17 установи някое от следните обстоятелства: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нередовност или непълнота на представен документ или неяснота на данните в него;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2. необходимост от представяне на допълнителни данни и/или документи извън непредставените документи по чл. 16, ал. 2.</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Бенефициентът е длъжен да представи изисканите по ал. 1 документи и/или данни в срок до 15 дни от изпращане на уведомлението.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Държавен фонд "Земеделие" - Разплащателна агенция, разглежда само документи и/или данни, които са представени по реда на чл. 2, с изключение на случаите, изрично предвидени в тази наредба.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Срокът по чл. 17, ал. 1 спира да тече, когато: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Държавен фонд "Земеделие" - Разплащателна агенция, е изискала от бенефициента документи и/или данни по ал. 1 и по чл. 16, ал. 2 - за периода от изпращане на уведомлението до представяне на изисканите документи и/или данни, а когато такива не са представени - до изтичане на указания в уведомлението срок;</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при проверките по чл. 17 са събрани данни и/или са представени документи, от които възниква съмнение за нередност, което налага извършването на допълнителни проверки от специализирано структурно звено към ДФЗ - РА - за период не по-дълъг от три месеца;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в резултат на допълнителните проверки по т. 2 възникнат съмнения за измама и бъде сезирана прокуратурата от ДФЗ - РА, или е образувано досъдебно производство, от чийто изход зависи произнасянето по искането за плащане - за периода до постановяване на влязъл в сила акт на компетентния орган;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при проверките по чл. 17 се установи необходимост от изискване от ДФЗ - РА, на становище или информация от други органи или институции - за периода от изпращане на искането за предоставяне на становище или информация до датата на получаването им от ДФЗ - РА;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5. се провежда контролна проверка въз основа на Приложение I, т. 4 от Делегиран регламент (ЕС) № 907/2014 на Комисията от 11 март 2014 г.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w:t>
      </w:r>
      <w:proofErr w:type="spellStart"/>
      <w:r w:rsidRPr="006B4B36">
        <w:rPr>
          <w:rFonts w:eastAsia="Times New Roman"/>
          <w:sz w:val="22"/>
          <w:szCs w:val="22"/>
          <w:highlight w:val="white"/>
          <w:shd w:val="clear" w:color="auto" w:fill="FEFEFE"/>
        </w:rPr>
        <w:t>обезпеченията</w:t>
      </w:r>
      <w:proofErr w:type="spellEnd"/>
      <w:r w:rsidRPr="006B4B36">
        <w:rPr>
          <w:rFonts w:eastAsia="Times New Roman"/>
          <w:sz w:val="22"/>
          <w:szCs w:val="22"/>
          <w:highlight w:val="white"/>
          <w:shd w:val="clear" w:color="auto" w:fill="FEFEFE"/>
        </w:rPr>
        <w:t xml:space="preserve"> и използването на еврото (ОВ, L 255/18 от 28 август 2014 г.), наричан по-нататък "Делегиран регламент (ЕС) № 907/2014" - за един месец.</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В случаите по ал. 4, т. 2 ДФЗ - РА, изпраща уведомление до бенефициента за спирането на срока по чл. 17, ал. 1, като посочва мотивите за това.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19. (1) Бенефициентът може по всяко време да оттегли изцяло или частично искането за авансово, междинно или окончателно плащане и приложените към него документи. Оттеглянето поставя бенефициента в положението, в което се е намирал преди подаването на искането за плащане, на приложените към него документи или на част от тях.</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Не се разрешава оттегляне на документи по ал. 1 или частта от тях, засегната от неспазването, когато е налице някое от следните обстоятелства: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бенефициентът е уведомен от ДФЗ - РА, за констатирано неспазване на критерий за допустимост, ангажимент или друго задължение на бенефициента в приложените към искането за плащане документи или в допълнително представените такива;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бенефициентът е уведомен от ДФЗ - РА, за намерението ѝ да извърши проверка/посещение на място;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при проверката/посещението на място се установи неспазване на критерий за допустимост, ангажимент или друго задължение на бенефициента.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Държавен фонд "Земеделие" - Разплащателна агенция, изпраща уведомление до бенефициента за допустимостта на направеното искане за оттегляне.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При оттегляне на искане за плащане, което не попада в хипотезата на ал. 2, бенефициентът има право да подаде ново искане за плащане до изтичане на крайния срок за това, посочен в административния договор, респ. в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20. (1) Исканията за авансово, междинно или окончателно плащане и приложените към тях документи могат да бъдат коригирани по всяко време след подаването им в случай на очевидни грешки, признати от ДФЗ - РА, въз основа на цялостна преценка на конкретния случай и при условие, че бенефициентът е действал добросъвестно.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(2) Държавен фонд "Земеделие" - Разплащателна агенция, може да признае очевидни грешки само ако те могат да бъдат непосредствено установени при техническа проверка на информацията, съдържаща се в документите по ал. 1, за което уведомява бенефициента с акта, с който се произнася по </w:t>
      </w:r>
      <w:r w:rsidRPr="006B4B36">
        <w:rPr>
          <w:rFonts w:eastAsia="Times New Roman"/>
          <w:sz w:val="22"/>
          <w:szCs w:val="22"/>
          <w:highlight w:val="white"/>
          <w:shd w:val="clear" w:color="auto" w:fill="FEFEFE"/>
        </w:rPr>
        <w:lastRenderedPageBreak/>
        <w:t>искането за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Не се допуска коригиране на искане за плащане и приложените към него документи извън случаите по ал. 2.</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Раздел IV.</w:t>
      </w:r>
      <w:r w:rsidRPr="006B4B36">
        <w:rPr>
          <w:rFonts w:eastAsia="Times New Roman"/>
          <w:b/>
          <w:bCs/>
          <w:sz w:val="22"/>
          <w:szCs w:val="22"/>
          <w:highlight w:val="white"/>
          <w:shd w:val="clear" w:color="auto" w:fill="FEFEFE"/>
        </w:rPr>
        <w:br/>
        <w:t>Специфични условия за плащания по подмярка 6.1 "Стартова помощ за млади земеделски стопани", подмярка 6.3 "Стартова помощ за развитието на малки стопанства" от мярка 6 "Развитие на стопанства и предприятия" и мярка 9 "Създаване на групи и организации на производителите" от Програмата за развитие на селските райони за периода 2014 - 2020 г.</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21. (1) Държавен фонд "Земеделие" - Разплащателна агенция, извършва плащанията за подмярка 6.1 "Стартова помощ за млади земеделски стопани" и подмярка 6.3 "Стартова помощ за развитието на малки стопанства" от мярка 6 "Развитие на стопанства и предприятия" от Програмата за развитие на селските райони за периода 2014 - 2020 г. по следния ред:</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първо плащане - въз основа на сключен административен договор;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второ плащане - въз основа на подадено искане за второ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Първото плащане е в размер, определен в Условията за изпълнение на одобрените проекти по чл. 26 от ЗУСЕСИФ, и се извършва от Разплащателната агенция в срок до два месеца от сключване на административния договор.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Когато при кандидатстване земеделският стопанин доказва икономическия размер на стопанството с намерение за засаждане/засяване на земеделски култури през текущата стопанска година спрямо датата на подаване на проектно предложение, ДФЗ - РА, извършва проверка или посещение на място и ако установи спазване на заложените в одобрения бизнес план срокове за засяване/засаждане на земеделските култури, извършва първото плащане в срок до един месец от извършване на проверката или посещението.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Държавен фонд "Земеделие" - Разплащателна агенция, извършва второто плащане в срока и след извършване на проверките по чл. 17 и при спазване на чл. 18.</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Искането за второто плащане и приложените към него документи могат да се оттеглят и коригират по реда на чл. 19 и 20.</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Чл. 22. (1) Когато бенефициент по </w:t>
      </w:r>
      <w:proofErr w:type="spellStart"/>
      <w:r w:rsidRPr="006B4B36">
        <w:rPr>
          <w:rFonts w:eastAsia="Times New Roman"/>
          <w:sz w:val="22"/>
          <w:szCs w:val="22"/>
          <w:highlight w:val="white"/>
          <w:shd w:val="clear" w:color="auto" w:fill="FEFEFE"/>
        </w:rPr>
        <w:t>подмерките</w:t>
      </w:r>
      <w:proofErr w:type="spellEnd"/>
      <w:r w:rsidRPr="006B4B36">
        <w:rPr>
          <w:rFonts w:eastAsia="Times New Roman"/>
          <w:sz w:val="22"/>
          <w:szCs w:val="22"/>
          <w:highlight w:val="white"/>
          <w:shd w:val="clear" w:color="auto" w:fill="FEFEFE"/>
        </w:rPr>
        <w:t xml:space="preserve"> по чл. 21, ал. 1 е юридическо лице, ДФЗ - РА, извършва първото плащане след сключването на договор за поръчителство между РА и собственика/собствениците на капитала на дружеството бенефициент или членовете на кооперацията. За сключване на договор за поръчителство поръчителите трябва да представят документите съгласно приложение № 3.</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Договорът за поръчителство между РА и собственика/собствениците на капитала на дружеството бенефициент или членовете на кооперацията съдържа задължение на поръчителя/</w:t>
      </w:r>
      <w:proofErr w:type="spellStart"/>
      <w:r w:rsidRPr="006B4B36">
        <w:rPr>
          <w:rFonts w:eastAsia="Times New Roman"/>
          <w:sz w:val="22"/>
          <w:szCs w:val="22"/>
          <w:highlight w:val="white"/>
          <w:shd w:val="clear" w:color="auto" w:fill="FEFEFE"/>
        </w:rPr>
        <w:t>ите</w:t>
      </w:r>
      <w:proofErr w:type="spellEnd"/>
      <w:r w:rsidRPr="006B4B36">
        <w:rPr>
          <w:rFonts w:eastAsia="Times New Roman"/>
          <w:sz w:val="22"/>
          <w:szCs w:val="22"/>
          <w:highlight w:val="white"/>
          <w:shd w:val="clear" w:color="auto" w:fill="FEFEFE"/>
        </w:rPr>
        <w:t xml:space="preserve"> неотменимо и безусловно да отговаря/т за изпълнение на задължението на бенефициента да възстанови получената по административния договор финансова помощ. Срокът за задължението по договора за поръчителство трябва да покрива период от пет години считано от датата на сключване на административния договор, удължен с шест месеца.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Поръчителят/поръчителите трябва да се яви/ят пред съответната областна дирекция на Държавен фонд "Земеделие" в срок до 14 дни от сключване на административния договор за подписване на договора за поръчителство.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Когато лицата по ал. 1 откажат да подпишат договора за поръчителство или не се явят в срока по ал. 3, административният договор се прекратява едностранно и без предизвестие от изпълнителния директор на ДФЗ - РА, а при делегиране - от директора на съответната областна дирекция на Държавен фонд "Земеделие".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Когато поръчителят/поръчителите не се явят за подписване на договора за поръчителство в срока по ал. 3 по уважителни причини, срокът по чл. 21, ал. 2 спира да тече за времето на забавата.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23. (1) Бенефициентите по мярка 9 "Създаване на групи и организации на производителите" подават искане за годишно плащане ежегодно в сроковете, определени в административния договор. Първото искане за плащане може да бъде подадено и при условията и сроковете, определени в Условията за изпълнение на одобрените проекти.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(2) Размерът на годишното плащане не може да надвишава 10 % от стойността на годишната </w:t>
      </w:r>
      <w:r w:rsidRPr="006B4B36">
        <w:rPr>
          <w:rFonts w:eastAsia="Times New Roman"/>
          <w:sz w:val="22"/>
          <w:szCs w:val="22"/>
          <w:highlight w:val="white"/>
          <w:shd w:val="clear" w:color="auto" w:fill="FEFEFE"/>
        </w:rPr>
        <w:lastRenderedPageBreak/>
        <w:t>пазарна продукция, предлагана на пазара от групата или организацията на производители, и не може да надхвърля левовата равностойност на 100 000 евро.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Плащането за последната година се извършва при условие, че бенефициентът е изпълнил коректно одобрения бизнес план.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Държавен фонд "Земеделие" - Разплащателна агенция, извършва годишно плащане в срока и след извършване на проверките по чл. 17 и при спазване на чл. 18.</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Искането за годишно плащане и приложените към него документи могат да се оттеглят и коригират по реда на чл. 19 и 20.</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24. (1) Бенефициентите по мярка 16.1 "Сътрудничество" подават искане за годишно плащане, свързано с разходи за функциониране на оперативната група, ежегодно в сроковете, определени в административния договор.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Исканията за плащане, свързани с изпълнение на иновативния проект, се подават при условията и по реда на раздел ІІ и раздел ІІІ.</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Държавен фонд "Земеделие" - Разплащателна агенция, извършва годишно плащане в срока и след извършване на проверките по чл. 17 и при спазване на чл. 18.</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Искането за годишно плащане и приложените към него документи могат да се оттеглят и коригират по реда на чл. 19 и 20.</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Глава трета.</w:t>
      </w:r>
      <w:r w:rsidRPr="006B4B36">
        <w:rPr>
          <w:rFonts w:eastAsia="Times New Roman"/>
          <w:b/>
          <w:bCs/>
          <w:sz w:val="22"/>
          <w:szCs w:val="22"/>
          <w:highlight w:val="white"/>
          <w:shd w:val="clear" w:color="auto" w:fill="FEFEFE"/>
        </w:rPr>
        <w:br/>
        <w:t>УСЛОВИЯ И РЕД ЗА НАМАЛЯВАНЕ И ОТКАЗ ЗА ИЗПЛАЩАНЕ НА ФИНАНСОВАТА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25. (1) Размерът на дължимите на бенефициентите плащания се изчислява въз основа на приетите за допустими и реално извършени разходи след извършване на проверките по чл. 17 и при спазване на чл. 63 от Регламент за изпълнение (ЕС) № 809/2014 и на чл. 35 от Делегиран регламент (ЕС) № 640/2014 на Комисията от 11 март 2014 г.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наричан по-нататък "Делегиран регламент (ЕС) № 640/2014".</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Алинея първа не се прилага за финансовата помощ, отпускана под някоя от формите, посочени в чл. 67, § 1, букви "б", "в" и "г" от Регламент (ЕС) № 1303/2013 г.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26. (1) Държавен фонд "Земеделие" - Разплащателна агенция, отказва изцяло безвъзмездната финансова помощ и оттегля вече изплатената, когато: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бенефициентът не подаде заявка за окончателно или второ плащане в крайния срок, посочен в административния договор или в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в случаите по чл. 39, ал. 4 от ЗУСЕСИФ, когато това е приложимо за съответната мярка или подмярка по чл. 9б, т. 2 от ЗПЗП;</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бенефициентът не стартира изпълнението на одобрения проект в определения в административния договор срок, ако това е изрично посочено в административния договор.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В случаите по ал. 1 бенефициентът няма право да подава искане за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(Нова - ДВ, бр. 64 от 2020 г.) Държавен фонд "Земеделие" оттегля изплатената финансова помощ и в случаите по чл. 27, ал. 1, когато отказва изцяло изплащане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27. (1) Държавен фонд "Земеделие" - Разплащателна агенция, отказва изцяло или частично изплащането на финансовата помощ, когато: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въз основа на резултатите от извършени проверки по чл. 17 и констатациите в докладите за проверка установи нередовност на документите или непълнота или неяснота на заявените данни и посочените факти, както и когато бенефициентът не ги отстрани и не представи изисканите му документи в срока по чл. 16, ал. 2, съответно - по чл. 18, ал. 2;</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2. одобреният проект е изпълнен неточно, включително когато бенефициентът е придобил активи </w:t>
      </w:r>
      <w:r w:rsidRPr="006B4B36">
        <w:rPr>
          <w:rFonts w:eastAsia="Times New Roman"/>
          <w:sz w:val="22"/>
          <w:szCs w:val="22"/>
          <w:highlight w:val="white"/>
          <w:shd w:val="clear" w:color="auto" w:fill="FEFEFE"/>
        </w:rPr>
        <w:lastRenderedPageBreak/>
        <w:t>и/или изпълнил дейности - предмет на подпомагането, с технически параметри, различни от одобрените от ДФЗ - РА, или от Управляващия орган на ПРСР 2014 - 2020 г. или в отклонение от количествено-стойностна сметка, когато констатираните различия/отклонения водят до недопустимост или необоснованост на заявените за подпомагане дейности или разходи, или засягат основната цел на проекта, или променят предназначението на инвестицията, съгласно одобрения проект, или водят до несъответствие с целите, дейностите, изискванията и критериите за оценка, определени в документите по чл. 26 от ЗУСЕСИФ и/или в административния договор, съответно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одобреният проект не е изпълнен изцяло в крайния срок, посочен в административния договор или в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активите, предмет на подпомагане, не се използват съгласно предназначението и при условията, посочени в одобрения проект;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дейностите, разходите и/или извършените плащания, свързани с предмета на инвестицията, са направени преди датата на подаване на формуляра за кандидатстване, с изключение на разходите, за които в документите по чл. 26 от ЗУСЕСИФ е предвидено, че това е допустимо;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 заявените за възстановяване разходи не отговарят на някое от следните условия: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а) да са извършени срещу съответните </w:t>
      </w:r>
      <w:proofErr w:type="spellStart"/>
      <w:r w:rsidRPr="006B4B36">
        <w:rPr>
          <w:rFonts w:eastAsia="Times New Roman"/>
          <w:sz w:val="22"/>
          <w:szCs w:val="22"/>
          <w:highlight w:val="white"/>
          <w:shd w:val="clear" w:color="auto" w:fill="FEFEFE"/>
        </w:rPr>
        <w:t>разходооправдателни</w:t>
      </w:r>
      <w:proofErr w:type="spellEnd"/>
      <w:r w:rsidRPr="006B4B36">
        <w:rPr>
          <w:rFonts w:eastAsia="Times New Roman"/>
          <w:sz w:val="22"/>
          <w:szCs w:val="22"/>
          <w:highlight w:val="white"/>
          <w:shd w:val="clear" w:color="auto" w:fill="FEFEFE"/>
        </w:rPr>
        <w:t xml:space="preserve"> документи - фактури и/или други документи с еквивалентна </w:t>
      </w:r>
      <w:proofErr w:type="spellStart"/>
      <w:r w:rsidRPr="006B4B36">
        <w:rPr>
          <w:rFonts w:eastAsia="Times New Roman"/>
          <w:sz w:val="22"/>
          <w:szCs w:val="22"/>
          <w:highlight w:val="white"/>
          <w:shd w:val="clear" w:color="auto" w:fill="FEFEFE"/>
        </w:rPr>
        <w:t>доказателствена</w:t>
      </w:r>
      <w:proofErr w:type="spellEnd"/>
      <w:r w:rsidRPr="006B4B36">
        <w:rPr>
          <w:rFonts w:eastAsia="Times New Roman"/>
          <w:sz w:val="22"/>
          <w:szCs w:val="22"/>
          <w:highlight w:val="white"/>
          <w:shd w:val="clear" w:color="auto" w:fill="FEFEFE"/>
        </w:rPr>
        <w:t xml:space="preserve"> стойност;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 да са действително извършени и платени на избрания от бенефициента и одобрен от предоставящия финансовата помощ орган изпълнител/доставчик, съответно на лице, което се явява оправомощено да получи плащането по силата на договор или нормативен акт;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в) да са извършени в парична форма и платени по банков път (протоколи или други документи, удостоверяващи извършено прихващане между бенефициента и трети лица, не се приемат като доказателства за извършено плащане), с изключение на тези, разрешени за плащане в брой, съгласно документите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г) да са отразени в счетоводната и данъчната документация на бенефициента чрез отделни счетоводни аналитични сметки или в отделна счетоводна система и да могат да се проследят въз основа на ефективно функционираща одитна пътека;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 да не са финансирани по друг проект, програма или друга схема, финансирана от публични средства, </w:t>
      </w:r>
      <w:proofErr w:type="spellStart"/>
      <w:r w:rsidRPr="006B4B36">
        <w:rPr>
          <w:rFonts w:eastAsia="Times New Roman"/>
          <w:sz w:val="22"/>
          <w:szCs w:val="22"/>
          <w:highlight w:val="white"/>
          <w:shd w:val="clear" w:color="auto" w:fill="FEFEFE"/>
        </w:rPr>
        <w:t>средства</w:t>
      </w:r>
      <w:proofErr w:type="spellEnd"/>
      <w:r w:rsidRPr="006B4B36">
        <w:rPr>
          <w:rFonts w:eastAsia="Times New Roman"/>
          <w:sz w:val="22"/>
          <w:szCs w:val="22"/>
          <w:highlight w:val="white"/>
          <w:shd w:val="clear" w:color="auto" w:fill="FEFEFE"/>
        </w:rPr>
        <w:t xml:space="preserve"> от националния бюджет и/или от бюджета на Общността, включително чрез скрити форми на държавно подпомагане;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е) (изм. - ДВ, бр. 64 от 2020 г.) да са извършени в съответствие с принципите за добро финансово управление съгласно Регламент (ЕС, </w:t>
      </w:r>
      <w:proofErr w:type="spellStart"/>
      <w:r w:rsidRPr="006B4B36">
        <w:rPr>
          <w:rFonts w:eastAsia="Times New Roman"/>
          <w:sz w:val="22"/>
          <w:szCs w:val="22"/>
          <w:highlight w:val="white"/>
          <w:shd w:val="clear" w:color="auto" w:fill="FEFEFE"/>
        </w:rPr>
        <w:t>Евратом</w:t>
      </w:r>
      <w:proofErr w:type="spellEnd"/>
      <w:r w:rsidRPr="006B4B36">
        <w:rPr>
          <w:rFonts w:eastAsia="Times New Roman"/>
          <w:sz w:val="22"/>
          <w:szCs w:val="22"/>
          <w:highlight w:val="white"/>
          <w:shd w:val="clear" w:color="auto" w:fill="FEFEFE"/>
        </w:rPr>
        <w:t xml:space="preserve">)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6B4B36">
        <w:rPr>
          <w:rFonts w:eastAsia="Times New Roman"/>
          <w:sz w:val="22"/>
          <w:szCs w:val="22"/>
          <w:highlight w:val="white"/>
          <w:shd w:val="clear" w:color="auto" w:fill="FEFEFE"/>
        </w:rPr>
        <w:t>Евратом</w:t>
      </w:r>
      <w:proofErr w:type="spellEnd"/>
      <w:r w:rsidRPr="006B4B36">
        <w:rPr>
          <w:rFonts w:eastAsia="Times New Roman"/>
          <w:sz w:val="22"/>
          <w:szCs w:val="22"/>
          <w:highlight w:val="white"/>
          <w:shd w:val="clear" w:color="auto" w:fill="FEFEFE"/>
        </w:rPr>
        <w:t>) № 966/2012 (ОВ, L 193 от 30.7.2018);</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 бенефициентът е представил неверни сведения с цел да получи подпомагане или поради небрежност е пропуснал да предостави необходимата информация;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 към датата на подаване на искането за окончателно или второ плащане бенефициентът не е удостоверил с надлежен документ постигането на съответния стандарт, когато това е предвидено като изискване в Условията за изпълнение на проектите по чл. 26 от ЗУСЕСИФ или в административния договор;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 бенефициентът не е изпълнил задължението си да поддържа съответствие с критериите за подбор, по които проектното му предложение е било оценено, освен ако друго не е посочено в документите по чл. 26 от ЗУСЕСИФ; когато неизпълнението е по отношение на критерий за подбор, който е станал основание за избора му пред останалите кандидати в съответния прием, и броят на точките, на които проектът на бенефициента отговаря, е по-малък от минимално допустимия брой, посочен в документите по чл. 26 от ЗУСЕСИФ, и/или по-малък от минималния брой на точките, присъдени на проектните предложения, за които е бил наличен бюджет в съответния прием, в рамките на който е било подадено и проектното предложение на бенефициента, ДФЗ - РА, отказва изцяло изплащането на финансовата помощ; в случаите извън предходното изречение размерът на намалението при неспазване на критериите за подбор се посочва в административния договор;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10. бенефициентът не използва произведената от </w:t>
      </w:r>
      <w:proofErr w:type="spellStart"/>
      <w:r w:rsidRPr="006B4B36">
        <w:rPr>
          <w:rFonts w:eastAsia="Times New Roman"/>
          <w:sz w:val="22"/>
          <w:szCs w:val="22"/>
          <w:highlight w:val="white"/>
          <w:shd w:val="clear" w:color="auto" w:fill="FEFEFE"/>
        </w:rPr>
        <w:t>възобновяеми</w:t>
      </w:r>
      <w:proofErr w:type="spellEnd"/>
      <w:r w:rsidRPr="006B4B36">
        <w:rPr>
          <w:rFonts w:eastAsia="Times New Roman"/>
          <w:sz w:val="22"/>
          <w:szCs w:val="22"/>
          <w:highlight w:val="white"/>
          <w:shd w:val="clear" w:color="auto" w:fill="FEFEFE"/>
        </w:rPr>
        <w:t xml:space="preserve"> енергийни източници енергия </w:t>
      </w:r>
      <w:r w:rsidRPr="006B4B36">
        <w:rPr>
          <w:rFonts w:eastAsia="Times New Roman"/>
          <w:sz w:val="22"/>
          <w:szCs w:val="22"/>
          <w:highlight w:val="white"/>
          <w:shd w:val="clear" w:color="auto" w:fill="FEFEFE"/>
        </w:rPr>
        <w:lastRenderedPageBreak/>
        <w:t>единствено за собствено потребление, когато предметът на подпомагане включва такъв вид инвестиции и това изискване е предвидено в документите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11. бенефициентът е представил декларация и/или документ с невярно съдържание, неистински и/или преправен такъв, както и когато това е извършено при или по повод кандидатстването за получаване на финансовата помощ и това бъде установено след нейното предоставяне;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12. бенефициентът или упълномощен негов представител възпрепятства и/или осуетява извършването на проверка по чл. 17 или проверка от други </w:t>
      </w:r>
      <w:proofErr w:type="spellStart"/>
      <w:r w:rsidRPr="006B4B36">
        <w:rPr>
          <w:rFonts w:eastAsia="Times New Roman"/>
          <w:sz w:val="22"/>
          <w:szCs w:val="22"/>
          <w:highlight w:val="white"/>
          <w:shd w:val="clear" w:color="auto" w:fill="FEFEFE"/>
        </w:rPr>
        <w:t>оправомощени</w:t>
      </w:r>
      <w:proofErr w:type="spellEnd"/>
      <w:r w:rsidRPr="006B4B36">
        <w:rPr>
          <w:rFonts w:eastAsia="Times New Roman"/>
          <w:sz w:val="22"/>
          <w:szCs w:val="22"/>
          <w:highlight w:val="white"/>
          <w:shd w:val="clear" w:color="auto" w:fill="FEFEFE"/>
        </w:rPr>
        <w:t xml:space="preserve"> за това органи, с изключение на случаи на непреодолима сила и извънредни обстоятелства;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 са налице предпоставки за прилагане на чл. 63, параграф 1 от Регламент за изпълнение (ЕС) № 809/2014;</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14. бенефициентът е укрил умишлено или по небрежност не е уведомил компетентния да предостави финансовата помощ орган за настъпването на факти и обстоятелства от значение за изпълнението на одобрения проект и за преценката на РА относно спазването на критериите за допустимост и изпълнението на ангажиментите и другите задължения от страна на бенефициента;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15. (изм. - ДВ, бр. 64 от 2020 г.) е установено изкуствено създаване на условия, необходими за получаване на помощта, с цел осъществяване на предимство или облага в противоречие с целите на мярката или с приложимото в областта национално или европейско законодателство;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16. при извършване на проверка по букви "iii" и "v" от раздел 2 "Контролни дейности", т. А "Процедури по одобряване на заявленията" от Приложение № I към Делегиран регламент (ЕС) № 907/2014 на Комисията от 11 март 2014 г.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w:t>
      </w:r>
      <w:proofErr w:type="spellStart"/>
      <w:r w:rsidRPr="006B4B36">
        <w:rPr>
          <w:rFonts w:eastAsia="Times New Roman"/>
          <w:sz w:val="22"/>
          <w:szCs w:val="22"/>
          <w:highlight w:val="white"/>
          <w:shd w:val="clear" w:color="auto" w:fill="FEFEFE"/>
        </w:rPr>
        <w:t>обезпеченията</w:t>
      </w:r>
      <w:proofErr w:type="spellEnd"/>
      <w:r w:rsidRPr="006B4B36">
        <w:rPr>
          <w:rFonts w:eastAsia="Times New Roman"/>
          <w:sz w:val="22"/>
          <w:szCs w:val="22"/>
          <w:highlight w:val="white"/>
          <w:shd w:val="clear" w:color="auto" w:fill="FEFEFE"/>
        </w:rPr>
        <w:t xml:space="preserve"> и използването на еврото (ОВ, L 255/18 от 28 август 2014 г.) във връзка с чл. 48, параграф 2 от Регламент за изпълнение (ЕС) № 809/2014 се установи, че бенефициентът, подаденото от него проектно предложение или предложените за финансиране разходи не отговарят на изискванията за допустимост за подпомагане, посочени в документите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17. извършва финансова корекция, определена по реда на раздел III на глава пета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18. установи неспазване на критерий за допустимост и/или неизпълнение на ангажимент или други задължения на бенефициента, посочени в Условията за изпълнение на проектите по чл. 26 от ЗУСЕСИФ и/или в административния договор, респ. в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19. установи неспазване на изисквания, във връзка с които бенефициентът е получил по-висок интензитет на финансова помощ; в тези случаи отказът е равен на завишения процент финансова помощ, за която е бил одобрен проектът.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В случаите по ал. 1, т. 16 ДФЗ - РА, извършва проверка за съответствието с изискванията за допустимост за подпомагане преди предоставяне на помощта въз основа на представените към проектното предложение на бенефициента и изискани допълнително документи. При нередовност или липса на документи, както и при възникване на необходимост от предоставяне на допълнителни документи при непълнота и неяснота на посочените в проектното предложение и документите към него данни, ДФЗ - РА, изпраща уведомление до бенефициента, с което му указва необходимостта от представяне на допълнителни данни и/или документи, включително такива, които не са посочени в документите по чл. 26 от ЗУСЕСИФ. В тези случаи бенефициентът е длъжен в срок до 15 дни от изпращане на уведомлението да представи изисканите му данни и/или документи.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Когато отказът по ал. 1 е постановен по искане за междинно плащане, бенефициентът има право да подаде искане за междинно плащане за друга обособена част от одобрения проект, ако такава е предвидена в административния договор, или да подаде искане за окончателно плащане в крайния за това срок.</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Когато отказът по ал. 1 е постановен по искане за окончателно или второ плащане, бенефициентът няма право да подаде друго искане за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Когато размерът на определените като допустими разходи надхвърля размера на изплатеното авансово плащане, изпълнителният директор на ДФЗ - РА, издава решение за одобрение на плащането с посочване на размера на подлежащата на изплащане финансова помощ, а в случай че е налице частичен отказ от изплащане на заявената финансова помощ - излага мотиви за частичния отказ от изплащане на помощта.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 Алинея 5 се прилага и когато бенефициентът не е получил авансово плащане.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(7) (Изм. - ДВ, бр. 64 от 2020 г.) Когато в случаите по ал. 1 ДФЗ - РА, установи, че размерът на </w:t>
      </w:r>
      <w:r w:rsidRPr="006B4B36">
        <w:rPr>
          <w:rFonts w:eastAsia="Times New Roman"/>
          <w:sz w:val="22"/>
          <w:szCs w:val="22"/>
          <w:highlight w:val="white"/>
          <w:shd w:val="clear" w:color="auto" w:fill="FEFEFE"/>
        </w:rPr>
        <w:lastRenderedPageBreak/>
        <w:t>определените като допустими разходи по искането за плащане налага пълно или частично възстановяване от страна на бенефициента на извършените по договора авансово и/или междинно/и плащания, изпълнителният директор на ДФЗ - РА, издава съответния акт по чл. 30, ал. 2 или ал. 3 за размера на подлежащата на възстановяване финансова помощ, като в мотивите посочва и основанията за отказа от изплащане на помощта.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 За формите на предоставяне на безвъзмездни средства и възстановима помощ по чл. 25, ал. 2 се прилага ал. 1, т. 6, доколкото в документите по чл. 26 от ЗУСЕСИФ не е предвидено друго.</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Глава четвърта.</w:t>
      </w:r>
      <w:r w:rsidRPr="006B4B36">
        <w:rPr>
          <w:rFonts w:eastAsia="Times New Roman"/>
          <w:b/>
          <w:bCs/>
          <w:sz w:val="22"/>
          <w:szCs w:val="22"/>
          <w:highlight w:val="white"/>
          <w:shd w:val="clear" w:color="auto" w:fill="FEFEFE"/>
        </w:rPr>
        <w:br/>
        <w:t>УСЛОВИЯ И РЕД ЗА ОТТЕГЛЯНЕ НА ФИНАНСОВАТА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28. (1) В срока, посочен в документите по чл. 26, ал. 1 от ЗУСЕСИФ и в административния договор, бенефициентът е длъжен: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да използва подпомаганите активи и да изпълнява подпомаганите дейности съгласно определеното им с бизнес плана и/или одобрения проект предназначение и капацитет;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под каквато и да е форма да не преотстъпва ползването и да не извършва разпоредителни сделки с активи, предмет на подпомагане, както и да не допуска принудително изпълнение върху такива активи, с изключение на случаите, когато това се изисква по закон;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да не променя местоположението на подпомаганата дейност извън територията на страната;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да поддържа съответствие с всички критерии за подбор, по които проектното предложение е било одобрено и за които това е предвидено в Условията за изпълнение на проектите по чл. 26 от ЗУСЕСИФ или в административния договор;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да не преустановява подпомогнатата дейност поради други причини освен изменящите се сезонни условия за производство и/или предоставяне на услуги и при положение, че тези обстоятелства са изрично посочени в представения от бенефициента формуляр за кандидатстване или приложените към него документи;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 да спазва изискванията, във връзка с които бенефициентът е получил по-висок интензитет на финансова помощ, посочени в Условията за изпълнение на проектите по чл. 26 от ЗУСЕСИФ или в административния договор;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 да води всички финансови операции, свързани с подпомаганите дейности, в отделни счетоводни аналитични сметки или в отделна счетоводна система и да могат да се проследят въз основа на ефективно функционираща одитна пътека;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 да съхранява всички документи, свързани с изпълнение на одобрения проект и с извършване на подпомаганата дейност;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 да изпълнява представения към формуляра за кандидатстване бизнес план, когато това е приложимо и както е предвидено в Условията за изпълнение на проектите по чл. 26 от ЗУСЕСИФ или в административния договор;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10. да спазва всички критерии за допустимост и да изпълнява ангажиментите или другите задължения, произтичащи от предоставеното подпомагане, посочени в Условията за изпълнение на проектите по чл. 26 от ЗУСЕСИФ или в административния договор, респ. в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Изключенията от изискванията по ал. 1, т. 1 и 2 се уреждат в Условията за изпълнение на проектите по чл. 26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29. (1) Контрол за изпълнение изискванията на тази наредба, условията по административния договор, документите по чл. 26 от ЗУСЕСИФ, процедурите за възлагане на обществени поръчки по Закона за обществените поръчки, както и на документите, свързани с подпомаганата дейност, може да бъде извършван от представители на РА, Министерството на земеделието, храните и горите, Сметната палата, Европейската комисия и Европейската сметна палата, Европейската служба за борба с измамите и Изпълнителната агенция "</w:t>
      </w:r>
      <w:proofErr w:type="spellStart"/>
      <w:r w:rsidRPr="006B4B36">
        <w:rPr>
          <w:rFonts w:eastAsia="Times New Roman"/>
          <w:sz w:val="22"/>
          <w:szCs w:val="22"/>
          <w:highlight w:val="white"/>
          <w:shd w:val="clear" w:color="auto" w:fill="FEFEFE"/>
        </w:rPr>
        <w:t>Сертификационен</w:t>
      </w:r>
      <w:proofErr w:type="spellEnd"/>
      <w:r w:rsidRPr="006B4B36">
        <w:rPr>
          <w:rFonts w:eastAsia="Times New Roman"/>
          <w:sz w:val="22"/>
          <w:szCs w:val="22"/>
          <w:highlight w:val="white"/>
          <w:shd w:val="clear" w:color="auto" w:fill="FEFEFE"/>
        </w:rPr>
        <w:t xml:space="preserve"> одит на средствата от европейските земеделски фондове".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На контрол по ал. 1 подлежат бенефициентите, както и трети лица, свързани с изпълнение на одобрения проект.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(3) Когато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w:t>
      </w:r>
      <w:proofErr w:type="spellStart"/>
      <w:r w:rsidRPr="006B4B36">
        <w:rPr>
          <w:rFonts w:eastAsia="Times New Roman"/>
          <w:sz w:val="22"/>
          <w:szCs w:val="22"/>
          <w:highlight w:val="white"/>
          <w:shd w:val="clear" w:color="auto" w:fill="FEFEFE"/>
        </w:rPr>
        <w:t>оправомощените</w:t>
      </w:r>
      <w:proofErr w:type="spellEnd"/>
      <w:r w:rsidRPr="006B4B36">
        <w:rPr>
          <w:rFonts w:eastAsia="Times New Roman"/>
          <w:sz w:val="22"/>
          <w:szCs w:val="22"/>
          <w:highlight w:val="white"/>
          <w:shd w:val="clear" w:color="auto" w:fill="FEFEFE"/>
        </w:rPr>
        <w:t xml:space="preserve"> от тях лица всички документи и информация, които ще подпомогнат оценяването или </w:t>
      </w:r>
      <w:r w:rsidRPr="006B4B36">
        <w:rPr>
          <w:rFonts w:eastAsia="Times New Roman"/>
          <w:sz w:val="22"/>
          <w:szCs w:val="22"/>
          <w:highlight w:val="white"/>
          <w:shd w:val="clear" w:color="auto" w:fill="FEFEFE"/>
        </w:rPr>
        <w:lastRenderedPageBreak/>
        <w:t>наблюдението.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30. (1) Държавен фонд "Земеделие" - Разплащателна агенция, оттегля цялата или част от предоставената финансова помощ и изисква възстановяване, когато: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бенефициентът е представил декларация и/или документ с невярно съдържание, неистински или преправени такива независимо от момента на представянето им, включително когато този документ и/или декларация са били представени на етапа на кандидатстването му за подпомагане;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се установи, че бенефициентът изкуствено е създал условията, необходими за получаване на помощта, с цел осъществяване на предимство или облага в противоречие с целите на подмярката или с приложимото в областта национално или европейско законодателство;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бенефициентът е получил допълнителна публична финансова помощ за активите и/или дейностите, предмет на подпомагане;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се установи, че за периода от подаване на формуляра за кандидатстване до извършване на окончателното плащане е било налице обстоятелство, посочено в Условията за кандидатстване по чл. 26 от ЗУСЕСИФ във връзка с изискването по чл. 25, ал. 2 от ЗУСЕСИФ;</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бенефициентът не представи изискваните от ДФЗ - РА, данни, документи и/или информация, необходими за извършване на контрол относно спазване на критериите за допустимост и изпълнението на ангажиментите и другите задължения, посочени в Условията за изпълнение на проектите по чл. 26 от ЗУСЕСИФ или в административния договор, съответно в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6. бенефициентът не допуска представители на ДФЗ - РА, или на други, определени с нормативен акт органи, включително на институции на Европейския съюз, за осъществяването на контрола по т. 5, не осигури достъп до подпомаганите активи или не оказва друго необходимо съдействие, включително при извършване на контрол по отношение на своите </w:t>
      </w:r>
      <w:proofErr w:type="spellStart"/>
      <w:r w:rsidRPr="006B4B36">
        <w:rPr>
          <w:rFonts w:eastAsia="Times New Roman"/>
          <w:sz w:val="22"/>
          <w:szCs w:val="22"/>
          <w:highlight w:val="white"/>
          <w:shd w:val="clear" w:color="auto" w:fill="FEFEFE"/>
        </w:rPr>
        <w:t>съконтрагенти</w:t>
      </w:r>
      <w:proofErr w:type="spellEnd"/>
      <w:r w:rsidRPr="006B4B36">
        <w:rPr>
          <w:rFonts w:eastAsia="Times New Roman"/>
          <w:sz w:val="22"/>
          <w:szCs w:val="22"/>
          <w:highlight w:val="white"/>
          <w:shd w:val="clear" w:color="auto" w:fill="FEFEFE"/>
        </w:rPr>
        <w:t xml:space="preserve"> по изпълнение на одобрения проект;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 бенефициентът не спазва критерий за допустимост, ангажименти или друго задължение, посочени в тази наредба, Условията за изпълнение на проектите по чл. 26 от ЗУСЕСИФ или административния договор, респ. заповедта за предоставяне на финансова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(2) За установяване </w:t>
      </w:r>
      <w:proofErr w:type="spellStart"/>
      <w:r w:rsidRPr="006B4B36">
        <w:rPr>
          <w:rFonts w:eastAsia="Times New Roman"/>
          <w:sz w:val="22"/>
          <w:szCs w:val="22"/>
          <w:highlight w:val="white"/>
          <w:shd w:val="clear" w:color="auto" w:fill="FEFEFE"/>
        </w:rPr>
        <w:t>дължимостта</w:t>
      </w:r>
      <w:proofErr w:type="spellEnd"/>
      <w:r w:rsidRPr="006B4B36">
        <w:rPr>
          <w:rFonts w:eastAsia="Times New Roman"/>
          <w:sz w:val="22"/>
          <w:szCs w:val="22"/>
          <w:highlight w:val="white"/>
          <w:shd w:val="clear" w:color="auto" w:fill="FEFEFE"/>
        </w:rPr>
        <w:t xml:space="preserve"> на подлежаща на възстановяване сума поради нарушение, което представлява основание за налагане на финансова корекция, посочено в чл. 70 от ЗУСЕСИФ, се издава решение за налагане на финансова корекция по реда на чл. 73 от ЗУСЕСИФ от: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изпълнителния директор на ДФЗ - РА, или лице, на което е делегирано правомощие по чл. 20а, ал. 4 от ЗПЗП;</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ръководителя на Управляващия орган на ПРСР 2014 - 2020 г. за мярка 20 "Техническа 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(3) За установяване </w:t>
      </w:r>
      <w:proofErr w:type="spellStart"/>
      <w:r w:rsidRPr="006B4B36">
        <w:rPr>
          <w:rFonts w:eastAsia="Times New Roman"/>
          <w:sz w:val="22"/>
          <w:szCs w:val="22"/>
          <w:highlight w:val="white"/>
          <w:shd w:val="clear" w:color="auto" w:fill="FEFEFE"/>
        </w:rPr>
        <w:t>дължимостта</w:t>
      </w:r>
      <w:proofErr w:type="spellEnd"/>
      <w:r w:rsidRPr="006B4B36">
        <w:rPr>
          <w:rFonts w:eastAsia="Times New Roman"/>
          <w:sz w:val="22"/>
          <w:szCs w:val="22"/>
          <w:highlight w:val="white"/>
          <w:shd w:val="clear" w:color="auto" w:fill="FEFEFE"/>
        </w:rPr>
        <w:t xml:space="preserve"> на подлежащата на възстановяване сума поради неспазване на критерий за допустимост, ангажимент или друго задължение на бенефициента, извън случаите по ал. 2, изпълнителният директор на ДФЗ - РА, или лице, на което е делегирано правомощие по чл. 20а, ал. 4 от ЗПЗП, издава акт по чл. 166, ал. 2 от Данъчно-осигурителния процесуален кодекс.</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(Изм. - ДВ, бр. 64 от 2020 г.) Определянето на размера на подлежащата на възстановяване безвъзмездна финансова помощ при отчитане на степента, тежестта, продължителността и системността на допуснатото нарушение се извършва съобразно правилата по чл. 27, ал. 9 от Закона за подпомагане на земеделските производители.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(Отм. - ДВ, бр. 64 от 2020 г.)</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 Държавен фонд "Земеделие" - Разплащателна агенция, налага административни санкции на бенефициента, произтичащи от установеното неспазване, само в случаите, посочени в законодателството на ЕС или в националното законодателство.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 Административни санкции по ал. 4 не се налагат в случаите, посочени в чл. 64, параграф 2 от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814/2000, (ЕО) № 1290/2005 и (ЕО) № 485/2008 на Съвета (ОВ, L 344, 20 декември 2013 г.).</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Чл. 31. (1) Бенефициентът се задължава да възстанови всички неправомерно изплатени или подлежащи на възстановяване средства, включително такива, които са обект на финансова корекция или са установени в резултат на проверки от страна на сертифициращи или </w:t>
      </w:r>
      <w:proofErr w:type="spellStart"/>
      <w:r w:rsidRPr="006B4B36">
        <w:rPr>
          <w:rFonts w:eastAsia="Times New Roman"/>
          <w:sz w:val="22"/>
          <w:szCs w:val="22"/>
          <w:highlight w:val="white"/>
          <w:shd w:val="clear" w:color="auto" w:fill="FEFEFE"/>
        </w:rPr>
        <w:t>одитиращи</w:t>
      </w:r>
      <w:proofErr w:type="spellEnd"/>
      <w:r w:rsidRPr="006B4B36">
        <w:rPr>
          <w:rFonts w:eastAsia="Times New Roman"/>
          <w:sz w:val="22"/>
          <w:szCs w:val="22"/>
          <w:highlight w:val="white"/>
          <w:shd w:val="clear" w:color="auto" w:fill="FEFEFE"/>
        </w:rPr>
        <w:t xml:space="preserve"> органи. На възстановяване подлежат и всички средства, произтичащи от разходи, които са в резултат на констатирани нередности независимо от датата на тяхното установяване, включително държавна/минимална помощ, предоставена в нарушение на приложимите регламенти.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(2) Във всички случаи, когато е налице валидно обезпечение на подлежащото на възстановяване авансово плащане, ДФЗ - РА, пристъпва незабавно към упражняване на права по учредените в полза на ДФЗ - РА, обезпечения.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В случай че вземането не се удовлетвори по реда на ал. 1, ДФЗ - РА, прихваща от всяко следващо плащане по проекта.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(4) Разплащателната агенция може да прихване неправомерно изплатените и подлежащите на възстановяване суми, включително начислените върху тях лихви, от </w:t>
      </w:r>
      <w:proofErr w:type="spellStart"/>
      <w:r w:rsidRPr="006B4B36">
        <w:rPr>
          <w:rFonts w:eastAsia="Times New Roman"/>
          <w:sz w:val="22"/>
          <w:szCs w:val="22"/>
          <w:highlight w:val="white"/>
          <w:shd w:val="clear" w:color="auto" w:fill="FEFEFE"/>
        </w:rPr>
        <w:t>последващи</w:t>
      </w:r>
      <w:proofErr w:type="spellEnd"/>
      <w:r w:rsidRPr="006B4B36">
        <w:rPr>
          <w:rFonts w:eastAsia="Times New Roman"/>
          <w:sz w:val="22"/>
          <w:szCs w:val="22"/>
          <w:highlight w:val="white"/>
          <w:shd w:val="clear" w:color="auto" w:fill="FEFEFE"/>
        </w:rPr>
        <w:t xml:space="preserve"> плащания на средства, дължими към бенефициента, включително от други действащи договори, сключени между страните или произтичащи само от подадени заявления за финансово подпомагане от бенефициента по други схеми, мерки или програми, прилагани от ДФЗ - РА.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Невъзстановените чрез способите по ал. 1 - 3 вземания представляват публични държавни вземания и подлежат на принудително събиране по реда на Данъчно-осигурителния процесуален кодекс чрез Националната агенция за приходите.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Чл. 32. (1) Бенефициентът не отговаря за неспазване на критерий за допустимост или неизпълнение на ангажимент или други задължения, когато то се дължи на непреодолима сила или извънредни обстоятелства по смисъла на чл. 2, параграф 2 от Регламент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(Изм. - ДВ, бр. 64 от 2020 г.) За настъпването на което и да е обстоятелство по ал. 1 бенефициентът или упълномощено лице е длъжен да уведоми РА по реда на чл. 2, а при невъзможност писмено в срок до 15 работни дни от датата, на която е в състояние да направи това, като представя доказателства за настъпване на обстоятелството, включително когато е приложимо - издадени от компетентен орган.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При неизпълнение на задължението в срока по ал. 2 бенефициентът не може да се позовава на непреодолима сила или извънредно обстоятелство.</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Глава пета.</w:t>
      </w:r>
      <w:r w:rsidRPr="006B4B36">
        <w:rPr>
          <w:rFonts w:eastAsia="Times New Roman"/>
          <w:b/>
          <w:bCs/>
          <w:sz w:val="22"/>
          <w:szCs w:val="22"/>
          <w:highlight w:val="white"/>
          <w:shd w:val="clear" w:color="auto" w:fill="FEFEFE"/>
        </w:rPr>
        <w:br/>
        <w:t>СПЕЦИАЛНИ УСЛОВИЯ И РЕД ЗА ПРЕДОСТАВЯНЕ И ПЛАЩАНЕ НА ПОМОЩТА ЗА ПРОИЗВОДСТВАТА ПО § 12 ОТ ПРЕХОДНИТЕ И ЗАКЛЮЧИТЕЛНИТЕ РАЗПОРЕДБИ КЪМ ЗАКОНА ЗА ИЗМЕНЕНИЕ И ДОПЪЛНЕНИЕ НА ЗАКОНА ЗА ПОДПОМАГАНЕ НА ЗЕМЕДЕЛСКИТЕ ПРОИЗВОДИТЕЛИ (ДВ, бр. 2 от 2018 г.) (НОВА - ДВ, БР. 83 ОТ 2021 Г., В СИЛА ОТ 05.10.2021 Г.)</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Чл. 33. (Нов - ДВ, бр. 83 от 2021 г., в сила от 05.10.2021 г.) (1) Икономическият размер на малките земеделски стопанства, на които Националната служба за съвети в земеделието предоставя консултантски услуги по подмярка 2.1.2 "Консултантски услуги за малки земеделски стопанства" по мярка 2 "Консултантски услуги, </w:t>
      </w:r>
      <w:proofErr w:type="spellStart"/>
      <w:r w:rsidRPr="006B4B36">
        <w:rPr>
          <w:rFonts w:eastAsia="Times New Roman"/>
          <w:sz w:val="22"/>
          <w:szCs w:val="22"/>
          <w:highlight w:val="white"/>
          <w:shd w:val="clear" w:color="auto" w:fill="FEFEFE"/>
        </w:rPr>
        <w:t>услуги</w:t>
      </w:r>
      <w:proofErr w:type="spellEnd"/>
      <w:r w:rsidRPr="006B4B36">
        <w:rPr>
          <w:rFonts w:eastAsia="Times New Roman"/>
          <w:sz w:val="22"/>
          <w:szCs w:val="22"/>
          <w:highlight w:val="white"/>
          <w:shd w:val="clear" w:color="auto" w:fill="FEFEFE"/>
        </w:rPr>
        <w:t xml:space="preserve"> по управление на стопанството и услуги по заместване в стопанството" от Програмата за развитие на селските райони за периода 2014 - 2020 г., се измерва в стандартен производствен обем, изчислен съгласно приложение № 4 "Таблица за изчисляване на икономическия размер на земеделските стопанства".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(2) Към заявлението за получаване на консултантски пакет по подмярка 2.1.2 "Консултантски услуги за малки земеделски стопанства" от мярка 2 "Консултантски услуги, </w:t>
      </w:r>
      <w:proofErr w:type="spellStart"/>
      <w:r w:rsidRPr="006B4B36">
        <w:rPr>
          <w:rFonts w:eastAsia="Times New Roman"/>
          <w:sz w:val="22"/>
          <w:szCs w:val="22"/>
          <w:highlight w:val="white"/>
          <w:shd w:val="clear" w:color="auto" w:fill="FEFEFE"/>
        </w:rPr>
        <w:t>услуги</w:t>
      </w:r>
      <w:proofErr w:type="spellEnd"/>
      <w:r w:rsidRPr="006B4B36">
        <w:rPr>
          <w:rFonts w:eastAsia="Times New Roman"/>
          <w:sz w:val="22"/>
          <w:szCs w:val="22"/>
          <w:highlight w:val="white"/>
          <w:shd w:val="clear" w:color="auto" w:fill="FEFEFE"/>
        </w:rPr>
        <w:t xml:space="preserve"> по управление на стопанството и услуги по заместване в стопанството" от Програмата за развитие на селските райони за периода 2014 - 2020 г. земеделските стопани прилагат единствено документи, доказващи доходите/приходите на лицето, посочени в наредбата/насоките за прилагане на съответната мярка/подмярка от ПРСР 2014 - 2020 г., и то само в случай, че съответният консултантски пакет включва мярка/подмярка от Програмата за развитие на селските райони 2014 - 2020 г., за която това условие за доказване на доход е приложимо за съответния прием на проектни предложения по тази мярка/подмярка.</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Допълнителни разпоредби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1. По смисъла на тази наредба: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1. "Оттегляне" са действия на ДФЗ - РА, по възстановяване на изплатена безвъзмездна финансова </w:t>
      </w:r>
      <w:r w:rsidRPr="006B4B36">
        <w:rPr>
          <w:rFonts w:eastAsia="Times New Roman"/>
          <w:sz w:val="22"/>
          <w:szCs w:val="22"/>
          <w:highlight w:val="white"/>
          <w:shd w:val="clear" w:color="auto" w:fill="FEFEFE"/>
        </w:rPr>
        <w:lastRenderedPageBreak/>
        <w:t>помощ.</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"Обособена част от одобрения проект" е завършен етап на изпълнение на инвестицията или дейностите по проекта, който е обособен и е доведен до самостоятелна степен на завършеност.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3. "Очевидна грешка" е писмена грешка, </w:t>
      </w:r>
      <w:proofErr w:type="spellStart"/>
      <w:r w:rsidRPr="006B4B36">
        <w:rPr>
          <w:rFonts w:eastAsia="Times New Roman"/>
          <w:sz w:val="22"/>
          <w:szCs w:val="22"/>
          <w:highlight w:val="white"/>
          <w:shd w:val="clear" w:color="auto" w:fill="FEFEFE"/>
        </w:rPr>
        <w:t>грешка</w:t>
      </w:r>
      <w:proofErr w:type="spellEnd"/>
      <w:r w:rsidRPr="006B4B36">
        <w:rPr>
          <w:rFonts w:eastAsia="Times New Roman"/>
          <w:sz w:val="22"/>
          <w:szCs w:val="22"/>
          <w:highlight w:val="white"/>
          <w:shd w:val="clear" w:color="auto" w:fill="FEFEFE"/>
        </w:rPr>
        <w:t xml:space="preserve"> в изчисленията или други подобни очевидни неточности, която може да бъде непосредствено установена при техническа проверка на информацията, съдържаща се в документи.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"Проверка на място" е проверка по смисъла на дял IV "Мерки за развитие на селските райони, които не са свързани с площ и с животни" от Регламент (ЕС) № 809/2014.</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"Публична финансова помощ" 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2004/18/ЕО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ще се разглежда като обществен дял.</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 "Трети лица, свързани с изпълнение на одобрения проект" са всички физически или юридически лица, имащи пряка или косвена връзка с извършване на доставки, услуги или строителство на активи или дейности по одобрения проект, както и с извършване на плащанията във връзка с изпълнението на одобрения проект.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7. "Частичен отказ за финансиране" е отказът да се финансира част от заявените разходи на кандидата, които са включени в проект, одобрен за подпомагане по мерки или </w:t>
      </w:r>
      <w:proofErr w:type="spellStart"/>
      <w:r w:rsidRPr="006B4B36">
        <w:rPr>
          <w:rFonts w:eastAsia="Times New Roman"/>
          <w:sz w:val="22"/>
          <w:szCs w:val="22"/>
          <w:highlight w:val="white"/>
          <w:shd w:val="clear" w:color="auto" w:fill="FEFEFE"/>
        </w:rPr>
        <w:t>подмерки</w:t>
      </w:r>
      <w:proofErr w:type="spellEnd"/>
      <w:r w:rsidRPr="006B4B36">
        <w:rPr>
          <w:rFonts w:eastAsia="Times New Roman"/>
          <w:sz w:val="22"/>
          <w:szCs w:val="22"/>
          <w:highlight w:val="white"/>
          <w:shd w:val="clear" w:color="auto" w:fill="FEFEFE"/>
        </w:rPr>
        <w:t xml:space="preserve"> от ПРСР 2014 - 2020 г.</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Преходни и Заключителни разпоредби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2. Наредбата се издава на основание чл. 9а, т. 3 от Закона за подпомагане на земеделските производители.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3. За приеми на проектни предложения, обявени преди влизане в сила на настоящата наредба, са допустими и видовете обезпечения за авансово плащане, определени в Условията за кандидатстване и Условията за изпълнение за съответния прием.</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 4. (1) (Предишен текст на § 4 - ДВ, бр. 74 от 2019 г., в сила от 20.09.2019 г.) Тази наредба се прилага за проектни предложения по мерките и </w:t>
      </w:r>
      <w:proofErr w:type="spellStart"/>
      <w:r w:rsidRPr="006B4B36">
        <w:rPr>
          <w:rFonts w:eastAsia="Times New Roman"/>
          <w:sz w:val="22"/>
          <w:szCs w:val="22"/>
          <w:highlight w:val="white"/>
          <w:shd w:val="clear" w:color="auto" w:fill="FEFEFE"/>
        </w:rPr>
        <w:t>подмерките</w:t>
      </w:r>
      <w:proofErr w:type="spellEnd"/>
      <w:r w:rsidRPr="006B4B36">
        <w:rPr>
          <w:rFonts w:eastAsia="Times New Roman"/>
          <w:sz w:val="22"/>
          <w:szCs w:val="22"/>
          <w:highlight w:val="white"/>
          <w:shd w:val="clear" w:color="auto" w:fill="FEFEFE"/>
        </w:rPr>
        <w:t xml:space="preserve"> по чл. 9б, т. 2 от ЗПЗП, подадени след влизане в сила на Закона за изменение и допълнение на ЗПЗП (ДВ, бр. 2 от 2018 г.), с изключение на подмярка 19.4 "Текущи разходи и популяризиране на стратегия за Водено от общностите местно развитие" на мярка 19 "Водено от общностите местно развитие".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(Нова - ДВ, бр. 74 от 2019 г., в сила от 20.09.2019 г.) За подмярка 19.4 "Текущи разходи и популяризиране на стратегия за Водено от общностите местно развитие" на мярка 19 "Водено от общностите местно развитие" се прилага чл. 6а, ал. 2.</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(Нова - ДВ, бр. 74 от 2019 г., в сила от 20.09.2019 г.) При кандидатстване за авансово плащане по реда на чл. 28, ал. 1 от Наредба № 1 от 2016 г. за прилагане на подмярка 19.4 "Текущи разходи и популяризиране на стратегия за Водено от общностите местно развитие" на мярка 19 "Водено от общностите местно развитие" от Програмата за развитие на селските райони за периода 2014 - 2020 г. (ДВ, бр. 9 от 2016 г.) местната инициативна група прилага и документа по т. 8 от приложение № 2 към чл. 7, ал. 1.</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5. (Нов - ДВ, бр. 64 от 2020 г.) Крайният срок за изпълнение на проекти по инвестиционните мерки от Програмата за развитие на селските райони за периода 2014 - 2020 г., за които са сключени договори за предоставяне на безвъзмездна финансова помощ въз основа на заявления за подпомагане, е не по-късно от 1 октомври 2023 г.</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6. (Нов - ДВ, бр. 108 от 2020 г., в сила от 22.12.2020 г.) Допустимо е изплащане на финансова помощ за предоставени от Националната служба за съвети в земеделието консултантски услуги по подмярка 2.1.2 "Консултантски услуги за малки земеделски стопанства", включващи изготвяне на бизнес планове и заявления за подпомагане (основна информация) по мерки/</w:t>
      </w:r>
      <w:proofErr w:type="spellStart"/>
      <w:r w:rsidRPr="006B4B36">
        <w:rPr>
          <w:rFonts w:eastAsia="Times New Roman"/>
          <w:sz w:val="22"/>
          <w:szCs w:val="22"/>
          <w:highlight w:val="white"/>
          <w:shd w:val="clear" w:color="auto" w:fill="FEFEFE"/>
        </w:rPr>
        <w:t>подмерки</w:t>
      </w:r>
      <w:proofErr w:type="spellEnd"/>
      <w:r w:rsidRPr="006B4B36">
        <w:rPr>
          <w:rFonts w:eastAsia="Times New Roman"/>
          <w:sz w:val="22"/>
          <w:szCs w:val="22"/>
          <w:highlight w:val="white"/>
          <w:shd w:val="clear" w:color="auto" w:fill="FEFEFE"/>
        </w:rPr>
        <w:t xml:space="preserve"> от Програмата за развитие на селските райони 2014 - 2020 г. на малки земеделски стопанства, за които не е изисквано доказване на най-малко 33 на сто от общия доход за предходната година от земеделска дейност, когато в насоките за </w:t>
      </w:r>
      <w:r w:rsidRPr="006B4B36">
        <w:rPr>
          <w:rFonts w:eastAsia="Times New Roman"/>
          <w:sz w:val="22"/>
          <w:szCs w:val="22"/>
          <w:highlight w:val="white"/>
          <w:shd w:val="clear" w:color="auto" w:fill="FEFEFE"/>
        </w:rPr>
        <w:lastRenderedPageBreak/>
        <w:t>кандидатстване за съответния прием на проектни предложения по тези мерки/</w:t>
      </w:r>
      <w:proofErr w:type="spellStart"/>
      <w:r w:rsidRPr="006B4B36">
        <w:rPr>
          <w:rFonts w:eastAsia="Times New Roman"/>
          <w:sz w:val="22"/>
          <w:szCs w:val="22"/>
          <w:highlight w:val="white"/>
          <w:shd w:val="clear" w:color="auto" w:fill="FEFEFE"/>
        </w:rPr>
        <w:t>подмерки</w:t>
      </w:r>
      <w:proofErr w:type="spellEnd"/>
      <w:r w:rsidRPr="006B4B36">
        <w:rPr>
          <w:rFonts w:eastAsia="Times New Roman"/>
          <w:sz w:val="22"/>
          <w:szCs w:val="22"/>
          <w:highlight w:val="white"/>
          <w:shd w:val="clear" w:color="auto" w:fill="FEFEFE"/>
        </w:rPr>
        <w:t xml:space="preserve"> не е приложимо или не е било приложимо това изискване.</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Преходни и Заключителни разпоредби</w:t>
      </w:r>
      <w:r w:rsidRPr="006B4B36">
        <w:rPr>
          <w:rFonts w:eastAsia="Times New Roman"/>
          <w:b/>
          <w:bCs/>
          <w:sz w:val="22"/>
          <w:szCs w:val="22"/>
          <w:highlight w:val="white"/>
          <w:shd w:val="clear" w:color="auto" w:fill="FEFEFE"/>
        </w:rPr>
        <w:br/>
        <w:t xml:space="preserve">КЪМ НАРЕДБА ЗА ИЗМЕНЕНИЕ И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(ОБН. - ДВ, БР. 74 ОТ 2019 Г., В СИЛА ОТ 20.09.2019 Г.)</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5. Параграф 2, т. 2 не се прилага по отношение на дейности, изпълнението на които е започнало към момента на влизане в сила на тази наредба.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 6. В Наредба № 6 от 2018 г. за условията и реда за предоставяне на финансова помощ по Национална програма за подпомагане на </w:t>
      </w:r>
      <w:proofErr w:type="spellStart"/>
      <w:r w:rsidRPr="006B4B36">
        <w:rPr>
          <w:rFonts w:eastAsia="Times New Roman"/>
          <w:sz w:val="22"/>
          <w:szCs w:val="22"/>
          <w:highlight w:val="white"/>
          <w:shd w:val="clear" w:color="auto" w:fill="FEFEFE"/>
        </w:rPr>
        <w:t>лозаро-винарския</w:t>
      </w:r>
      <w:proofErr w:type="spellEnd"/>
      <w:r w:rsidRPr="006B4B36">
        <w:rPr>
          <w:rFonts w:eastAsia="Times New Roman"/>
          <w:sz w:val="22"/>
          <w:szCs w:val="22"/>
          <w:highlight w:val="white"/>
          <w:shd w:val="clear" w:color="auto" w:fill="FEFEFE"/>
        </w:rPr>
        <w:t xml:space="preserve"> сектор за периода 2019 - 2023 г. (</w:t>
      </w:r>
      <w:proofErr w:type="spellStart"/>
      <w:r w:rsidRPr="006B4B36">
        <w:rPr>
          <w:rFonts w:eastAsia="Times New Roman"/>
          <w:sz w:val="22"/>
          <w:szCs w:val="22"/>
          <w:highlight w:val="white"/>
          <w:shd w:val="clear" w:color="auto" w:fill="FEFEFE"/>
        </w:rPr>
        <w:t>обн</w:t>
      </w:r>
      <w:proofErr w:type="spellEnd"/>
      <w:r w:rsidRPr="006B4B36">
        <w:rPr>
          <w:rFonts w:eastAsia="Times New Roman"/>
          <w:sz w:val="22"/>
          <w:szCs w:val="22"/>
          <w:highlight w:val="white"/>
          <w:shd w:val="clear" w:color="auto" w:fill="FEFEFE"/>
        </w:rPr>
        <w:t>., ДВ, бр. 93 от 2018 г.; изм., бр. 8, 39, 53 и 69 от 2019 г.) срокът по чл. 15, ал. 3 и по чл. 61, ал. 3 за финансовата 2019 г. е 4 октомври 2019 г.</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7. Наредбата влиза в сила от деня на обнародването ѝ в "Държавен вестник".</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Преходни разпоредби</w:t>
      </w:r>
      <w:r w:rsidRPr="006B4B36">
        <w:rPr>
          <w:rFonts w:eastAsia="Times New Roman"/>
          <w:b/>
          <w:bCs/>
          <w:sz w:val="22"/>
          <w:szCs w:val="22"/>
          <w:highlight w:val="white"/>
          <w:shd w:val="clear" w:color="auto" w:fill="FEFEFE"/>
        </w:rPr>
        <w:br/>
        <w:t>КЪМ НАРЕДБА ЗА ИЗМЕНЕНИЕ И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(ОБН. - ДВ, БР. 64 ОТ 2020 Г.)</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8. Ползвателите на безвъзмездна финансова помощ могат да подадат искане за промяна на договора във връзка с § 5 от преходните и заключителните разпоредби на наредбата не по-късно от крайния срок за изпълнение на проекта, определен в договора за предоставяне на финансовата помощ.</w:t>
      </w:r>
    </w:p>
    <w:p w:rsidR="00DC0AF7" w:rsidRPr="006B4B36" w:rsidRDefault="00DC0AF7">
      <w:pPr>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Заключителни разпоредби</w:t>
      </w:r>
      <w:r w:rsidRPr="006B4B36">
        <w:rPr>
          <w:rFonts w:eastAsia="Times New Roman"/>
          <w:b/>
          <w:bCs/>
          <w:sz w:val="22"/>
          <w:szCs w:val="22"/>
          <w:highlight w:val="white"/>
          <w:shd w:val="clear" w:color="auto" w:fill="FEFEFE"/>
        </w:rPr>
        <w:br/>
        <w:t xml:space="preserve">КЪМ НАРЕДБА ЗА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(ОБН. - ДВ, БР. 108 ОТ 2020 Г., В СИЛА ОТ 22.12.2020 Г.)</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2. Наредбата влиза в сила от деня на обнародването ѝ в "Държавен вестник".</w:t>
      </w:r>
    </w:p>
    <w:p w:rsidR="00DC0AF7" w:rsidRPr="006B4B36" w:rsidRDefault="00DC0AF7">
      <w:pPr>
        <w:spacing w:before="240" w:after="240"/>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Преходни и Заключителни разпоредби</w:t>
      </w:r>
      <w:r w:rsidRPr="006B4B36">
        <w:rPr>
          <w:rFonts w:eastAsia="Times New Roman"/>
          <w:b/>
          <w:bCs/>
          <w:sz w:val="22"/>
          <w:szCs w:val="22"/>
          <w:highlight w:val="white"/>
          <w:shd w:val="clear" w:color="auto" w:fill="FEFEFE"/>
        </w:rPr>
        <w:br/>
        <w:t>КЪМ НАРЕДБА ЗА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(ОБН. - ДВ, БР. 34 ОТ 2021 Г., В СИЛА ОТ 23.04.2021 Г.)</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2. В случаите, когато бенефициент по подмярка 7.3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от мярка 7 "Основни услуги и обновяване на селата в селските райони" от Програмата за развитие на селските райони за периода 2014 - 2020 г." е Държавна агенция "Електронно управление", не се прилагат изискванията на чл. 8 и 9 и на т. 4 от приложение № 2.</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3. Наредбата влиза в сила от деня на обнародването ѝ в "Държавен вестник".</w:t>
      </w:r>
    </w:p>
    <w:p w:rsidR="00DC0AF7" w:rsidRPr="006B4B36" w:rsidRDefault="00DC0AF7">
      <w:pPr>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lastRenderedPageBreak/>
        <w:t>Заключителни разпоредби</w:t>
      </w:r>
      <w:r w:rsidRPr="006B4B36">
        <w:rPr>
          <w:rFonts w:eastAsia="Times New Roman"/>
          <w:b/>
          <w:bCs/>
          <w:sz w:val="22"/>
          <w:szCs w:val="22"/>
          <w:highlight w:val="white"/>
          <w:shd w:val="clear" w:color="auto" w:fill="FEFEFE"/>
        </w:rPr>
        <w:br/>
        <w:t xml:space="preserve">КЪМ НАРЕДБА ЗА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(ОБН. - ДВ, БР. 83 ОТ 2021 Г., В СИЛА ОТ 05.10.2021 Г.)</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3. Наредбата влиза в сила от деня на обнародването ѝ в "Държавен вестник".</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Приложение № 1 към чл. 3, ал. 2</w:t>
      </w:r>
    </w:p>
    <w:p w:rsidR="00DC0AF7" w:rsidRPr="006B4B36" w:rsidRDefault="00DC0AF7">
      <w:pPr>
        <w:rPr>
          <w:rFonts w:eastAsia="Times New Roman"/>
          <w:sz w:val="22"/>
          <w:szCs w:val="22"/>
          <w:highlight w:val="white"/>
          <w:shd w:val="clear" w:color="auto" w:fill="FEFEFE"/>
        </w:rPr>
      </w:pPr>
    </w:p>
    <w:tbl>
      <w:tblPr>
        <w:tblW w:w="0" w:type="auto"/>
        <w:tblInd w:w="57" w:type="dxa"/>
        <w:tblLayout w:type="fixed"/>
        <w:tblCellMar>
          <w:left w:w="57" w:type="dxa"/>
          <w:right w:w="57" w:type="dxa"/>
        </w:tblCellMar>
        <w:tblLook w:val="0000" w:firstRow="0" w:lastRow="0" w:firstColumn="0" w:lastColumn="0" w:noHBand="0" w:noVBand="0"/>
      </w:tblPr>
      <w:tblGrid>
        <w:gridCol w:w="3119"/>
        <w:gridCol w:w="3118"/>
      </w:tblGrid>
      <w:tr w:rsidR="00DC0AF7" w:rsidRPr="006B4B36">
        <w:tblPrEx>
          <w:tblCellMar>
            <w:top w:w="0" w:type="dxa"/>
            <w:bottom w:w="0" w:type="dxa"/>
          </w:tblCellMar>
        </w:tblPrEx>
        <w:trPr>
          <w:trHeight w:val="475"/>
        </w:trPr>
        <w:tc>
          <w:tcPr>
            <w:tcW w:w="3119" w:type="dxa"/>
            <w:tcBorders>
              <w:top w:val="single" w:sz="8" w:space="0" w:color="auto"/>
              <w:left w:val="single" w:sz="8" w:space="0" w:color="auto"/>
              <w:bottom w:val="single" w:sz="8" w:space="0" w:color="auto"/>
              <w:right w:val="single" w:sz="8" w:space="0" w:color="auto"/>
            </w:tcBorders>
            <w:shd w:val="clear" w:color="auto" w:fill="C6D9F1"/>
            <w:tcMar>
              <w:top w:w="12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Мярка или подмярка от ПРСР 2014 - 2020</w:t>
            </w:r>
          </w:p>
        </w:tc>
        <w:tc>
          <w:tcPr>
            <w:tcW w:w="3118" w:type="dxa"/>
            <w:tcBorders>
              <w:top w:val="single" w:sz="8" w:space="0" w:color="auto"/>
              <w:left w:val="nil"/>
              <w:bottom w:val="single" w:sz="8" w:space="0" w:color="auto"/>
              <w:right w:val="single" w:sz="8" w:space="0" w:color="auto"/>
            </w:tcBorders>
            <w:shd w:val="clear" w:color="auto" w:fill="C6D9F1"/>
            <w:tcMar>
              <w:top w:w="12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Вид плащане</w:t>
            </w:r>
          </w:p>
        </w:tc>
      </w:tr>
      <w:tr w:rsidR="00DC0AF7" w:rsidRPr="006B4B36">
        <w:tblPrEx>
          <w:tblCellMar>
            <w:top w:w="0" w:type="dxa"/>
            <w:bottom w:w="0" w:type="dxa"/>
          </w:tblCellMar>
        </w:tblPrEx>
        <w:trPr>
          <w:trHeight w:val="60"/>
        </w:trPr>
        <w:tc>
          <w:tcPr>
            <w:tcW w:w="3119"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Подмярка</w:t>
            </w:r>
            <w:proofErr w:type="spellEnd"/>
            <w:r w:rsidRPr="006B4B36">
              <w:rPr>
                <w:rFonts w:eastAsia="Times New Roman"/>
                <w:sz w:val="22"/>
                <w:szCs w:val="22"/>
                <w:highlight w:val="white"/>
                <w:shd w:val="clear" w:color="auto" w:fill="FEFEFE"/>
              </w:rPr>
              <w:t xml:space="preserve"> 6.1 "Стартова помощ за млади земеделски стопани"</w:t>
            </w:r>
          </w:p>
        </w:tc>
        <w:tc>
          <w:tcPr>
            <w:tcW w:w="3118" w:type="dxa"/>
            <w:tcBorders>
              <w:top w:val="nil"/>
              <w:left w:val="nil"/>
              <w:bottom w:val="single" w:sz="8" w:space="0" w:color="auto"/>
              <w:right w:val="single" w:sz="8" w:space="0" w:color="auto"/>
            </w:tcBorders>
            <w:shd w:val="clear" w:color="auto" w:fill="FEFEFE"/>
            <w:tcMar>
              <w:top w:w="12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Първо и второ плащане</w:t>
            </w:r>
          </w:p>
        </w:tc>
      </w:tr>
      <w:tr w:rsidR="00DC0AF7" w:rsidRPr="006B4B36">
        <w:tblPrEx>
          <w:tblCellMar>
            <w:top w:w="0" w:type="dxa"/>
            <w:bottom w:w="0" w:type="dxa"/>
          </w:tblCellMar>
        </w:tblPrEx>
        <w:trPr>
          <w:trHeight w:val="60"/>
        </w:trPr>
        <w:tc>
          <w:tcPr>
            <w:tcW w:w="3119"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Подмярка</w:t>
            </w:r>
            <w:proofErr w:type="spellEnd"/>
            <w:r w:rsidRPr="006B4B36">
              <w:rPr>
                <w:rFonts w:eastAsia="Times New Roman"/>
                <w:sz w:val="22"/>
                <w:szCs w:val="22"/>
                <w:highlight w:val="white"/>
                <w:shd w:val="clear" w:color="auto" w:fill="FEFEFE"/>
              </w:rPr>
              <w:t xml:space="preserve"> 6.2 "Стартова помощ за неземеделски дейности"</w:t>
            </w:r>
          </w:p>
        </w:tc>
        <w:tc>
          <w:tcPr>
            <w:tcW w:w="3118" w:type="dxa"/>
            <w:tcBorders>
              <w:top w:val="nil"/>
              <w:left w:val="nil"/>
              <w:bottom w:val="single" w:sz="8" w:space="0" w:color="auto"/>
              <w:right w:val="single" w:sz="8" w:space="0" w:color="auto"/>
            </w:tcBorders>
            <w:shd w:val="clear" w:color="auto" w:fill="FEFEFE"/>
            <w:tcMar>
              <w:top w:w="12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Първо и второ плащане</w:t>
            </w:r>
          </w:p>
        </w:tc>
      </w:tr>
      <w:tr w:rsidR="00DC0AF7" w:rsidRPr="006B4B36">
        <w:tblPrEx>
          <w:tblCellMar>
            <w:top w:w="0" w:type="dxa"/>
            <w:bottom w:w="0" w:type="dxa"/>
          </w:tblCellMar>
        </w:tblPrEx>
        <w:trPr>
          <w:trHeight w:val="60"/>
        </w:trPr>
        <w:tc>
          <w:tcPr>
            <w:tcW w:w="3119"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Подмярка</w:t>
            </w:r>
            <w:proofErr w:type="spellEnd"/>
            <w:r w:rsidRPr="006B4B36">
              <w:rPr>
                <w:rFonts w:eastAsia="Times New Roman"/>
                <w:sz w:val="22"/>
                <w:szCs w:val="22"/>
                <w:highlight w:val="white"/>
                <w:shd w:val="clear" w:color="auto" w:fill="FEFEFE"/>
              </w:rPr>
              <w:t xml:space="preserve"> 6.3 "Стартова помощ за развитието на малки стопанства"</w:t>
            </w:r>
          </w:p>
        </w:tc>
        <w:tc>
          <w:tcPr>
            <w:tcW w:w="3118" w:type="dxa"/>
            <w:tcBorders>
              <w:top w:val="nil"/>
              <w:left w:val="nil"/>
              <w:bottom w:val="single" w:sz="8" w:space="0" w:color="auto"/>
              <w:right w:val="single" w:sz="8" w:space="0" w:color="auto"/>
            </w:tcBorders>
            <w:shd w:val="clear" w:color="auto" w:fill="FEFEFE"/>
            <w:tcMar>
              <w:top w:w="12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Първо и второ плащане</w:t>
            </w:r>
          </w:p>
        </w:tc>
      </w:tr>
      <w:tr w:rsidR="00DC0AF7" w:rsidRPr="006B4B36">
        <w:tblPrEx>
          <w:tblCellMar>
            <w:top w:w="0" w:type="dxa"/>
            <w:bottom w:w="0" w:type="dxa"/>
          </w:tblCellMar>
        </w:tblPrEx>
        <w:trPr>
          <w:trHeight w:val="60"/>
        </w:trPr>
        <w:tc>
          <w:tcPr>
            <w:tcW w:w="3119"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Мярка 9 "Създаване на групи и организации на производителите"</w:t>
            </w:r>
          </w:p>
        </w:tc>
        <w:tc>
          <w:tcPr>
            <w:tcW w:w="3118" w:type="dxa"/>
            <w:tcBorders>
              <w:top w:val="nil"/>
              <w:left w:val="nil"/>
              <w:bottom w:val="single" w:sz="8" w:space="0" w:color="auto"/>
              <w:right w:val="single" w:sz="8" w:space="0" w:color="auto"/>
            </w:tcBorders>
            <w:shd w:val="clear" w:color="auto" w:fill="FEFEFE"/>
            <w:tcMar>
              <w:top w:w="12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Годишни плащания</w:t>
            </w:r>
          </w:p>
        </w:tc>
      </w:tr>
      <w:tr w:rsidR="00DC0AF7" w:rsidRPr="006B4B36">
        <w:tblPrEx>
          <w:tblCellMar>
            <w:top w:w="0" w:type="dxa"/>
            <w:bottom w:w="0" w:type="dxa"/>
          </w:tblCellMar>
        </w:tblPrEx>
        <w:trPr>
          <w:trHeight w:val="60"/>
        </w:trPr>
        <w:tc>
          <w:tcPr>
            <w:tcW w:w="3119"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Мярка 16 "Сътрудничество"</w:t>
            </w:r>
          </w:p>
        </w:tc>
        <w:tc>
          <w:tcPr>
            <w:tcW w:w="3118" w:type="dxa"/>
            <w:tcBorders>
              <w:top w:val="nil"/>
              <w:left w:val="nil"/>
              <w:bottom w:val="single" w:sz="8" w:space="0" w:color="auto"/>
              <w:right w:val="single" w:sz="8" w:space="0" w:color="auto"/>
            </w:tcBorders>
            <w:shd w:val="clear" w:color="auto" w:fill="FEFEFE"/>
            <w:tcMar>
              <w:top w:w="12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Авансово, междинни, окончателно и годишни плащания</w:t>
            </w:r>
          </w:p>
        </w:tc>
      </w:tr>
    </w:tbl>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Приложение № 1а към чл. 6а, ал. 2</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(Ново - ДВ, бр. 74 от 2019 г., в сила от 20.09.2019 г.)</w:t>
      </w:r>
    </w:p>
    <w:p w:rsidR="00DC0AF7" w:rsidRPr="006B4B36" w:rsidRDefault="00DC0AF7">
      <w:pPr>
        <w:rPr>
          <w:rFonts w:eastAsia="Times New Roman"/>
          <w:sz w:val="22"/>
          <w:szCs w:val="22"/>
          <w:highlight w:val="white"/>
          <w:shd w:val="clear" w:color="auto" w:fill="FEFEFE"/>
        </w:rPr>
      </w:pPr>
    </w:p>
    <w:tbl>
      <w:tblPr>
        <w:tblW w:w="10773" w:type="dxa"/>
        <w:tblInd w:w="57" w:type="dxa"/>
        <w:tblLayout w:type="fixed"/>
        <w:tblCellMar>
          <w:left w:w="57" w:type="dxa"/>
          <w:right w:w="57" w:type="dxa"/>
        </w:tblCellMar>
        <w:tblLook w:val="0000" w:firstRow="0" w:lastRow="0" w:firstColumn="0" w:lastColumn="0" w:noHBand="0" w:noVBand="0"/>
      </w:tblPr>
      <w:tblGrid>
        <w:gridCol w:w="653"/>
        <w:gridCol w:w="2182"/>
        <w:gridCol w:w="1985"/>
        <w:gridCol w:w="1134"/>
        <w:gridCol w:w="851"/>
        <w:gridCol w:w="1133"/>
        <w:gridCol w:w="993"/>
        <w:gridCol w:w="1842"/>
      </w:tblGrid>
      <w:tr w:rsidR="00DC0AF7" w:rsidRPr="006B4B36" w:rsidTr="00DC0AF7">
        <w:tblPrEx>
          <w:tblCellMar>
            <w:top w:w="0" w:type="dxa"/>
            <w:bottom w:w="0" w:type="dxa"/>
          </w:tblCellMar>
        </w:tblPrEx>
        <w:trPr>
          <w:trHeight w:val="20"/>
        </w:trPr>
        <w:tc>
          <w:tcPr>
            <w:tcW w:w="10773" w:type="dxa"/>
            <w:gridSpan w:val="8"/>
            <w:tcBorders>
              <w:top w:val="nil"/>
              <w:left w:val="nil"/>
              <w:bottom w:val="single" w:sz="8" w:space="0" w:color="auto"/>
              <w:right w:val="nil"/>
            </w:tcBorders>
            <w:tcMar>
              <w:top w:w="60" w:type="dxa"/>
              <w:bottom w:w="0" w:type="dxa"/>
            </w:tcMar>
            <w:vAlign w:val="center"/>
          </w:tcPr>
          <w:p w:rsidR="00DC0AF7" w:rsidRPr="006B4B36" w:rsidRDefault="00DC0AF7">
            <w:pPr>
              <w:spacing w:before="57" w:after="57"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СПИСЪК С ОПРОСТЕНИ РАЗХОДИ И ДОКУМЕНТИ, ДОКАЗВАЩИ ИЗВЪРШВАНЕТО</w:t>
            </w:r>
          </w:p>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НА ДЕЙНОСТИТЕ</w:t>
            </w:r>
          </w:p>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DC0AF7">
        <w:tblPrEx>
          <w:tblCellMar>
            <w:top w:w="0" w:type="dxa"/>
            <w:bottom w:w="0" w:type="dxa"/>
          </w:tblCellMar>
        </w:tblPrEx>
        <w:trPr>
          <w:trHeight w:val="20"/>
        </w:trPr>
        <w:tc>
          <w:tcPr>
            <w:tcW w:w="653" w:type="dxa"/>
            <w:tcBorders>
              <w:top w:val="nil"/>
              <w:left w:val="single" w:sz="8" w:space="0" w:color="auto"/>
              <w:bottom w:val="single" w:sz="8" w:space="0" w:color="auto"/>
              <w:right w:val="single" w:sz="8" w:space="0" w:color="auto"/>
            </w:tcBorders>
            <w:shd w:val="clear" w:color="auto" w:fill="F2F2F2"/>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2182" w:type="dxa"/>
            <w:tcBorders>
              <w:top w:val="nil"/>
              <w:left w:val="nil"/>
              <w:bottom w:val="single" w:sz="8" w:space="0" w:color="auto"/>
              <w:right w:val="single" w:sz="8" w:space="0" w:color="auto"/>
            </w:tcBorders>
            <w:shd w:val="clear" w:color="auto" w:fill="F2F2F2"/>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Дейност</w:t>
            </w:r>
          </w:p>
        </w:tc>
        <w:tc>
          <w:tcPr>
            <w:tcW w:w="1985" w:type="dxa"/>
            <w:tcBorders>
              <w:top w:val="nil"/>
              <w:left w:val="nil"/>
              <w:bottom w:val="single" w:sz="8" w:space="0" w:color="auto"/>
              <w:right w:val="single" w:sz="8" w:space="0" w:color="auto"/>
            </w:tcBorders>
            <w:shd w:val="clear" w:color="auto" w:fill="F2F2F2"/>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Описание на дейността</w:t>
            </w:r>
          </w:p>
        </w:tc>
        <w:tc>
          <w:tcPr>
            <w:tcW w:w="1134" w:type="dxa"/>
            <w:tcBorders>
              <w:top w:val="nil"/>
              <w:left w:val="nil"/>
              <w:bottom w:val="single" w:sz="8" w:space="0" w:color="auto"/>
              <w:right w:val="single" w:sz="8" w:space="0" w:color="auto"/>
            </w:tcBorders>
            <w:shd w:val="clear" w:color="auto" w:fill="F2F2F2"/>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Мерна единица</w:t>
            </w:r>
          </w:p>
        </w:tc>
        <w:tc>
          <w:tcPr>
            <w:tcW w:w="851" w:type="dxa"/>
            <w:tcBorders>
              <w:top w:val="nil"/>
              <w:left w:val="nil"/>
              <w:bottom w:val="single" w:sz="8" w:space="0" w:color="auto"/>
              <w:right w:val="single" w:sz="8" w:space="0" w:color="auto"/>
            </w:tcBorders>
            <w:shd w:val="clear" w:color="auto" w:fill="F2F2F2"/>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Количество</w:t>
            </w:r>
          </w:p>
        </w:tc>
        <w:tc>
          <w:tcPr>
            <w:tcW w:w="1133" w:type="dxa"/>
            <w:tcBorders>
              <w:top w:val="nil"/>
              <w:left w:val="nil"/>
              <w:bottom w:val="single" w:sz="8" w:space="0" w:color="auto"/>
              <w:right w:val="single" w:sz="8" w:space="0" w:color="auto"/>
            </w:tcBorders>
            <w:shd w:val="clear" w:color="auto" w:fill="F2F2F2"/>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Единична</w:t>
            </w:r>
          </w:p>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цена в левове</w:t>
            </w:r>
          </w:p>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без ДДС</w:t>
            </w:r>
          </w:p>
        </w:tc>
        <w:tc>
          <w:tcPr>
            <w:tcW w:w="993" w:type="dxa"/>
            <w:tcBorders>
              <w:top w:val="nil"/>
              <w:left w:val="nil"/>
              <w:bottom w:val="single" w:sz="8" w:space="0" w:color="auto"/>
              <w:right w:val="single" w:sz="8" w:space="0" w:color="auto"/>
            </w:tcBorders>
            <w:shd w:val="clear" w:color="auto" w:fill="F2F2F2"/>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Единична</w:t>
            </w:r>
          </w:p>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цена в левове</w:t>
            </w:r>
          </w:p>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 ДДС</w:t>
            </w:r>
          </w:p>
        </w:tc>
        <w:tc>
          <w:tcPr>
            <w:tcW w:w="1842" w:type="dxa"/>
            <w:tcBorders>
              <w:top w:val="nil"/>
              <w:left w:val="nil"/>
              <w:bottom w:val="single" w:sz="8" w:space="0" w:color="auto"/>
              <w:right w:val="single" w:sz="8" w:space="0" w:color="auto"/>
            </w:tcBorders>
            <w:shd w:val="clear" w:color="auto" w:fill="F2F2F2"/>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Документи за отчитане</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А</w:t>
            </w:r>
          </w:p>
        </w:tc>
        <w:tc>
          <w:tcPr>
            <w:tcW w:w="2182"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w:t>
            </w:r>
          </w:p>
        </w:tc>
        <w:tc>
          <w:tcPr>
            <w:tcW w:w="1985"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В</w:t>
            </w:r>
          </w:p>
        </w:tc>
        <w:tc>
          <w:tcPr>
            <w:tcW w:w="1134"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Г</w:t>
            </w:r>
          </w:p>
        </w:tc>
        <w:tc>
          <w:tcPr>
            <w:tcW w:w="851"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w:t>
            </w:r>
          </w:p>
        </w:tc>
        <w:tc>
          <w:tcPr>
            <w:tcW w:w="1133"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Е</w:t>
            </w:r>
          </w:p>
        </w:tc>
        <w:tc>
          <w:tcPr>
            <w:tcW w:w="993"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Ж</w:t>
            </w:r>
          </w:p>
        </w:tc>
        <w:tc>
          <w:tcPr>
            <w:tcW w:w="1842"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Работна/информационна среща</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Провеждане на еднодневна работна среща за най-малко 10 </w:t>
            </w:r>
            <w:r w:rsidRPr="006B4B36">
              <w:rPr>
                <w:rFonts w:eastAsia="Times New Roman"/>
                <w:sz w:val="22"/>
                <w:szCs w:val="22"/>
                <w:highlight w:val="white"/>
                <w:shd w:val="clear" w:color="auto" w:fill="FEFEFE"/>
              </w:rPr>
              <w:lastRenderedPageBreak/>
              <w:t>участници - кафе-пауза, наем на зала</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брой</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152</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182</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Списък на участниците, информационни материали и </w:t>
            </w:r>
            <w:r w:rsidRPr="006B4B36">
              <w:rPr>
                <w:rFonts w:eastAsia="Times New Roman"/>
                <w:sz w:val="22"/>
                <w:szCs w:val="22"/>
                <w:highlight w:val="white"/>
                <w:shd w:val="clear" w:color="auto" w:fill="FEFEFE"/>
              </w:rPr>
              <w:lastRenderedPageBreak/>
              <w:t>протоколи от проведени срещи, снимки и др.</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2</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Информационни срещи/семинари</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Провеждане на еднодневна информационна среща/семинар за най-малко 20 участници - кафе-пауза, наем на зала</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брой</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242</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291</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Списък на участниците, информационни материали и протоколи от проведени срещи, снимки и др.</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Информационни конференции</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Провеждане на еднодневна информационна конференция за най-малко 50 участници - кафе-пауза, наем на зала, техническо обезпечаване на събитието</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брой</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582</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698</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Списък на участниците, информационни материали и протоколи от проведени срещи, снимки и др.</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Създаване на електронна страница</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Създаване на електронна страница</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брой</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525</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630</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Адрес на създадената електронна страница</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Поддържане на електронна страница</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Поддържане на електронна страница</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месец</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74</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89</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Доклад от лицето, извършило поддръжката, и адрес на електронната страница</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Публикация в регионални медии</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Предоставяне на информация за проекта чрез регионални медии, като съдържанието на публикацията във вестници е до 3 страници А4</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брой</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300</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360</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Копия от публикации</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Излъчване в регионални медии</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Предоставяне на информация за проекта чрез регионални медии</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минута</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94</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113</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Сертификати за излъчване</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Обучение</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Провеждане на еднодневно обучение - зала, кафе-паузи, обяд, консумативи, </w:t>
            </w:r>
            <w:r w:rsidRPr="006B4B36">
              <w:rPr>
                <w:rFonts w:eastAsia="Times New Roman"/>
                <w:sz w:val="22"/>
                <w:szCs w:val="22"/>
                <w:highlight w:val="white"/>
                <w:shd w:val="clear" w:color="auto" w:fill="FEFEFE"/>
              </w:rPr>
              <w:lastRenderedPageBreak/>
              <w:t>лектор</w:t>
            </w:r>
          </w:p>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(за най-малко десет участници)</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брой</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596</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715</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Списък на участниците (минимум десет участници), материали от обучението, </w:t>
            </w:r>
            <w:r w:rsidRPr="006B4B36">
              <w:rPr>
                <w:rFonts w:eastAsia="Times New Roman"/>
                <w:sz w:val="22"/>
                <w:szCs w:val="22"/>
                <w:highlight w:val="white"/>
                <w:shd w:val="clear" w:color="auto" w:fill="FEFEFE"/>
              </w:rPr>
              <w:lastRenderedPageBreak/>
              <w:t>доклад от лектора, снимки</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9</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Обучение</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Провеждане на еднодневно обучение - зала, кафе-паузи, обяд, консумативи, лектор</w:t>
            </w:r>
          </w:p>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(за най-малко двадесет участници)</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брой</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872</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1046</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Списък на участниците (минимум двадесет участници), материали от обучението, доклад от лектора, снимки</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10</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Проучване и анализ</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Извършване на проучване и анализ на територията</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брой</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3909</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4691</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Изготвен анализ/проучване и доклад от изпълнителя</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11</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Извършване на експертна работа</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Външни услуги, свързани с прилагането на стратегията</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човекоден</w:t>
            </w:r>
            <w:proofErr w:type="spellEnd"/>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149</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179</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Договор и доклад за извършената работа</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12</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Извършване на експертна работа</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Оценка на проекти</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оценен проект от 1 оценител</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149</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179</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Договор и доклад за извършената работа</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w:t>
            </w:r>
          </w:p>
        </w:tc>
        <w:tc>
          <w:tcPr>
            <w:tcW w:w="218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Извършване на преводи</w:t>
            </w:r>
          </w:p>
        </w:tc>
        <w:tc>
          <w:tcPr>
            <w:tcW w:w="1985"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Извършване на писмени преводи</w:t>
            </w:r>
          </w:p>
        </w:tc>
        <w:tc>
          <w:tcPr>
            <w:tcW w:w="1134"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страница</w:t>
            </w:r>
          </w:p>
        </w:tc>
        <w:tc>
          <w:tcPr>
            <w:tcW w:w="851"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16</w:t>
            </w:r>
          </w:p>
        </w:tc>
        <w:tc>
          <w:tcPr>
            <w:tcW w:w="993"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19</w:t>
            </w:r>
          </w:p>
        </w:tc>
        <w:tc>
          <w:tcPr>
            <w:tcW w:w="1842" w:type="dxa"/>
            <w:tcBorders>
              <w:top w:val="nil"/>
              <w:left w:val="nil"/>
              <w:bottom w:val="single" w:sz="8" w:space="0" w:color="auto"/>
              <w:right w:val="single" w:sz="8" w:space="0" w:color="auto"/>
            </w:tcBorders>
            <w:shd w:val="clear" w:color="auto" w:fill="FEFEFE"/>
            <w:tcMar>
              <w:top w:w="45"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Преведени материали</w:t>
            </w:r>
          </w:p>
        </w:tc>
      </w:tr>
      <w:tr w:rsidR="00DC0AF7" w:rsidRPr="006B4B36" w:rsidTr="00DC0AF7">
        <w:tblPrEx>
          <w:tblCellMar>
            <w:top w:w="0" w:type="dxa"/>
            <w:bottom w:w="0" w:type="dxa"/>
          </w:tblCellMar>
        </w:tblPrEx>
        <w:trPr>
          <w:trHeight w:val="60"/>
        </w:trPr>
        <w:tc>
          <w:tcPr>
            <w:tcW w:w="65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14</w:t>
            </w:r>
          </w:p>
        </w:tc>
        <w:tc>
          <w:tcPr>
            <w:tcW w:w="2182"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Извършване на преводи</w:t>
            </w:r>
          </w:p>
        </w:tc>
        <w:tc>
          <w:tcPr>
            <w:tcW w:w="1985"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Извършване на устни преводи</w:t>
            </w:r>
          </w:p>
        </w:tc>
        <w:tc>
          <w:tcPr>
            <w:tcW w:w="1134"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час</w:t>
            </w:r>
          </w:p>
        </w:tc>
        <w:tc>
          <w:tcPr>
            <w:tcW w:w="851"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1133"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57</w:t>
            </w:r>
          </w:p>
        </w:tc>
        <w:tc>
          <w:tcPr>
            <w:tcW w:w="993"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68</w:t>
            </w:r>
          </w:p>
        </w:tc>
        <w:tc>
          <w:tcPr>
            <w:tcW w:w="1842"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9"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Договор и доклад за извършената работа</w:t>
            </w:r>
          </w:p>
        </w:tc>
      </w:tr>
    </w:tbl>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br/>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Приложение № 2 към чл. 7, ал. 1</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(Доп. - ДВ, бр. 74 от 2019 г., в сила от 20.09.2019 г., </w:t>
      </w:r>
      <w:proofErr w:type="spellStart"/>
      <w:r w:rsidRPr="006B4B36">
        <w:rPr>
          <w:rFonts w:eastAsia="Times New Roman"/>
          <w:sz w:val="22"/>
          <w:szCs w:val="22"/>
          <w:highlight w:val="white"/>
          <w:shd w:val="clear" w:color="auto" w:fill="FEFEFE"/>
        </w:rPr>
        <w:t>доп</w:t>
      </w:r>
      <w:proofErr w:type="spellEnd"/>
      <w:r w:rsidRPr="006B4B36">
        <w:rPr>
          <w:rFonts w:eastAsia="Times New Roman"/>
          <w:sz w:val="22"/>
          <w:szCs w:val="22"/>
          <w:highlight w:val="white"/>
          <w:shd w:val="clear" w:color="auto" w:fill="FEFEFE"/>
        </w:rPr>
        <w:t xml:space="preserve"> - ДВ, бр. 64 от 2020 г.)</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Документи за авансово плащане</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Искане за авансово плащане (по образец).</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Нотариално заверено изрично пълномощно, в случай че документите не се подават лично от бенефициента, или заповед за упълномощаване (важи за бенефициенти общини).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Документ, удостоверяващ представителната власт (важи за случаите, когато това е предвидено в Условията за кандидатстване).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 Банкова гаранция (по образец).</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 Запис на заповед по образец (приложимо за бенефициенти общини и местни инициативни групи).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 Решение на общинския съвет, одобряващо поемането на дълг, или решение на общинския съвет за одобряване на запис на заповед (</w:t>
      </w:r>
      <w:r w:rsidRPr="006B4B36">
        <w:rPr>
          <w:rFonts w:eastAsia="Times New Roman"/>
          <w:i/>
          <w:iCs/>
          <w:sz w:val="22"/>
          <w:szCs w:val="22"/>
          <w:highlight w:val="white"/>
          <w:shd w:val="clear" w:color="auto" w:fill="FEFEFE"/>
        </w:rPr>
        <w:t>важи, когато представено обезпечение е запис на заповед</w:t>
      </w:r>
      <w:r w:rsidRPr="006B4B36">
        <w:rPr>
          <w:rFonts w:eastAsia="Times New Roman"/>
          <w:sz w:val="22"/>
          <w:szCs w:val="22"/>
          <w:highlight w:val="white"/>
          <w:shd w:val="clear" w:color="auto" w:fill="FEFEFE"/>
        </w:rPr>
        <w:t>).</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 xml:space="preserve">7. Договор за откриване и водене на специална отделна банкова </w:t>
      </w:r>
      <w:proofErr w:type="spellStart"/>
      <w:r w:rsidRPr="006B4B36">
        <w:rPr>
          <w:rFonts w:eastAsia="Times New Roman"/>
          <w:sz w:val="22"/>
          <w:szCs w:val="22"/>
          <w:highlight w:val="white"/>
          <w:shd w:val="clear" w:color="auto" w:fill="FEFEFE"/>
        </w:rPr>
        <w:t>подсметка</w:t>
      </w:r>
      <w:proofErr w:type="spellEnd"/>
      <w:r w:rsidRPr="006B4B36">
        <w:rPr>
          <w:rFonts w:eastAsia="Times New Roman"/>
          <w:sz w:val="22"/>
          <w:szCs w:val="22"/>
          <w:highlight w:val="white"/>
          <w:shd w:val="clear" w:color="auto" w:fill="FEFEFE"/>
        </w:rPr>
        <w:t xml:space="preserve"> за средства от Европейския съюз по конкретния проект, сключен между ползвателите общини и търговска банка, с включена изрична клауза, че търговската банка ще следи целевото разходване на изплатените авансово средства (</w:t>
      </w:r>
      <w:r w:rsidRPr="006B4B36">
        <w:rPr>
          <w:rFonts w:eastAsia="Times New Roman"/>
          <w:i/>
          <w:iCs/>
          <w:sz w:val="22"/>
          <w:szCs w:val="22"/>
          <w:highlight w:val="white"/>
          <w:shd w:val="clear" w:color="auto" w:fill="FEFEFE"/>
        </w:rPr>
        <w:t>важи за бенефициенти общини</w:t>
      </w:r>
      <w:r w:rsidRPr="006B4B36">
        <w:rPr>
          <w:rFonts w:eastAsia="Times New Roman"/>
          <w:sz w:val="22"/>
          <w:szCs w:val="22"/>
          <w:highlight w:val="white"/>
          <w:shd w:val="clear" w:color="auto" w:fill="FEFEFE"/>
        </w:rPr>
        <w:t>).</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 (нова - ДВ, бр. 74 от 2019 г., в сила от 20.09.2019 г.) Извлечение от счетоводната система, доказващо осчетоводяване по сметка 9299 "Други кредитори по условни задължения" на поетия дълг чрез запис на заповед (при представено обезпечение запис на заповед).</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 (нова - ДВ, бр. 64 от 2020 г.) Декларация от бенефициента за отсъствие на обстоятелствата по чл. 25, ал. 2 от ЗУСЕСИФ, които са предвидени в насоките за кандидатстване за съответния прием на проектни предложения (подава се само в случаите, когато не е представена на етап кандидатстване или са настъпили промени в декларираните обстоятелства).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10. (нова - ДВ, бр. 64 от 2020 г.) Удостоверение за наличие или липса на задължения по Закона за местните данъци и такси от съответната община по седалището на ползвателя (подава се само когато в насоките за кандидатстване за съответния прием на проектни предложения е предвидено такова условие).</w:t>
      </w:r>
    </w:p>
    <w:p w:rsidR="00DC0AF7" w:rsidRPr="006B4B36" w:rsidRDefault="00DC0AF7">
      <w:pPr>
        <w:rPr>
          <w:rFonts w:eastAsia="Times New Roman"/>
          <w:sz w:val="22"/>
          <w:szCs w:val="22"/>
          <w:highlight w:val="white"/>
          <w:shd w:val="clear" w:color="auto" w:fill="FEFEFE"/>
        </w:rPr>
      </w:pP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Приложение № 3 към чл. 22, ал. 1</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(Изм. - ДВ, бр. 64 от 2020 г.)</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Документи, които поръчителите следва да представят при договор за поръчителство при първо плащане</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Общи документи, издадени не по-рано от един месец преди представянето им:</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Удостоверение от съответната община по постоянния адрес на управителя/представляващия, че същият не е поставен под запрещение.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(изм. - ДВ, бр. 64 от 2020 г.) Декларации по чл. 42, ал. 2, т. 2 и чл. 59, ал. 1, т. 3 от Закона за мерките срещу изпирането на пари.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 Удостоверение от Националната следствена служба, удостоверяващо дали срещу лицето има образувано досъдебно наказателно 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4. Решение на компетентния орган на поръчителя за даване на съгласие за сключване на договор за поръчителство - </w:t>
      </w:r>
      <w:r w:rsidRPr="006B4B36">
        <w:rPr>
          <w:rFonts w:eastAsia="Times New Roman"/>
          <w:i/>
          <w:iCs/>
          <w:sz w:val="22"/>
          <w:szCs w:val="22"/>
          <w:highlight w:val="white"/>
          <w:shd w:val="clear" w:color="auto" w:fill="FEFEFE"/>
        </w:rPr>
        <w:t>важи в случаите, когато такова се изисква. В случаите, когато управляващият или представляващият се представлява от друго лице, се представя и изрично нотариално заверено пълномощно.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5. Декларация за наличието и липса на други договори за поръчителство - </w:t>
      </w:r>
      <w:r w:rsidRPr="006B4B36">
        <w:rPr>
          <w:rFonts w:eastAsia="Times New Roman"/>
          <w:i/>
          <w:iCs/>
          <w:sz w:val="22"/>
          <w:szCs w:val="22"/>
          <w:highlight w:val="white"/>
          <w:shd w:val="clear" w:color="auto" w:fill="FEFEFE"/>
        </w:rPr>
        <w:t xml:space="preserve">по образец, публикуван на </w:t>
      </w:r>
      <w:hyperlink r:id="rId12" w:history="1">
        <w:r w:rsidRPr="006B4B36">
          <w:rPr>
            <w:rFonts w:eastAsia="Times New Roman"/>
            <w:i/>
            <w:iCs/>
            <w:color w:val="0000FF"/>
            <w:sz w:val="22"/>
            <w:szCs w:val="22"/>
            <w:highlight w:val="white"/>
            <w:u w:val="single"/>
            <w:shd w:val="clear" w:color="auto" w:fill="FEFEFE"/>
          </w:rPr>
          <w:t>електронната страница</w:t>
        </w:r>
      </w:hyperlink>
      <w:r w:rsidRPr="006B4B36">
        <w:rPr>
          <w:rFonts w:eastAsia="Times New Roman"/>
          <w:i/>
          <w:iCs/>
          <w:sz w:val="22"/>
          <w:szCs w:val="22"/>
          <w:highlight w:val="white"/>
          <w:shd w:val="clear" w:color="auto" w:fill="FEFEFE"/>
        </w:rPr>
        <w:t xml:space="preserve"> на ДФ "Земеделие".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Приложение № 4 към чл. 33, ал. 1</w:t>
      </w:r>
    </w:p>
    <w:p w:rsidR="00DC0AF7" w:rsidRPr="006B4B36" w:rsidRDefault="00DC0AF7">
      <w:pPr>
        <w:rPr>
          <w:rFonts w:eastAsia="Times New Roman"/>
          <w:sz w:val="22"/>
          <w:szCs w:val="22"/>
          <w:highlight w:val="white"/>
          <w:shd w:val="clear" w:color="auto" w:fill="FEFEFE"/>
        </w:rPr>
      </w:pP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(Ново - ДВ, бр. 83 от 2021 г., в сила от 05.10.2021 г.)</w:t>
      </w:r>
    </w:p>
    <w:tbl>
      <w:tblPr>
        <w:tblW w:w="10107" w:type="dxa"/>
        <w:tblLayout w:type="fixed"/>
        <w:tblCellMar>
          <w:left w:w="0" w:type="dxa"/>
          <w:right w:w="0" w:type="dxa"/>
        </w:tblCellMar>
        <w:tblLook w:val="0000" w:firstRow="0" w:lastRow="0" w:firstColumn="0" w:lastColumn="0" w:noHBand="0" w:noVBand="0"/>
      </w:tblPr>
      <w:tblGrid>
        <w:gridCol w:w="1296"/>
        <w:gridCol w:w="3422"/>
        <w:gridCol w:w="544"/>
        <w:gridCol w:w="1696"/>
        <w:gridCol w:w="1442"/>
        <w:gridCol w:w="1591"/>
        <w:gridCol w:w="116"/>
      </w:tblGrid>
      <w:tr w:rsidR="00DC0AF7" w:rsidRPr="006B4B36" w:rsidTr="006B4B36">
        <w:tblPrEx>
          <w:tblCellMar>
            <w:top w:w="0" w:type="dxa"/>
            <w:left w:w="0" w:type="dxa"/>
            <w:bottom w:w="0" w:type="dxa"/>
            <w:right w:w="0" w:type="dxa"/>
          </w:tblCellMar>
        </w:tblPrEx>
        <w:trPr>
          <w:trHeight w:val="60"/>
        </w:trPr>
        <w:tc>
          <w:tcPr>
            <w:tcW w:w="9991" w:type="dxa"/>
            <w:gridSpan w:val="6"/>
            <w:tcBorders>
              <w:top w:val="nil"/>
              <w:left w:val="nil"/>
              <w:bottom w:val="single" w:sz="8" w:space="0" w:color="auto"/>
              <w:right w:val="nil"/>
            </w:tcBorders>
            <w:shd w:val="clear" w:color="auto" w:fill="FEFEFE"/>
            <w:tcMar>
              <w:top w:w="30" w:type="dxa"/>
              <w:bottom w:w="0" w:type="dxa"/>
            </w:tcMar>
            <w:vAlign w:val="center"/>
          </w:tcPr>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Таблица за изчисляване на икономическия размер на земеделските стопанства</w:t>
            </w:r>
          </w:p>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I. Данни за стопанството</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Код по Наредба № 3</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Видове култури и категории животни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 ед.</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Данни на стопанството (основни култури)</w:t>
            </w:r>
          </w:p>
        </w:tc>
        <w:tc>
          <w:tcPr>
            <w:tcW w:w="144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Показател за СПО - 2017 (лв./дка; лв./глава)</w:t>
            </w:r>
          </w:p>
        </w:tc>
        <w:tc>
          <w:tcPr>
            <w:tcW w:w="1591"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Индивидуални СПО (лв.)</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w:t>
            </w:r>
          </w:p>
        </w:tc>
        <w:tc>
          <w:tcPr>
            <w:tcW w:w="144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w:t>
            </w:r>
          </w:p>
        </w:tc>
        <w:tc>
          <w:tcPr>
            <w:tcW w:w="1591"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 = (4*5)</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9991" w:type="dxa"/>
            <w:gridSpan w:val="6"/>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ИКОНОМИЧЕСКИ РАЗМЕР НА СТОПАНСТВОТО В СТАНДАРТНА ПРОДУКЦИЯ (СП) В ЛЕВОВЕ</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9991" w:type="dxa"/>
            <w:gridSpan w:val="6"/>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ИКОНОМИЧЕСКИ РАЗМЕР НА СТОПАНСТВОТО В ЕВРО</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Код по Наредба № 3</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Видове култури и категории животни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 ед.</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Данни на стопанството </w:t>
            </w:r>
            <w:r w:rsidRPr="006B4B36">
              <w:rPr>
                <w:rFonts w:eastAsia="Times New Roman"/>
                <w:sz w:val="22"/>
                <w:szCs w:val="22"/>
                <w:highlight w:val="white"/>
                <w:shd w:val="clear" w:color="auto" w:fill="FEFEFE"/>
              </w:rPr>
              <w:lastRenderedPageBreak/>
              <w:t>(основни култури)</w:t>
            </w:r>
          </w:p>
        </w:tc>
        <w:tc>
          <w:tcPr>
            <w:tcW w:w="144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 xml:space="preserve">Показател за СПО - 2017 </w:t>
            </w:r>
            <w:r w:rsidRPr="006B4B36">
              <w:rPr>
                <w:rFonts w:eastAsia="Times New Roman"/>
                <w:sz w:val="22"/>
                <w:szCs w:val="22"/>
                <w:highlight w:val="white"/>
                <w:shd w:val="clear" w:color="auto" w:fill="FEFEFE"/>
              </w:rPr>
              <w:lastRenderedPageBreak/>
              <w:t>(лв./дка; лв./глава)</w:t>
            </w:r>
          </w:p>
        </w:tc>
        <w:tc>
          <w:tcPr>
            <w:tcW w:w="1591"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Индивидуални СПО (лв.)</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w:t>
            </w:r>
          </w:p>
        </w:tc>
        <w:tc>
          <w:tcPr>
            <w:tcW w:w="144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w:t>
            </w:r>
          </w:p>
        </w:tc>
        <w:tc>
          <w:tcPr>
            <w:tcW w:w="1591"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 = (4*5)</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3001</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Обикновена (мека) пшеница и</w:t>
            </w:r>
          </w:p>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лимец</w:t>
            </w:r>
            <w:proofErr w:type="spellEnd"/>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145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3002</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Твърда пшеница</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127</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3003</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Ечемик</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128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3004</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Ръж</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52</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3005</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Тритикале</w:t>
            </w:r>
            <w:proofErr w:type="spellEnd"/>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3006</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Овес</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72</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3007</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Царевица за зърно</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180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3008</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Сорго</w:t>
            </w:r>
            <w:proofErr w:type="spellEnd"/>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3009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Просо</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3010</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Ориз</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321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val="restart"/>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3109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зърнени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зърнени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зърнени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val="restart"/>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зърнени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зърнени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3011</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Тютюн</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774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3012</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Хмел</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2 105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3013</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Захарно цвекло</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3015</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Памук</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3016</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Лен</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3017</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Коноп</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237</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3018</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Слънчоглед</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145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3019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Рапица</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188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3020</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Соя</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103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3021</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Фъстъци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454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val="restart"/>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3119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технически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технически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технически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технически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технически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технически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3023</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Маслодайна роза</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3024</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Кориандър</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3025</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Анасон</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402</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3026</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Резене</w:t>
            </w:r>
            <w:proofErr w:type="spellEnd"/>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243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3027</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Лавандула</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486</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3028</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Салвия</w:t>
            </w:r>
            <w:proofErr w:type="spellEnd"/>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364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3029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Мента</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705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3030</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Валериана</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1 065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val="restart"/>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3129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етеричномаслени и лекарствени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295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етеричномаслени и лекарствени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295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етеричномаслени и лекарствени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295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етеричномаслени и лекарствени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295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етеричномаслени и лекарствени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295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3032</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Фасул</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223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3033</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Грах</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110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3035</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Леща</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172</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3036</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Нахут</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193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val="restart"/>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3139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Други </w:t>
            </w:r>
            <w:proofErr w:type="spellStart"/>
            <w:r w:rsidRPr="006B4B36">
              <w:rPr>
                <w:rFonts w:eastAsia="Times New Roman"/>
                <w:sz w:val="22"/>
                <w:szCs w:val="22"/>
                <w:highlight w:val="white"/>
                <w:shd w:val="clear" w:color="auto" w:fill="FEFEFE"/>
              </w:rPr>
              <w:t>протеинодайни</w:t>
            </w:r>
            <w:proofErr w:type="spellEnd"/>
            <w:r w:rsidRPr="006B4B36">
              <w:rPr>
                <w:rFonts w:eastAsia="Times New Roman"/>
                <w:sz w:val="22"/>
                <w:szCs w:val="22"/>
                <w:highlight w:val="white"/>
                <w:shd w:val="clear" w:color="auto" w:fill="FEFEFE"/>
              </w:rPr>
              <w:t xml:space="preserve">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110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Други </w:t>
            </w:r>
            <w:proofErr w:type="spellStart"/>
            <w:r w:rsidRPr="006B4B36">
              <w:rPr>
                <w:rFonts w:eastAsia="Times New Roman"/>
                <w:sz w:val="22"/>
                <w:szCs w:val="22"/>
                <w:highlight w:val="white"/>
                <w:shd w:val="clear" w:color="auto" w:fill="FEFEFE"/>
              </w:rPr>
              <w:t>протеинодайни</w:t>
            </w:r>
            <w:proofErr w:type="spellEnd"/>
            <w:r w:rsidRPr="006B4B36">
              <w:rPr>
                <w:rFonts w:eastAsia="Times New Roman"/>
                <w:sz w:val="22"/>
                <w:szCs w:val="22"/>
                <w:highlight w:val="white"/>
                <w:shd w:val="clear" w:color="auto" w:fill="FEFEFE"/>
              </w:rPr>
              <w:t xml:space="preserve">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110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Други </w:t>
            </w:r>
            <w:proofErr w:type="spellStart"/>
            <w:r w:rsidRPr="006B4B36">
              <w:rPr>
                <w:rFonts w:eastAsia="Times New Roman"/>
                <w:sz w:val="22"/>
                <w:szCs w:val="22"/>
                <w:highlight w:val="white"/>
                <w:shd w:val="clear" w:color="auto" w:fill="FEFEFE"/>
              </w:rPr>
              <w:t>протеинодайни</w:t>
            </w:r>
            <w:proofErr w:type="spellEnd"/>
            <w:r w:rsidRPr="006B4B36">
              <w:rPr>
                <w:rFonts w:eastAsia="Times New Roman"/>
                <w:sz w:val="22"/>
                <w:szCs w:val="22"/>
                <w:highlight w:val="white"/>
                <w:shd w:val="clear" w:color="auto" w:fill="FEFEFE"/>
              </w:rPr>
              <w:t xml:space="preserve"> култури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110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3037</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Царевица за силаж</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234</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3096</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Фий</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202</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3149</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Фуражни зеленчуци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94</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3040</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Люцерна</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96</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3041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Естествени ливади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38</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30411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Пасища и мери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38</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30412</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Коноп - семена за фураж</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37</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val="restart"/>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3159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Други фуражни култури -</w:t>
            </w:r>
            <w:r w:rsidRPr="006B4B36">
              <w:rPr>
                <w:rFonts w:eastAsia="Times New Roman"/>
                <w:sz w:val="22"/>
                <w:szCs w:val="22"/>
                <w:highlight w:val="white"/>
                <w:shd w:val="clear" w:color="auto" w:fill="FEFEFE"/>
              </w:rPr>
              <w:t xml:space="preserve">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126</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Други фуражни култури -</w:t>
            </w:r>
            <w:r w:rsidRPr="006B4B36">
              <w:rPr>
                <w:rFonts w:eastAsia="Times New Roman"/>
                <w:sz w:val="22"/>
                <w:szCs w:val="22"/>
                <w:highlight w:val="white"/>
                <w:shd w:val="clear" w:color="auto" w:fill="FEFEFE"/>
              </w:rPr>
              <w:t xml:space="preserve">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126</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Други фуражни култури -</w:t>
            </w:r>
            <w:r w:rsidRPr="006B4B36">
              <w:rPr>
                <w:rFonts w:eastAsia="Times New Roman"/>
                <w:sz w:val="22"/>
                <w:szCs w:val="22"/>
                <w:highlight w:val="white"/>
                <w:shd w:val="clear" w:color="auto" w:fill="FEFEFE"/>
              </w:rPr>
              <w:t xml:space="preserve">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126</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Други фуражни култури -</w:t>
            </w:r>
            <w:r w:rsidRPr="006B4B36">
              <w:rPr>
                <w:rFonts w:eastAsia="Times New Roman"/>
                <w:sz w:val="22"/>
                <w:szCs w:val="22"/>
                <w:highlight w:val="white"/>
                <w:shd w:val="clear" w:color="auto" w:fill="FEFEFE"/>
              </w:rPr>
              <w:t xml:space="preserve">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i/>
                <w:iCs/>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126</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3042</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Картофи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720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3048+30481</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Домати - открито производство</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1 438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30482</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Домати - оранжерийни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9 271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3050+30501</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Краставици - открито производство</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1 168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30502</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Краставици - оранжерийни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13 512</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3052+30521</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Пипер - открито производство</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1 373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30522</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Пипер - оранжерийни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6 171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3053</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Зелен фасул</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329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3054</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Зелен грах</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213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3058</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Тикви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685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3059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Дини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1 003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3060</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Пъпеши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1 061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val="restart"/>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3169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val="restart"/>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зеленчуци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991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72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3068+3069 +3070 +3071+3072</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Костилкови плодове (череши, вишни, кайсии, зарзали, праскови и сливи)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1 019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3074+3075</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Семкови плодове (ябълки и круши)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1 488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3078</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Орехи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150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3079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Бадеми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264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3080</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Лешник</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244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3081</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Кестени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166</w:t>
            </w:r>
          </w:p>
        </w:tc>
        <w:tc>
          <w:tcPr>
            <w:tcW w:w="1591"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val="restart"/>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3179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овощни видове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овощни видове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овощни видове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Други овощни видове - </w:t>
            </w:r>
            <w:r w:rsidRPr="006B4B36">
              <w:rPr>
                <w:rFonts w:eastAsia="Times New Roman"/>
                <w:sz w:val="22"/>
                <w:szCs w:val="22"/>
                <w:highlight w:val="white"/>
                <w:shd w:val="clear" w:color="auto" w:fill="FEFEFE"/>
              </w:rPr>
              <w:lastRenderedPageBreak/>
              <w:t>..........................................................</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овощни видове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овощни видове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овощни видове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овощни видове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овощни видове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овощни видове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овощни видове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879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3082</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Ягодоплодни</w:t>
            </w:r>
            <w:proofErr w:type="spellEnd"/>
            <w:r w:rsidRPr="006B4B36">
              <w:rPr>
                <w:rFonts w:eastAsia="Times New Roman"/>
                <w:sz w:val="22"/>
                <w:szCs w:val="22"/>
                <w:highlight w:val="white"/>
                <w:shd w:val="clear" w:color="auto" w:fill="FEFEFE"/>
              </w:rPr>
              <w:t xml:space="preserve"> овощни видове (ягода)</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1 383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3083</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proofErr w:type="spellStart"/>
            <w:r w:rsidRPr="006B4B36">
              <w:rPr>
                <w:rFonts w:eastAsia="Times New Roman"/>
                <w:sz w:val="22"/>
                <w:szCs w:val="22"/>
                <w:highlight w:val="white"/>
                <w:shd w:val="clear" w:color="auto" w:fill="FEFEFE"/>
              </w:rPr>
              <w:t>Ягодоплодни</w:t>
            </w:r>
            <w:proofErr w:type="spellEnd"/>
            <w:r w:rsidRPr="006B4B36">
              <w:rPr>
                <w:rFonts w:eastAsia="Times New Roman"/>
                <w:sz w:val="22"/>
                <w:szCs w:val="22"/>
                <w:highlight w:val="white"/>
                <w:shd w:val="clear" w:color="auto" w:fill="FEFEFE"/>
              </w:rPr>
              <w:t xml:space="preserve"> овощни видове (малина)</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1 236</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val="restart"/>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3189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Други </w:t>
            </w:r>
            <w:proofErr w:type="spellStart"/>
            <w:r w:rsidRPr="006B4B36">
              <w:rPr>
                <w:rFonts w:eastAsia="Times New Roman"/>
                <w:sz w:val="22"/>
                <w:szCs w:val="22"/>
                <w:highlight w:val="white"/>
                <w:shd w:val="clear" w:color="auto" w:fill="FEFEFE"/>
              </w:rPr>
              <w:t>ягодоплодни</w:t>
            </w:r>
            <w:proofErr w:type="spellEnd"/>
            <w:r w:rsidRPr="006B4B36">
              <w:rPr>
                <w:rFonts w:eastAsia="Times New Roman"/>
                <w:sz w:val="22"/>
                <w:szCs w:val="22"/>
                <w:highlight w:val="white"/>
                <w:shd w:val="clear" w:color="auto" w:fill="FEFEFE"/>
              </w:rPr>
              <w:t xml:space="preserve">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865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Други </w:t>
            </w:r>
            <w:proofErr w:type="spellStart"/>
            <w:r w:rsidRPr="006B4B36">
              <w:rPr>
                <w:rFonts w:eastAsia="Times New Roman"/>
                <w:sz w:val="22"/>
                <w:szCs w:val="22"/>
                <w:highlight w:val="white"/>
                <w:shd w:val="clear" w:color="auto" w:fill="FEFEFE"/>
              </w:rPr>
              <w:t>ягодоплодни</w:t>
            </w:r>
            <w:proofErr w:type="spellEnd"/>
            <w:r w:rsidRPr="006B4B36">
              <w:rPr>
                <w:rFonts w:eastAsia="Times New Roman"/>
                <w:sz w:val="22"/>
                <w:szCs w:val="22"/>
                <w:highlight w:val="white"/>
                <w:shd w:val="clear" w:color="auto" w:fill="FEFEFE"/>
              </w:rPr>
              <w:t xml:space="preserve">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865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Други </w:t>
            </w:r>
            <w:proofErr w:type="spellStart"/>
            <w:r w:rsidRPr="006B4B36">
              <w:rPr>
                <w:rFonts w:eastAsia="Times New Roman"/>
                <w:sz w:val="22"/>
                <w:szCs w:val="22"/>
                <w:highlight w:val="white"/>
                <w:shd w:val="clear" w:color="auto" w:fill="FEFEFE"/>
              </w:rPr>
              <w:t>ягодоплодни</w:t>
            </w:r>
            <w:proofErr w:type="spellEnd"/>
            <w:r w:rsidRPr="006B4B36">
              <w:rPr>
                <w:rFonts w:eastAsia="Times New Roman"/>
                <w:sz w:val="22"/>
                <w:szCs w:val="22"/>
                <w:highlight w:val="white"/>
                <w:shd w:val="clear" w:color="auto" w:fill="FEFEFE"/>
              </w:rPr>
              <w:t xml:space="preserve">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865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Други </w:t>
            </w:r>
            <w:proofErr w:type="spellStart"/>
            <w:r w:rsidRPr="006B4B36">
              <w:rPr>
                <w:rFonts w:eastAsia="Times New Roman"/>
                <w:sz w:val="22"/>
                <w:szCs w:val="22"/>
                <w:highlight w:val="white"/>
                <w:shd w:val="clear" w:color="auto" w:fill="FEFEFE"/>
              </w:rPr>
              <w:t>ягодоплодни</w:t>
            </w:r>
            <w:proofErr w:type="spellEnd"/>
            <w:r w:rsidRPr="006B4B36">
              <w:rPr>
                <w:rFonts w:eastAsia="Times New Roman"/>
                <w:sz w:val="22"/>
                <w:szCs w:val="22"/>
                <w:highlight w:val="white"/>
                <w:shd w:val="clear" w:color="auto" w:fill="FEFEFE"/>
              </w:rPr>
              <w:t xml:space="preserve">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865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Други </w:t>
            </w:r>
            <w:proofErr w:type="spellStart"/>
            <w:r w:rsidRPr="006B4B36">
              <w:rPr>
                <w:rFonts w:eastAsia="Times New Roman"/>
                <w:sz w:val="22"/>
                <w:szCs w:val="22"/>
                <w:highlight w:val="white"/>
                <w:shd w:val="clear" w:color="auto" w:fill="FEFEFE"/>
              </w:rPr>
              <w:t>ягодоплодни</w:t>
            </w:r>
            <w:proofErr w:type="spellEnd"/>
            <w:r w:rsidRPr="006B4B36">
              <w:rPr>
                <w:rFonts w:eastAsia="Times New Roman"/>
                <w:sz w:val="22"/>
                <w:szCs w:val="22"/>
                <w:highlight w:val="white"/>
                <w:shd w:val="clear" w:color="auto" w:fill="FEFEFE"/>
              </w:rPr>
              <w:t xml:space="preserve">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865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vMerge/>
            <w:tcBorders>
              <w:top w:val="nil"/>
              <w:left w:val="single" w:sz="8" w:space="0" w:color="auto"/>
              <w:bottom w:val="single" w:sz="8" w:space="0" w:color="auto"/>
              <w:right w:val="single" w:sz="8" w:space="0" w:color="auto"/>
            </w:tcBorders>
            <w:shd w:val="clear" w:color="auto" w:fill="FEFEFE"/>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Други </w:t>
            </w:r>
            <w:proofErr w:type="spellStart"/>
            <w:r w:rsidRPr="006B4B36">
              <w:rPr>
                <w:rFonts w:eastAsia="Times New Roman"/>
                <w:sz w:val="22"/>
                <w:szCs w:val="22"/>
                <w:highlight w:val="white"/>
                <w:shd w:val="clear" w:color="auto" w:fill="FEFEFE"/>
              </w:rPr>
              <w:t>ягодоплодни</w:t>
            </w:r>
            <w:proofErr w:type="spellEnd"/>
            <w:r w:rsidRPr="006B4B36">
              <w:rPr>
                <w:rFonts w:eastAsia="Times New Roman"/>
                <w:sz w:val="22"/>
                <w:szCs w:val="22"/>
                <w:highlight w:val="white"/>
                <w:shd w:val="clear" w:color="auto" w:fill="FEFEFE"/>
              </w:rPr>
              <w:t xml:space="preserve"> - ..........................................................</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865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3089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Лозя - десертни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372</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3090</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Лозя - винени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389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3091</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Цветя - за рязан цвят</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8 571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3092</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Цветя - луковични растения</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8 571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3093</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Цветя - саксийни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8 571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3200</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Цветя - оранжерийни</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12 885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3199</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Производство на семена/посадъчен материал</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375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3201</w:t>
            </w:r>
          </w:p>
        </w:tc>
        <w:tc>
          <w:tcPr>
            <w:tcW w:w="342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Разсадници за трайни насаждения</w:t>
            </w:r>
          </w:p>
        </w:tc>
        <w:tc>
          <w:tcPr>
            <w:tcW w:w="544"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2 168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3095</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(угари/други)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дка</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0</w:t>
            </w:r>
          </w:p>
        </w:tc>
        <w:tc>
          <w:tcPr>
            <w:tcW w:w="1591"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30941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Култивирани гъби - култивирани печурки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w:t>
            </w:r>
            <w:r w:rsidRPr="006B4B36">
              <w:rPr>
                <w:rFonts w:eastAsia="Times New Roman"/>
                <w:sz w:val="22"/>
                <w:szCs w:val="22"/>
                <w:highlight w:val="white"/>
                <w:shd w:val="clear" w:color="auto" w:fill="FEFEFE"/>
                <w:vertAlign w:val="superscript"/>
              </w:rPr>
              <w:t>2</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30942</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Култивирани гъби - </w:t>
            </w:r>
            <w:proofErr w:type="spellStart"/>
            <w:r w:rsidRPr="006B4B36">
              <w:rPr>
                <w:rFonts w:eastAsia="Times New Roman"/>
                <w:sz w:val="22"/>
                <w:szCs w:val="22"/>
                <w:highlight w:val="white"/>
                <w:shd w:val="clear" w:color="auto" w:fill="FEFEFE"/>
              </w:rPr>
              <w:t>кладница</w:t>
            </w:r>
            <w:proofErr w:type="spellEnd"/>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w:t>
            </w:r>
            <w:r w:rsidRPr="006B4B36">
              <w:rPr>
                <w:rFonts w:eastAsia="Times New Roman"/>
                <w:sz w:val="22"/>
                <w:szCs w:val="22"/>
                <w:highlight w:val="white"/>
                <w:shd w:val="clear" w:color="auto" w:fill="FEFEFE"/>
                <w:vertAlign w:val="superscript"/>
              </w:rPr>
              <w:t>2</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4100</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Говеда и биволи - общо</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4101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Телета и малачета до 1 г.</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458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41021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Телета и малачета над 1 г. и под 2 г. мъжки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720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41022</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Телета и малачета над 1 г. и под 2 г. женски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427</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4103+4006</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Телета и малачета над 1 г. за разплод и бременни юници и бременни </w:t>
            </w:r>
            <w:proofErr w:type="spellStart"/>
            <w:r w:rsidRPr="006B4B36">
              <w:rPr>
                <w:rFonts w:eastAsia="Times New Roman"/>
                <w:sz w:val="22"/>
                <w:szCs w:val="22"/>
                <w:highlight w:val="white"/>
                <w:shd w:val="clear" w:color="auto" w:fill="FEFEFE"/>
              </w:rPr>
              <w:t>малакини</w:t>
            </w:r>
            <w:proofErr w:type="spellEnd"/>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1 018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4104+4005</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Млечни крави и биволици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2 500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4105</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Крави от месодайни породи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947</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4007</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Овце - общо</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4008 и 4106</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Овце млечни и овце месодайни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158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4112</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овце</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96</w:t>
            </w:r>
          </w:p>
        </w:tc>
        <w:tc>
          <w:tcPr>
            <w:tcW w:w="1591"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4010</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Кози - общо</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4011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Кози майки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198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4107</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кози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4013</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Свине - общо</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4014</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Свине майки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1 988</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4108</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Прасенца под 45 дни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571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4109</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Други свине</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295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4016</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Птици - общо</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4017</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Кокошки носачки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4110</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Бройлери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4019</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Пуйки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101</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4020</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Гъски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106</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4021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Патици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50</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4023</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Щрауси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739</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4022+4111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Пъдпъдъци и други птици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32</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286"/>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4024</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Зайци - общо</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591" w:type="dxa"/>
            <w:tcBorders>
              <w:top w:val="nil"/>
              <w:left w:val="nil"/>
              <w:bottom w:val="single" w:sz="8" w:space="0" w:color="auto"/>
              <w:right w:val="single" w:sz="8" w:space="0" w:color="auto"/>
            </w:tcBorders>
            <w:shd w:val="clear" w:color="auto" w:fill="BFBFBF"/>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4031</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Зайкини майки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225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4025</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Коне и други еднокопитни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525</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4027</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Пчелни семейства</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143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4029</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Буби - кутийки бубено семе</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бр.</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284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60"/>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4309</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Калифорнийски червеи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w:t>
            </w:r>
            <w:r w:rsidRPr="006B4B36">
              <w:rPr>
                <w:rFonts w:eastAsia="Times New Roman"/>
                <w:sz w:val="22"/>
                <w:szCs w:val="22"/>
                <w:highlight w:val="white"/>
                <w:shd w:val="clear" w:color="auto" w:fill="FEFEFE"/>
                <w:vertAlign w:val="superscript"/>
              </w:rPr>
              <w:t>2</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44</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286"/>
        </w:trPr>
        <w:tc>
          <w:tcPr>
            <w:tcW w:w="1296"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4030</w:t>
            </w:r>
          </w:p>
        </w:tc>
        <w:tc>
          <w:tcPr>
            <w:tcW w:w="3422"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Охлюви</w:t>
            </w:r>
          </w:p>
        </w:tc>
        <w:tc>
          <w:tcPr>
            <w:tcW w:w="544"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м</w:t>
            </w:r>
            <w:r w:rsidRPr="006B4B36">
              <w:rPr>
                <w:rFonts w:eastAsia="Times New Roman"/>
                <w:sz w:val="22"/>
                <w:szCs w:val="22"/>
                <w:highlight w:val="white"/>
                <w:shd w:val="clear" w:color="auto" w:fill="FEFEFE"/>
                <w:vertAlign w:val="superscript"/>
              </w:rPr>
              <w:t>2</w:t>
            </w:r>
          </w:p>
        </w:tc>
        <w:tc>
          <w:tcPr>
            <w:tcW w:w="1696" w:type="dxa"/>
            <w:tcBorders>
              <w:top w:val="nil"/>
              <w:left w:val="nil"/>
              <w:bottom w:val="single" w:sz="8" w:space="0" w:color="auto"/>
              <w:right w:val="single" w:sz="8" w:space="0" w:color="auto"/>
            </w:tcBorders>
            <w:shd w:val="clear" w:color="auto" w:fill="FEFEFE"/>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442"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13</w:t>
            </w:r>
          </w:p>
        </w:tc>
        <w:tc>
          <w:tcPr>
            <w:tcW w:w="1591" w:type="dxa"/>
            <w:tcBorders>
              <w:top w:val="nil"/>
              <w:left w:val="nil"/>
              <w:bottom w:val="single" w:sz="8" w:space="0" w:color="auto"/>
              <w:right w:val="single" w:sz="8" w:space="0" w:color="auto"/>
            </w:tcBorders>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780"/>
        </w:trPr>
        <w:tc>
          <w:tcPr>
            <w:tcW w:w="1296" w:type="dxa"/>
            <w:vMerge w:val="restart"/>
            <w:tcBorders>
              <w:top w:val="nil"/>
              <w:left w:val="single" w:sz="8" w:space="0" w:color="auto"/>
              <w:bottom w:val="nil"/>
              <w:right w:val="nil"/>
            </w:tcBorders>
            <w:shd w:val="clear" w:color="auto" w:fill="auto"/>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shd w:val="clear" w:color="auto" w:fill="FEFEFE"/>
              </w:rPr>
            </w:pPr>
            <w:r w:rsidRPr="006B4B36">
              <w:rPr>
                <w:rFonts w:eastAsia="Times New Roman"/>
                <w:sz w:val="22"/>
                <w:szCs w:val="22"/>
                <w:shd w:val="clear" w:color="auto" w:fill="FEFEFE"/>
              </w:rPr>
              <w:t> </w:t>
            </w:r>
          </w:p>
        </w:tc>
        <w:tc>
          <w:tcPr>
            <w:tcW w:w="3422" w:type="dxa"/>
            <w:tcBorders>
              <w:top w:val="nil"/>
              <w:left w:val="nil"/>
              <w:bottom w:val="single" w:sz="8" w:space="0" w:color="auto"/>
              <w:right w:val="nil"/>
            </w:tcBorders>
            <w:shd w:val="clear" w:color="auto" w:fill="auto"/>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shd w:val="clear" w:color="auto" w:fill="FEFEFE"/>
              </w:rPr>
            </w:pPr>
            <w:r w:rsidRPr="006B4B36">
              <w:rPr>
                <w:rFonts w:eastAsia="Times New Roman"/>
                <w:b/>
                <w:bCs/>
                <w:sz w:val="22"/>
                <w:szCs w:val="22"/>
                <w:shd w:val="clear" w:color="auto" w:fill="FEFEFE"/>
              </w:rPr>
              <w:t>ПРОВЕРКА НА ФУРАЖНИЯ БАЛАНС</w:t>
            </w:r>
          </w:p>
        </w:tc>
        <w:tc>
          <w:tcPr>
            <w:tcW w:w="2240" w:type="dxa"/>
            <w:gridSpan w:val="2"/>
            <w:vMerge w:val="restart"/>
            <w:tcBorders>
              <w:top w:val="nil"/>
              <w:left w:val="nil"/>
              <w:bottom w:val="nil"/>
              <w:right w:val="nil"/>
            </w:tcBorders>
            <w:shd w:val="clear" w:color="auto" w:fill="auto"/>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shd w:val="clear" w:color="auto" w:fill="FEFEFE"/>
              </w:rPr>
            </w:pPr>
            <w:r w:rsidRPr="006B4B36">
              <w:rPr>
                <w:rFonts w:eastAsia="Times New Roman"/>
                <w:sz w:val="22"/>
                <w:szCs w:val="22"/>
                <w:shd w:val="clear" w:color="auto" w:fill="FEFEFE"/>
              </w:rPr>
              <w:t>СПО - фуражни култури</w:t>
            </w:r>
          </w:p>
        </w:tc>
        <w:tc>
          <w:tcPr>
            <w:tcW w:w="1442" w:type="dxa"/>
            <w:vMerge w:val="restart"/>
            <w:tcBorders>
              <w:top w:val="nil"/>
              <w:left w:val="nil"/>
              <w:bottom w:val="nil"/>
              <w:right w:val="nil"/>
            </w:tcBorders>
            <w:shd w:val="clear" w:color="auto" w:fill="auto"/>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shd w:val="clear" w:color="auto" w:fill="FEFEFE"/>
              </w:rPr>
            </w:pPr>
            <w:r w:rsidRPr="006B4B36">
              <w:rPr>
                <w:rFonts w:eastAsia="Times New Roman"/>
                <w:sz w:val="22"/>
                <w:szCs w:val="22"/>
                <w:shd w:val="clear" w:color="auto" w:fill="FEFEFE"/>
              </w:rPr>
              <w:t>СПО - преживни животни, коне и други еднокопитни животни</w:t>
            </w:r>
          </w:p>
        </w:tc>
        <w:tc>
          <w:tcPr>
            <w:tcW w:w="1591" w:type="dxa"/>
            <w:vMerge w:val="restart"/>
            <w:tcBorders>
              <w:top w:val="nil"/>
              <w:left w:val="nil"/>
              <w:bottom w:val="nil"/>
              <w:right w:val="single" w:sz="8" w:space="0" w:color="auto"/>
            </w:tcBorders>
            <w:shd w:val="clear" w:color="auto" w:fill="auto"/>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shd w:val="clear" w:color="auto" w:fill="FEFEFE"/>
              </w:rPr>
            </w:pPr>
            <w:r w:rsidRPr="006B4B36">
              <w:rPr>
                <w:rFonts w:eastAsia="Times New Roman"/>
                <w:sz w:val="22"/>
                <w:szCs w:val="22"/>
                <w:shd w:val="clear" w:color="auto" w:fill="FEFEFE"/>
              </w:rPr>
              <w:t>Фуражен излишък</w:t>
            </w:r>
          </w:p>
        </w:tc>
        <w:tc>
          <w:tcPr>
            <w:tcW w:w="116" w:type="dxa"/>
            <w:tcBorders>
              <w:top w:val="nil"/>
              <w:left w:val="nil"/>
              <w:bottom w:val="nil"/>
              <w:right w:val="nil"/>
            </w:tcBorders>
            <w:shd w:val="clear" w:color="auto" w:fill="auto"/>
            <w:vAlign w:val="center"/>
          </w:tcPr>
          <w:p w:rsidR="00DC0AF7" w:rsidRPr="006B4B36" w:rsidRDefault="00DC0AF7">
            <w:pPr>
              <w:rPr>
                <w:rFonts w:eastAsia="Times New Roman"/>
                <w:sz w:val="22"/>
                <w:szCs w:val="22"/>
                <w:shd w:val="clear" w:color="auto" w:fill="FEFEFE"/>
              </w:rPr>
            </w:pPr>
            <w:r w:rsidRPr="006B4B36">
              <w:rPr>
                <w:rFonts w:eastAsia="Times New Roman"/>
                <w:sz w:val="22"/>
                <w:szCs w:val="22"/>
                <w:shd w:val="clear" w:color="auto" w:fill="FEFEFE"/>
              </w:rPr>
              <w:t> </w:t>
            </w:r>
          </w:p>
        </w:tc>
      </w:tr>
      <w:tr w:rsidR="00DC0AF7" w:rsidRPr="006B4B36" w:rsidTr="006B4B36">
        <w:tblPrEx>
          <w:tblCellMar>
            <w:top w:w="0" w:type="dxa"/>
            <w:left w:w="0" w:type="dxa"/>
            <w:bottom w:w="0" w:type="dxa"/>
            <w:right w:w="0" w:type="dxa"/>
          </w:tblCellMar>
        </w:tblPrEx>
        <w:trPr>
          <w:trHeight w:val="367"/>
        </w:trPr>
        <w:tc>
          <w:tcPr>
            <w:tcW w:w="1296" w:type="dxa"/>
            <w:vMerge/>
            <w:tcBorders>
              <w:top w:val="nil"/>
              <w:left w:val="single" w:sz="8" w:space="0" w:color="auto"/>
              <w:bottom w:val="nil"/>
              <w:right w:val="nil"/>
            </w:tcBorders>
            <w:shd w:val="clear" w:color="auto" w:fill="auto"/>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p>
        </w:tc>
        <w:tc>
          <w:tcPr>
            <w:tcW w:w="3422" w:type="dxa"/>
            <w:vMerge w:val="restart"/>
            <w:tcBorders>
              <w:top w:val="nil"/>
              <w:left w:val="nil"/>
              <w:bottom w:val="single" w:sz="8" w:space="0" w:color="auto"/>
              <w:right w:val="nil"/>
            </w:tcBorders>
            <w:shd w:val="clear" w:color="auto" w:fill="auto"/>
            <w:tcMar>
              <w:top w:w="30" w:type="dxa"/>
              <w:bottom w:w="0" w:type="dxa"/>
            </w:tcMar>
            <w:vAlign w:val="center"/>
          </w:tcPr>
          <w:p w:rsidR="00DC0AF7" w:rsidRPr="006B4B36" w:rsidRDefault="00DC0AF7">
            <w:pPr>
              <w:spacing w:before="100" w:beforeAutospacing="1" w:after="100" w:afterAutospacing="1"/>
              <w:rPr>
                <w:rFonts w:eastAsia="Times New Roman"/>
                <w:sz w:val="22"/>
                <w:szCs w:val="22"/>
                <w:shd w:val="clear" w:color="auto" w:fill="FEFEFE"/>
              </w:rPr>
            </w:pPr>
            <w:r w:rsidRPr="006B4B36">
              <w:rPr>
                <w:rFonts w:eastAsia="Times New Roman"/>
                <w:sz w:val="22"/>
                <w:szCs w:val="22"/>
                <w:shd w:val="clear" w:color="auto" w:fill="FEFEFE"/>
              </w:rPr>
              <w:t> </w:t>
            </w:r>
          </w:p>
        </w:tc>
        <w:tc>
          <w:tcPr>
            <w:tcW w:w="2240" w:type="dxa"/>
            <w:gridSpan w:val="2"/>
            <w:vMerge/>
            <w:tcBorders>
              <w:top w:val="nil"/>
              <w:left w:val="nil"/>
              <w:bottom w:val="nil"/>
              <w:right w:val="nil"/>
            </w:tcBorders>
            <w:shd w:val="clear" w:color="auto" w:fill="auto"/>
            <w:vAlign w:val="center"/>
          </w:tcPr>
          <w:p w:rsidR="00DC0AF7" w:rsidRPr="006B4B36" w:rsidRDefault="00DC0AF7">
            <w:pPr>
              <w:spacing w:before="100" w:beforeAutospacing="1" w:after="100" w:afterAutospacing="1"/>
              <w:rPr>
                <w:rFonts w:eastAsia="Times New Roman"/>
                <w:sz w:val="22"/>
                <w:szCs w:val="22"/>
                <w:shd w:val="clear" w:color="auto" w:fill="FEFEFE"/>
              </w:rPr>
            </w:pPr>
          </w:p>
        </w:tc>
        <w:tc>
          <w:tcPr>
            <w:tcW w:w="1442" w:type="dxa"/>
            <w:vMerge/>
            <w:tcBorders>
              <w:top w:val="nil"/>
              <w:left w:val="nil"/>
              <w:bottom w:val="nil"/>
              <w:right w:val="nil"/>
            </w:tcBorders>
            <w:shd w:val="clear" w:color="auto" w:fill="auto"/>
            <w:vAlign w:val="center"/>
          </w:tcPr>
          <w:p w:rsidR="00DC0AF7" w:rsidRPr="006B4B36" w:rsidRDefault="00DC0AF7">
            <w:pPr>
              <w:spacing w:before="100" w:beforeAutospacing="1" w:after="100" w:afterAutospacing="1"/>
              <w:rPr>
                <w:rFonts w:eastAsia="Times New Roman"/>
                <w:sz w:val="22"/>
                <w:szCs w:val="22"/>
                <w:shd w:val="clear" w:color="auto" w:fill="FEFEFE"/>
              </w:rPr>
            </w:pPr>
          </w:p>
        </w:tc>
        <w:tc>
          <w:tcPr>
            <w:tcW w:w="1591" w:type="dxa"/>
            <w:vMerge/>
            <w:tcBorders>
              <w:top w:val="nil"/>
              <w:left w:val="nil"/>
              <w:bottom w:val="nil"/>
              <w:right w:val="single" w:sz="8" w:space="0" w:color="auto"/>
            </w:tcBorders>
            <w:shd w:val="clear" w:color="auto" w:fill="auto"/>
            <w:vAlign w:val="center"/>
          </w:tcPr>
          <w:p w:rsidR="00DC0AF7" w:rsidRPr="006B4B36" w:rsidRDefault="00DC0AF7">
            <w:pPr>
              <w:spacing w:before="100" w:beforeAutospacing="1" w:after="100" w:afterAutospacing="1"/>
              <w:rPr>
                <w:rFonts w:eastAsia="Times New Roman"/>
                <w:sz w:val="22"/>
                <w:szCs w:val="22"/>
                <w:shd w:val="clear" w:color="auto" w:fill="FEFEFE"/>
              </w:rPr>
            </w:pP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r w:rsidR="00DC0AF7" w:rsidRPr="006B4B36" w:rsidTr="006B4B36">
        <w:tblPrEx>
          <w:tblCellMar>
            <w:top w:w="0" w:type="dxa"/>
            <w:left w:w="0" w:type="dxa"/>
            <w:bottom w:w="0" w:type="dxa"/>
            <w:right w:w="0" w:type="dxa"/>
          </w:tblCellMar>
        </w:tblPrEx>
        <w:trPr>
          <w:trHeight w:val="286"/>
        </w:trPr>
        <w:tc>
          <w:tcPr>
            <w:tcW w:w="1296" w:type="dxa"/>
            <w:tcBorders>
              <w:top w:val="nil"/>
              <w:left w:val="single" w:sz="8" w:space="0" w:color="auto"/>
              <w:bottom w:val="single" w:sz="8" w:space="0" w:color="auto"/>
              <w:right w:val="nil"/>
            </w:tcBorders>
            <w:shd w:val="clear" w:color="auto" w:fill="auto"/>
            <w:tcMar>
              <w:top w:w="30" w:type="dxa"/>
              <w:bottom w:w="0" w:type="dxa"/>
            </w:tcMar>
            <w:vAlign w:val="center"/>
          </w:tcPr>
          <w:p w:rsidR="00DC0AF7" w:rsidRPr="006B4B36" w:rsidRDefault="00DC0AF7">
            <w:pPr>
              <w:spacing w:before="100" w:beforeAutospacing="1" w:after="100" w:afterAutospacing="1"/>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c>
          <w:tcPr>
            <w:tcW w:w="3422" w:type="dxa"/>
            <w:vMerge/>
            <w:tcBorders>
              <w:top w:val="nil"/>
              <w:left w:val="nil"/>
              <w:bottom w:val="single" w:sz="4" w:space="0" w:color="auto"/>
              <w:right w:val="nil"/>
            </w:tcBorders>
            <w:shd w:val="clear" w:color="auto" w:fill="auto"/>
            <w:vAlign w:val="center"/>
          </w:tcPr>
          <w:p w:rsidR="00DC0AF7" w:rsidRPr="006B4B36" w:rsidRDefault="00DC0AF7">
            <w:pPr>
              <w:spacing w:before="100" w:beforeAutospacing="1" w:after="100" w:afterAutospacing="1"/>
              <w:rPr>
                <w:rFonts w:eastAsia="Times New Roman"/>
                <w:sz w:val="22"/>
                <w:szCs w:val="22"/>
                <w:shd w:val="clear" w:color="auto" w:fill="FEFEFE"/>
              </w:rPr>
            </w:pPr>
          </w:p>
        </w:tc>
        <w:tc>
          <w:tcPr>
            <w:tcW w:w="2240" w:type="dxa"/>
            <w:gridSpan w:val="2"/>
            <w:tcBorders>
              <w:top w:val="nil"/>
              <w:left w:val="nil"/>
              <w:bottom w:val="single" w:sz="4" w:space="0" w:color="auto"/>
              <w:right w:val="nil"/>
            </w:tcBorders>
            <w:shd w:val="clear" w:color="auto" w:fill="auto"/>
            <w:tcMar>
              <w:top w:w="30" w:type="dxa"/>
              <w:bottom w:w="0" w:type="dxa"/>
            </w:tcMar>
            <w:vAlign w:val="center"/>
          </w:tcPr>
          <w:p w:rsidR="00DC0AF7" w:rsidRPr="006B4B36" w:rsidRDefault="00DC0AF7" w:rsidP="00DC0AF7">
            <w:pPr>
              <w:spacing w:before="100" w:beforeAutospacing="1" w:after="100" w:afterAutospacing="1" w:line="262" w:lineRule="atLeast"/>
              <w:rPr>
                <w:rFonts w:eastAsia="Times New Roman"/>
                <w:sz w:val="22"/>
                <w:szCs w:val="22"/>
                <w:shd w:val="clear" w:color="auto" w:fill="FEFEFE"/>
              </w:rPr>
            </w:pPr>
            <w:r w:rsidRPr="006B4B36">
              <w:rPr>
                <w:rFonts w:eastAsia="Times New Roman"/>
                <w:sz w:val="22"/>
                <w:szCs w:val="22"/>
                <w:shd w:val="clear" w:color="auto" w:fill="FEFEFE"/>
              </w:rPr>
              <w:t>(1)</w:t>
            </w:r>
          </w:p>
          <w:p w:rsidR="00DC0AF7" w:rsidRPr="006B4B36" w:rsidRDefault="00DC0AF7" w:rsidP="00DC0AF7">
            <w:pPr>
              <w:spacing w:before="100" w:beforeAutospacing="1" w:after="100" w:afterAutospacing="1" w:line="262" w:lineRule="atLeast"/>
              <w:rPr>
                <w:rFonts w:eastAsia="Times New Roman"/>
                <w:sz w:val="22"/>
                <w:szCs w:val="22"/>
                <w:shd w:val="clear" w:color="auto" w:fill="FEFEFE"/>
              </w:rPr>
            </w:pPr>
            <w:r w:rsidRPr="006B4B36">
              <w:rPr>
                <w:rFonts w:eastAsia="Times New Roman"/>
                <w:sz w:val="22"/>
                <w:szCs w:val="22"/>
                <w:shd w:val="clear" w:color="auto" w:fill="FEFEFE"/>
              </w:rPr>
              <w:t>0</w:t>
            </w:r>
          </w:p>
        </w:tc>
        <w:tc>
          <w:tcPr>
            <w:tcW w:w="1442" w:type="dxa"/>
            <w:tcBorders>
              <w:top w:val="nil"/>
              <w:left w:val="nil"/>
              <w:bottom w:val="single" w:sz="4" w:space="0" w:color="auto"/>
              <w:right w:val="nil"/>
            </w:tcBorders>
            <w:shd w:val="clear" w:color="auto" w:fill="auto"/>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shd w:val="clear" w:color="auto" w:fill="FEFEFE"/>
              </w:rPr>
            </w:pPr>
            <w:r w:rsidRPr="006B4B36">
              <w:rPr>
                <w:rFonts w:eastAsia="Times New Roman"/>
                <w:sz w:val="22"/>
                <w:szCs w:val="22"/>
                <w:shd w:val="clear" w:color="auto" w:fill="FEFEFE"/>
              </w:rPr>
              <w:t>(2)</w:t>
            </w:r>
          </w:p>
          <w:p w:rsidR="00DC0AF7" w:rsidRPr="006B4B36" w:rsidRDefault="00DC0AF7">
            <w:pPr>
              <w:spacing w:before="100" w:beforeAutospacing="1" w:after="100" w:afterAutospacing="1" w:line="262" w:lineRule="atLeast"/>
              <w:jc w:val="center"/>
              <w:rPr>
                <w:rFonts w:eastAsia="Times New Roman"/>
                <w:sz w:val="22"/>
                <w:szCs w:val="22"/>
                <w:shd w:val="clear" w:color="auto" w:fill="FEFEFE"/>
              </w:rPr>
            </w:pPr>
            <w:r w:rsidRPr="006B4B36">
              <w:rPr>
                <w:rFonts w:eastAsia="Times New Roman"/>
                <w:sz w:val="22"/>
                <w:szCs w:val="22"/>
                <w:shd w:val="clear" w:color="auto" w:fill="FEFEFE"/>
              </w:rPr>
              <w:t>0</w:t>
            </w:r>
          </w:p>
        </w:tc>
        <w:tc>
          <w:tcPr>
            <w:tcW w:w="1591" w:type="dxa"/>
            <w:tcBorders>
              <w:top w:val="nil"/>
              <w:left w:val="nil"/>
              <w:bottom w:val="single" w:sz="4" w:space="0" w:color="auto"/>
              <w:right w:val="single" w:sz="8" w:space="0" w:color="auto"/>
            </w:tcBorders>
            <w:shd w:val="clear" w:color="auto" w:fill="auto"/>
            <w:tcMar>
              <w:top w:w="30" w:type="dxa"/>
              <w:bottom w:w="0" w:type="dxa"/>
            </w:tcMar>
            <w:vAlign w:val="center"/>
          </w:tcPr>
          <w:p w:rsidR="00DC0AF7" w:rsidRPr="006B4B36" w:rsidRDefault="00DC0AF7">
            <w:pPr>
              <w:spacing w:before="100" w:beforeAutospacing="1" w:after="100" w:afterAutospacing="1" w:line="262" w:lineRule="atLeast"/>
              <w:jc w:val="center"/>
              <w:rPr>
                <w:rFonts w:eastAsia="Times New Roman"/>
                <w:sz w:val="22"/>
                <w:szCs w:val="22"/>
                <w:shd w:val="clear" w:color="auto" w:fill="FEFEFE"/>
              </w:rPr>
            </w:pPr>
            <w:r w:rsidRPr="006B4B36">
              <w:rPr>
                <w:rFonts w:eastAsia="Times New Roman"/>
                <w:sz w:val="22"/>
                <w:szCs w:val="22"/>
                <w:shd w:val="clear" w:color="auto" w:fill="FEFEFE"/>
              </w:rPr>
              <w:t>(3)=(1)-(2)</w:t>
            </w:r>
          </w:p>
          <w:p w:rsidR="00DC0AF7" w:rsidRPr="006B4B36" w:rsidRDefault="00DC0AF7">
            <w:pPr>
              <w:spacing w:before="100" w:beforeAutospacing="1" w:after="100" w:afterAutospacing="1" w:line="262" w:lineRule="atLeast"/>
              <w:jc w:val="center"/>
              <w:rPr>
                <w:rFonts w:eastAsia="Times New Roman"/>
                <w:sz w:val="22"/>
                <w:szCs w:val="22"/>
                <w:shd w:val="clear" w:color="auto" w:fill="FEFEFE"/>
              </w:rPr>
            </w:pPr>
            <w:r w:rsidRPr="006B4B36">
              <w:rPr>
                <w:rFonts w:eastAsia="Times New Roman"/>
                <w:sz w:val="22"/>
                <w:szCs w:val="22"/>
                <w:shd w:val="clear" w:color="auto" w:fill="FEFEFE"/>
              </w:rPr>
              <w:t>0</w:t>
            </w:r>
          </w:p>
        </w:tc>
        <w:tc>
          <w:tcPr>
            <w:tcW w:w="116" w:type="dxa"/>
            <w:tcBorders>
              <w:top w:val="nil"/>
              <w:left w:val="nil"/>
              <w:bottom w:val="nil"/>
              <w:right w:val="nil"/>
            </w:tcBorders>
            <w:shd w:val="clear" w:color="auto" w:fill="FEFEFE"/>
            <w:vAlign w:val="center"/>
          </w:tcPr>
          <w:p w:rsidR="00DC0AF7" w:rsidRPr="006B4B36" w:rsidRDefault="00DC0AF7">
            <w:pPr>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c>
      </w:tr>
    </w:tbl>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tbl>
      <w:tblPr>
        <w:tblW w:w="0" w:type="auto"/>
        <w:tblLayout w:type="fixed"/>
        <w:tblCellMar>
          <w:left w:w="0" w:type="dxa"/>
          <w:right w:w="0" w:type="dxa"/>
        </w:tblCellMar>
        <w:tblLook w:val="0000" w:firstRow="0" w:lastRow="0" w:firstColumn="0" w:lastColumn="0" w:noHBand="0" w:noVBand="0"/>
      </w:tblPr>
      <w:tblGrid>
        <w:gridCol w:w="10080"/>
      </w:tblGrid>
      <w:tr w:rsidR="00DC0AF7" w:rsidRPr="006B4B36">
        <w:tblPrEx>
          <w:tblCellMar>
            <w:top w:w="0" w:type="dxa"/>
            <w:left w:w="0" w:type="dxa"/>
            <w:bottom w:w="0" w:type="dxa"/>
            <w:right w:w="0" w:type="dxa"/>
          </w:tblCellMar>
        </w:tblPrEx>
        <w:trPr>
          <w:trHeight w:val="517"/>
        </w:trPr>
        <w:tc>
          <w:tcPr>
            <w:tcW w:w="10080" w:type="dxa"/>
            <w:tcBorders>
              <w:top w:val="nil"/>
              <w:left w:val="nil"/>
              <w:bottom w:val="nil"/>
              <w:right w:val="nil"/>
            </w:tcBorders>
            <w:shd w:val="clear" w:color="auto" w:fill="FEFEFE"/>
            <w:vAlign w:val="center"/>
          </w:tcPr>
          <w:p w:rsidR="00DC0AF7" w:rsidRPr="006B4B36" w:rsidRDefault="00DC0AF7">
            <w:pPr>
              <w:spacing w:before="100" w:beforeAutospacing="1" w:after="100" w:afterAutospacing="1" w:line="262" w:lineRule="atLeast"/>
              <w:ind w:firstLine="283"/>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Фуражни култури</w:t>
            </w:r>
            <w:r w:rsidRPr="006B4B36">
              <w:rPr>
                <w:rFonts w:eastAsia="Times New Roman"/>
                <w:sz w:val="22"/>
                <w:szCs w:val="22"/>
                <w:highlight w:val="white"/>
                <w:shd w:val="clear" w:color="auto" w:fill="FEFEFE"/>
              </w:rPr>
              <w:t xml:space="preserve"> - царевица за силаж, фий, фуражни зеленчуци, люцерна, естествени ливади, пасища и мери, коноп - семена за фураж и други фуражни култури.</w:t>
            </w:r>
          </w:p>
        </w:tc>
      </w:tr>
      <w:tr w:rsidR="00DC0AF7" w:rsidRPr="006B4B36">
        <w:tblPrEx>
          <w:tblCellMar>
            <w:top w:w="0" w:type="dxa"/>
            <w:left w:w="0" w:type="dxa"/>
            <w:bottom w:w="0" w:type="dxa"/>
            <w:right w:w="0" w:type="dxa"/>
          </w:tblCellMar>
        </w:tblPrEx>
        <w:trPr>
          <w:trHeight w:val="678"/>
        </w:trPr>
        <w:tc>
          <w:tcPr>
            <w:tcW w:w="10080" w:type="dxa"/>
            <w:tcBorders>
              <w:top w:val="nil"/>
              <w:left w:val="nil"/>
              <w:bottom w:val="nil"/>
              <w:right w:val="nil"/>
            </w:tcBorders>
            <w:shd w:val="clear" w:color="auto" w:fill="FEFEFE"/>
            <w:vAlign w:val="center"/>
          </w:tcPr>
          <w:p w:rsidR="00DC0AF7" w:rsidRPr="006B4B36" w:rsidRDefault="00DC0AF7">
            <w:pPr>
              <w:spacing w:before="100" w:beforeAutospacing="1" w:after="100" w:afterAutospacing="1" w:line="262" w:lineRule="atLeast"/>
              <w:ind w:firstLine="283"/>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Преживни животни -</w:t>
            </w:r>
            <w:r w:rsidRPr="006B4B36">
              <w:rPr>
                <w:rFonts w:eastAsia="Times New Roman"/>
                <w:sz w:val="22"/>
                <w:szCs w:val="22"/>
                <w:highlight w:val="white"/>
                <w:shd w:val="clear" w:color="auto" w:fill="FEFEFE"/>
              </w:rPr>
              <w:t xml:space="preserve"> телета и малачета до 1 г.; телета и малачета над 1 г. и под 2 г. мъжки и женски; телета и малачета над 1 г. за разплод и бременни юници и бременни </w:t>
            </w:r>
            <w:proofErr w:type="spellStart"/>
            <w:r w:rsidRPr="006B4B36">
              <w:rPr>
                <w:rFonts w:eastAsia="Times New Roman"/>
                <w:sz w:val="22"/>
                <w:szCs w:val="22"/>
                <w:highlight w:val="white"/>
                <w:shd w:val="clear" w:color="auto" w:fill="FEFEFE"/>
              </w:rPr>
              <w:t>малакини</w:t>
            </w:r>
            <w:proofErr w:type="spellEnd"/>
            <w:r w:rsidRPr="006B4B36">
              <w:rPr>
                <w:rFonts w:eastAsia="Times New Roman"/>
                <w:sz w:val="22"/>
                <w:szCs w:val="22"/>
                <w:highlight w:val="white"/>
                <w:shd w:val="clear" w:color="auto" w:fill="FEFEFE"/>
              </w:rPr>
              <w:t>; млечни крави и биволици; крави от месодайни породи; овце млечни и овце месодайни; други овце; кози майки; други кози.</w:t>
            </w:r>
          </w:p>
        </w:tc>
      </w:tr>
      <w:tr w:rsidR="00DC0AF7" w:rsidRPr="006B4B36">
        <w:tblPrEx>
          <w:tblCellMar>
            <w:top w:w="0" w:type="dxa"/>
            <w:left w:w="0" w:type="dxa"/>
            <w:bottom w:w="0" w:type="dxa"/>
            <w:right w:w="0" w:type="dxa"/>
          </w:tblCellMar>
        </w:tblPrEx>
        <w:trPr>
          <w:trHeight w:val="875"/>
        </w:trPr>
        <w:tc>
          <w:tcPr>
            <w:tcW w:w="10080" w:type="dxa"/>
            <w:tcBorders>
              <w:top w:val="nil"/>
              <w:left w:val="nil"/>
              <w:bottom w:val="nil"/>
              <w:right w:val="nil"/>
            </w:tcBorders>
            <w:shd w:val="clear" w:color="auto" w:fill="FEFEFE"/>
            <w:vAlign w:val="center"/>
          </w:tcPr>
          <w:p w:rsidR="00DC0AF7" w:rsidRPr="006B4B36" w:rsidRDefault="00DC0AF7">
            <w:pPr>
              <w:spacing w:before="100" w:beforeAutospacing="1" w:after="100" w:afterAutospacing="1" w:line="262" w:lineRule="atLeast"/>
              <w:ind w:firstLine="283"/>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 xml:space="preserve">В повечето случаи стопанствата са във </w:t>
            </w:r>
            <w:r w:rsidRPr="006B4B36">
              <w:rPr>
                <w:rFonts w:eastAsia="Times New Roman"/>
                <w:b/>
                <w:bCs/>
                <w:sz w:val="22"/>
                <w:szCs w:val="22"/>
                <w:highlight w:val="white"/>
                <w:shd w:val="clear" w:color="auto" w:fill="FEFEFE"/>
              </w:rPr>
              <w:t>фуражен баланс</w:t>
            </w:r>
            <w:r w:rsidRPr="006B4B36">
              <w:rPr>
                <w:rFonts w:eastAsia="Times New Roman"/>
                <w:sz w:val="22"/>
                <w:szCs w:val="22"/>
                <w:highlight w:val="white"/>
                <w:shd w:val="clear" w:color="auto" w:fill="FEFEFE"/>
              </w:rPr>
              <w:t>, т.е. има съответствие между отглежданите от тях преживни животни, коне и други еднокопитни животни (</w:t>
            </w:r>
            <w:r w:rsidRPr="006B4B36">
              <w:rPr>
                <w:rFonts w:eastAsia="Times New Roman"/>
                <w:b/>
                <w:bCs/>
                <w:sz w:val="22"/>
                <w:szCs w:val="22"/>
                <w:highlight w:val="white"/>
                <w:shd w:val="clear" w:color="auto" w:fill="FEFEFE"/>
              </w:rPr>
              <w:t>4025</w:t>
            </w:r>
            <w:r w:rsidRPr="006B4B36">
              <w:rPr>
                <w:rFonts w:eastAsia="Times New Roman"/>
                <w:sz w:val="22"/>
                <w:szCs w:val="22"/>
                <w:highlight w:val="white"/>
                <w:shd w:val="clear" w:color="auto" w:fill="FEFEFE"/>
              </w:rPr>
              <w:t xml:space="preserve">) и фуражните култури и СПО на фуражните култури не надвишава тази на тези животни. В този случай </w:t>
            </w:r>
            <w:r w:rsidRPr="006B4B36">
              <w:rPr>
                <w:rFonts w:eastAsia="Times New Roman"/>
                <w:b/>
                <w:bCs/>
                <w:sz w:val="22"/>
                <w:szCs w:val="22"/>
                <w:highlight w:val="white"/>
                <w:shd w:val="clear" w:color="auto" w:fill="FEFEFE"/>
              </w:rPr>
              <w:t>СПО на фуражите</w:t>
            </w:r>
            <w:r w:rsidRPr="006B4B36">
              <w:rPr>
                <w:rFonts w:eastAsia="Times New Roman"/>
                <w:sz w:val="22"/>
                <w:szCs w:val="22"/>
                <w:highlight w:val="white"/>
                <w:shd w:val="clear" w:color="auto" w:fill="FEFEFE"/>
              </w:rPr>
              <w:t xml:space="preserve"> </w:t>
            </w:r>
            <w:r w:rsidRPr="006B4B36">
              <w:rPr>
                <w:rFonts w:eastAsia="Times New Roman"/>
                <w:b/>
                <w:bCs/>
                <w:sz w:val="22"/>
                <w:szCs w:val="22"/>
                <w:highlight w:val="white"/>
                <w:shd w:val="clear" w:color="auto" w:fill="FEFEFE"/>
              </w:rPr>
              <w:t>не се включва в общия икономически размер на стопанството</w:t>
            </w:r>
            <w:r w:rsidRPr="006B4B36">
              <w:rPr>
                <w:rFonts w:eastAsia="Times New Roman"/>
                <w:sz w:val="22"/>
                <w:szCs w:val="22"/>
                <w:highlight w:val="white"/>
                <w:shd w:val="clear" w:color="auto" w:fill="FEFEFE"/>
              </w:rPr>
              <w:t>.</w:t>
            </w:r>
          </w:p>
        </w:tc>
      </w:tr>
      <w:tr w:rsidR="00DC0AF7" w:rsidRPr="006B4B36">
        <w:tblPrEx>
          <w:tblCellMar>
            <w:top w:w="0" w:type="dxa"/>
            <w:left w:w="0" w:type="dxa"/>
            <w:bottom w:w="0" w:type="dxa"/>
            <w:right w:w="0" w:type="dxa"/>
          </w:tblCellMar>
        </w:tblPrEx>
        <w:trPr>
          <w:trHeight w:val="875"/>
        </w:trPr>
        <w:tc>
          <w:tcPr>
            <w:tcW w:w="10080" w:type="dxa"/>
            <w:tcBorders>
              <w:top w:val="nil"/>
              <w:left w:val="nil"/>
              <w:bottom w:val="nil"/>
              <w:right w:val="nil"/>
            </w:tcBorders>
            <w:shd w:val="clear" w:color="auto" w:fill="FEFEFE"/>
            <w:vAlign w:val="center"/>
          </w:tcPr>
          <w:p w:rsidR="00DC0AF7" w:rsidRPr="006B4B36" w:rsidRDefault="00DC0AF7">
            <w:pPr>
              <w:spacing w:before="100" w:beforeAutospacing="1" w:after="100" w:afterAutospacing="1" w:line="262" w:lineRule="atLeast"/>
              <w:ind w:firstLine="283"/>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Фуражен излишък</w:t>
            </w:r>
            <w:r w:rsidRPr="006B4B36">
              <w:rPr>
                <w:rFonts w:eastAsia="Times New Roman"/>
                <w:sz w:val="22"/>
                <w:szCs w:val="22"/>
                <w:highlight w:val="white"/>
                <w:shd w:val="clear" w:color="auto" w:fill="FEFEFE"/>
              </w:rPr>
              <w:t xml:space="preserve"> има тогава, когато СПО на фуражните култури надвишава този на преживните животни, конете и другите еднокопитни животни. В този случай </w:t>
            </w:r>
            <w:r w:rsidRPr="006B4B36">
              <w:rPr>
                <w:rFonts w:eastAsia="Times New Roman"/>
                <w:b/>
                <w:bCs/>
                <w:sz w:val="22"/>
                <w:szCs w:val="22"/>
                <w:highlight w:val="white"/>
                <w:shd w:val="clear" w:color="auto" w:fill="FEFEFE"/>
              </w:rPr>
              <w:t>разликата между сумата от СПО на фуражните култури и на преживните животни, конете и другите еднокопитни животни се включва в общия икономически размер на стопанството, а не цялата сума от СПО на фуражните култури</w:t>
            </w:r>
            <w:r w:rsidRPr="006B4B36">
              <w:rPr>
                <w:rFonts w:eastAsia="Times New Roman"/>
                <w:sz w:val="22"/>
                <w:szCs w:val="22"/>
                <w:highlight w:val="white"/>
                <w:shd w:val="clear" w:color="auto" w:fill="FEFEFE"/>
              </w:rPr>
              <w:t>.</w:t>
            </w:r>
          </w:p>
        </w:tc>
      </w:tr>
    </w:tbl>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 </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II. Указания за попълване на таблицата за изчисление на икономическия размер на земеделските стопанства</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ЗЪРНЕНО-ЖИТНИ КУЛТУРИ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3001 Обикновена (мека) пшеница</w:t>
      </w:r>
      <w:r w:rsidRPr="006B4B36">
        <w:rPr>
          <w:rFonts w:eastAsia="Times New Roman"/>
          <w:sz w:val="22"/>
          <w:szCs w:val="22"/>
          <w:highlight w:val="white"/>
          <w:shd w:val="clear" w:color="auto" w:fill="FEFEFE"/>
        </w:rPr>
        <w:t xml:space="preserve"> - включват се площите, засети с мека пшеница и </w:t>
      </w:r>
      <w:proofErr w:type="spellStart"/>
      <w:r w:rsidRPr="006B4B36">
        <w:rPr>
          <w:rFonts w:eastAsia="Times New Roman"/>
          <w:sz w:val="22"/>
          <w:szCs w:val="22"/>
          <w:highlight w:val="white"/>
          <w:shd w:val="clear" w:color="auto" w:fill="FEFEFE"/>
        </w:rPr>
        <w:t>лимец</w:t>
      </w:r>
      <w:proofErr w:type="spellEnd"/>
      <w:r w:rsidRPr="006B4B36">
        <w:rPr>
          <w:rFonts w:eastAsia="Times New Roman"/>
          <w:sz w:val="22"/>
          <w:szCs w:val="22"/>
          <w:highlight w:val="white"/>
          <w:shd w:val="clear" w:color="auto" w:fill="FEFEFE"/>
        </w:rPr>
        <w:t xml:space="preserve"> за производство на зърно. Включват се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3002 Твърда пшеница</w:t>
      </w:r>
      <w:r w:rsidRPr="006B4B36">
        <w:rPr>
          <w:rFonts w:eastAsia="Times New Roman"/>
          <w:sz w:val="22"/>
          <w:szCs w:val="22"/>
          <w:highlight w:val="white"/>
          <w:shd w:val="clear" w:color="auto" w:fill="FEFEFE"/>
        </w:rPr>
        <w:t xml:space="preserve"> - включват се площите, засети с пшеница, използвана за производство на макаронени изделия. </w:t>
      </w:r>
      <w:r w:rsidRPr="006B4B36">
        <w:rPr>
          <w:rFonts w:eastAsia="Times New Roman"/>
          <w:i/>
          <w:iCs/>
          <w:sz w:val="22"/>
          <w:szCs w:val="22"/>
          <w:highlight w:val="white"/>
          <w:shd w:val="clear" w:color="auto" w:fill="FEFEFE"/>
        </w:rPr>
        <w:t>(Да не се смесва с така наречените "силни" сортове, които са най-често мека пшеница.)</w:t>
      </w:r>
      <w:r w:rsidRPr="006B4B36">
        <w:rPr>
          <w:rFonts w:eastAsia="Times New Roman"/>
          <w:sz w:val="22"/>
          <w:szCs w:val="22"/>
          <w:highlight w:val="white"/>
          <w:shd w:val="clear" w:color="auto" w:fill="FEFEFE"/>
        </w:rPr>
        <w:t xml:space="preserve"> Включват се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3003 Ечемик</w:t>
      </w:r>
      <w:r w:rsidRPr="006B4B36">
        <w:rPr>
          <w:rFonts w:eastAsia="Times New Roman"/>
          <w:sz w:val="22"/>
          <w:szCs w:val="22"/>
          <w:highlight w:val="white"/>
          <w:shd w:val="clear" w:color="auto" w:fill="FEFEFE"/>
        </w:rPr>
        <w:t xml:space="preserve"> - включват се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3004 Ръж</w:t>
      </w:r>
      <w:r w:rsidRPr="006B4B36">
        <w:rPr>
          <w:rFonts w:eastAsia="Times New Roman"/>
          <w:sz w:val="22"/>
          <w:szCs w:val="22"/>
          <w:highlight w:val="white"/>
          <w:shd w:val="clear" w:color="auto" w:fill="FEFEFE"/>
        </w:rPr>
        <w:t xml:space="preserve"> - включват се площите, засети с ръж за зърно, и тези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 xml:space="preserve">Код 3005 </w:t>
      </w:r>
      <w:proofErr w:type="spellStart"/>
      <w:r w:rsidRPr="006B4B36">
        <w:rPr>
          <w:rFonts w:eastAsia="Times New Roman"/>
          <w:b/>
          <w:bCs/>
          <w:sz w:val="22"/>
          <w:szCs w:val="22"/>
          <w:highlight w:val="white"/>
          <w:u w:val="single"/>
          <w:shd w:val="clear" w:color="auto" w:fill="FEFEFE"/>
        </w:rPr>
        <w:t>Тритикале</w:t>
      </w:r>
      <w:proofErr w:type="spellEnd"/>
      <w:r w:rsidRPr="006B4B36">
        <w:rPr>
          <w:rFonts w:eastAsia="Times New Roman"/>
          <w:sz w:val="22"/>
          <w:szCs w:val="22"/>
          <w:highlight w:val="white"/>
          <w:shd w:val="clear" w:color="auto" w:fill="FEFEFE"/>
        </w:rPr>
        <w:t xml:space="preserve"> - включват се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3006 Овес</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3007 Царевица за зърно</w:t>
      </w:r>
      <w:r w:rsidRPr="006B4B36">
        <w:rPr>
          <w:rFonts w:eastAsia="Times New Roman"/>
          <w:b/>
          <w:bCs/>
          <w:sz w:val="22"/>
          <w:szCs w:val="22"/>
          <w:highlight w:val="white"/>
          <w:shd w:val="clear" w:color="auto" w:fill="FEFEFE"/>
        </w:rPr>
        <w:t>.</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i/>
          <w:iCs/>
          <w:sz w:val="22"/>
          <w:szCs w:val="22"/>
          <w:highlight w:val="white"/>
          <w:shd w:val="clear" w:color="auto" w:fill="FEFEFE"/>
        </w:rPr>
        <w:t>Включват се площите, заети със:</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царевица, прибрана за зърно в стадий на физиологична зрялост;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царевица за пуканки;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царевица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i/>
          <w:iCs/>
          <w:sz w:val="22"/>
          <w:szCs w:val="22"/>
          <w:highlight w:val="white"/>
          <w:shd w:val="clear" w:color="auto" w:fill="FEFEFE"/>
        </w:rPr>
        <w:t>Изключват се площите със:</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 царевица, прибрана преди физиологична зрялост </w:t>
      </w:r>
      <w:r w:rsidRPr="006B4B36">
        <w:rPr>
          <w:rFonts w:eastAsia="Times New Roman"/>
          <w:b/>
          <w:bCs/>
          <w:sz w:val="22"/>
          <w:szCs w:val="22"/>
          <w:highlight w:val="white"/>
          <w:u w:val="single"/>
          <w:shd w:val="clear" w:color="auto" w:fill="FEFEFE"/>
        </w:rPr>
        <w:t>под формата на цяло растение</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предназначена за силаж или зелено изхранване; те се отнасят към "Царевица за силаж и зелен фураж" - код 3037;</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сладка царевица, която се записва като пресен зеленчук - код 3169.</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 xml:space="preserve">Код 3008 </w:t>
      </w:r>
      <w:proofErr w:type="spellStart"/>
      <w:r w:rsidRPr="006B4B36">
        <w:rPr>
          <w:rFonts w:eastAsia="Times New Roman"/>
          <w:b/>
          <w:bCs/>
          <w:sz w:val="22"/>
          <w:szCs w:val="22"/>
          <w:highlight w:val="white"/>
          <w:u w:val="single"/>
          <w:shd w:val="clear" w:color="auto" w:fill="FEFEFE"/>
        </w:rPr>
        <w:t>Сорго</w:t>
      </w:r>
      <w:proofErr w:type="spellEnd"/>
      <w:r w:rsidRPr="006B4B36">
        <w:rPr>
          <w:rFonts w:eastAsia="Times New Roman"/>
          <w:sz w:val="22"/>
          <w:szCs w:val="22"/>
          <w:highlight w:val="white"/>
          <w:shd w:val="clear" w:color="auto" w:fill="FEFEFE"/>
        </w:rPr>
        <w:t xml:space="preserve"> - включват се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3009 Просо</w:t>
      </w:r>
      <w:r w:rsidRPr="006B4B36">
        <w:rPr>
          <w:rFonts w:eastAsia="Times New Roman"/>
          <w:sz w:val="22"/>
          <w:szCs w:val="22"/>
          <w:highlight w:val="white"/>
          <w:shd w:val="clear" w:color="auto" w:fill="FEFEFE"/>
        </w:rPr>
        <w:t xml:space="preserve"> - включват се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3010 Ориз</w:t>
      </w:r>
      <w:r w:rsidRPr="006B4B36">
        <w:rPr>
          <w:rFonts w:eastAsia="Times New Roman"/>
          <w:sz w:val="22"/>
          <w:szCs w:val="22"/>
          <w:highlight w:val="white"/>
          <w:shd w:val="clear" w:color="auto" w:fill="FEFEFE"/>
        </w:rPr>
        <w:t xml:space="preserve"> - включват се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3109 Други зърнени</w:t>
      </w:r>
      <w:r w:rsidRPr="006B4B36">
        <w:rPr>
          <w:rFonts w:eastAsia="Times New Roman"/>
          <w:sz w:val="22"/>
          <w:szCs w:val="22"/>
          <w:highlight w:val="white"/>
          <w:shd w:val="clear" w:color="auto" w:fill="FEFEFE"/>
        </w:rPr>
        <w:t xml:space="preserve"> - включват се всички останали зърнено-житни култури, необхванати от горните позиции - </w:t>
      </w:r>
      <w:proofErr w:type="spellStart"/>
      <w:r w:rsidRPr="006B4B36">
        <w:rPr>
          <w:rFonts w:eastAsia="Times New Roman"/>
          <w:sz w:val="22"/>
          <w:szCs w:val="22"/>
          <w:highlight w:val="white"/>
          <w:shd w:val="clear" w:color="auto" w:fill="FEFEFE"/>
        </w:rPr>
        <w:t>елда</w:t>
      </w:r>
      <w:proofErr w:type="spellEnd"/>
      <w:r w:rsidRPr="006B4B36">
        <w:rPr>
          <w:rFonts w:eastAsia="Times New Roman"/>
          <w:sz w:val="22"/>
          <w:szCs w:val="22"/>
          <w:highlight w:val="white"/>
          <w:shd w:val="clear" w:color="auto" w:fill="FEFEFE"/>
        </w:rPr>
        <w:t xml:space="preserve">, </w:t>
      </w:r>
      <w:proofErr w:type="spellStart"/>
      <w:r w:rsidRPr="006B4B36">
        <w:rPr>
          <w:rFonts w:eastAsia="Times New Roman"/>
          <w:sz w:val="22"/>
          <w:szCs w:val="22"/>
          <w:highlight w:val="white"/>
          <w:shd w:val="clear" w:color="auto" w:fill="FEFEFE"/>
        </w:rPr>
        <w:t>алписта</w:t>
      </w:r>
      <w:proofErr w:type="spellEnd"/>
      <w:r w:rsidRPr="006B4B36">
        <w:rPr>
          <w:rFonts w:eastAsia="Times New Roman"/>
          <w:sz w:val="22"/>
          <w:szCs w:val="22"/>
          <w:highlight w:val="white"/>
          <w:shd w:val="clear" w:color="auto" w:fill="FEFEFE"/>
        </w:rPr>
        <w:t xml:space="preserve"> и други, както и площите за семепроизводство. Зърнено-житни култури, прибирани на зелено за сено и фураж, се отнасят към код 3159 "Други фуражни култури".</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ТЕХНИЧЕСКИ КУЛТУРИ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3011 Тютюн</w:t>
      </w:r>
      <w:r w:rsidRPr="006B4B36">
        <w:rPr>
          <w:rFonts w:eastAsia="Times New Roman"/>
          <w:sz w:val="22"/>
          <w:szCs w:val="22"/>
          <w:highlight w:val="white"/>
          <w:shd w:val="clear" w:color="auto" w:fill="FEFEFE"/>
        </w:rPr>
        <w:t xml:space="preserve"> - включват се и площите с разсад (вкл. в оранжерия или парник). Изключват се площите за семепроизводство, които се отнасят в код 3199 "Производство на семена и посадъчен материал".</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3012 Хмел</w:t>
      </w:r>
      <w:r w:rsidRPr="006B4B36">
        <w:rPr>
          <w:rFonts w:eastAsia="Times New Roman"/>
          <w:sz w:val="22"/>
          <w:szCs w:val="22"/>
          <w:highlight w:val="white"/>
          <w:shd w:val="clear" w:color="auto" w:fill="FEFEFE"/>
        </w:rPr>
        <w:t xml:space="preserve"> - включат се и все още </w:t>
      </w:r>
      <w:proofErr w:type="spellStart"/>
      <w:r w:rsidRPr="006B4B36">
        <w:rPr>
          <w:rFonts w:eastAsia="Times New Roman"/>
          <w:sz w:val="22"/>
          <w:szCs w:val="22"/>
          <w:highlight w:val="white"/>
          <w:shd w:val="clear" w:color="auto" w:fill="FEFEFE"/>
        </w:rPr>
        <w:t>неплододаващи</w:t>
      </w:r>
      <w:proofErr w:type="spellEnd"/>
      <w:r w:rsidRPr="006B4B36">
        <w:rPr>
          <w:rFonts w:eastAsia="Times New Roman"/>
          <w:sz w:val="22"/>
          <w:szCs w:val="22"/>
          <w:highlight w:val="white"/>
          <w:shd w:val="clear" w:color="auto" w:fill="FEFEFE"/>
        </w:rPr>
        <w:t xml:space="preserve"> хмелни насаждения.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3013 Захарно цвекло</w:t>
      </w:r>
      <w:r w:rsidRPr="006B4B36">
        <w:rPr>
          <w:rFonts w:eastAsia="Times New Roman"/>
          <w:sz w:val="22"/>
          <w:szCs w:val="22"/>
          <w:highlight w:val="white"/>
          <w:shd w:val="clear" w:color="auto" w:fill="FEFEFE"/>
        </w:rPr>
        <w:t xml:space="preserve"> - включват се площите, заети със захарно цвекло, предназначено за производство на захар или на дестилат (без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3015 Памук</w:t>
      </w:r>
      <w:r w:rsidRPr="006B4B36">
        <w:rPr>
          <w:rFonts w:eastAsia="Times New Roman"/>
          <w:sz w:val="22"/>
          <w:szCs w:val="22"/>
          <w:highlight w:val="white"/>
          <w:shd w:val="clear" w:color="auto" w:fill="FEFEFE"/>
        </w:rPr>
        <w:t xml:space="preserve"> - изключват се площите за семепроизводство, които се отнасят в код 3199 "Производство на семена и посадъчен материал".</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3016 Лен</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с маслодаен и влакнодаен лен.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Изключват се</w:t>
      </w:r>
      <w:r w:rsidRPr="006B4B36">
        <w:rPr>
          <w:rFonts w:eastAsia="Times New Roman"/>
          <w:sz w:val="22"/>
          <w:szCs w:val="22"/>
          <w:highlight w:val="white"/>
          <w:shd w:val="clear" w:color="auto" w:fill="FEFEFE"/>
        </w:rPr>
        <w:t xml:space="preserve"> площите за семепроизводство, които се отнасят в код 3199 "Производство на семена и посадъчен материал".</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3017 Коноп</w:t>
      </w:r>
      <w:r w:rsidRPr="006B4B36">
        <w:rPr>
          <w:rFonts w:eastAsia="Times New Roman"/>
          <w:sz w:val="22"/>
          <w:szCs w:val="22"/>
          <w:highlight w:val="white"/>
          <w:shd w:val="clear" w:color="auto" w:fill="FEFEFE"/>
        </w:rPr>
        <w:t xml:space="preserve"> - изключват се площите за семепроизводство, които се отнасят в код 3199 "Производство на семена и посадъчен материал", конопени семена, непредназначени за посев (за фураж), и се отнасят към код 30412 "Коноп - семена за фураж".</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lastRenderedPageBreak/>
        <w:t>Код 3018 Слънчоглед</w:t>
      </w:r>
      <w:r w:rsidRPr="006B4B36">
        <w:rPr>
          <w:rFonts w:eastAsia="Times New Roman"/>
          <w:sz w:val="22"/>
          <w:szCs w:val="22"/>
          <w:highlight w:val="white"/>
          <w:shd w:val="clear" w:color="auto" w:fill="FEFEFE"/>
        </w:rPr>
        <w:t xml:space="preserve"> </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със слънчоглед за производство на растителни масла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Изключват се</w:t>
      </w:r>
      <w:r w:rsidRPr="006B4B36">
        <w:rPr>
          <w:rFonts w:eastAsia="Times New Roman"/>
          <w:sz w:val="22"/>
          <w:szCs w:val="22"/>
          <w:highlight w:val="white"/>
          <w:shd w:val="clear" w:color="auto" w:fill="FEFEFE"/>
        </w:rPr>
        <w:t xml:space="preserve"> площите с фуражен слънчоглед, който се прибира като цяло растение, и се отнася в код 3159 "Други фуражни култури".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3019 Рапица</w:t>
      </w:r>
      <w:r w:rsidRPr="006B4B36">
        <w:rPr>
          <w:rFonts w:eastAsia="Times New Roman"/>
          <w:sz w:val="22"/>
          <w:szCs w:val="22"/>
          <w:highlight w:val="white"/>
          <w:shd w:val="clear" w:color="auto" w:fill="FEFEFE"/>
        </w:rPr>
        <w:t xml:space="preserve"> - включват се площите, предназначени за производство на масло,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3020 Соя</w:t>
      </w:r>
      <w:r w:rsidRPr="006B4B36">
        <w:rPr>
          <w:rFonts w:eastAsia="Times New Roman"/>
          <w:sz w:val="22"/>
          <w:szCs w:val="22"/>
          <w:highlight w:val="white"/>
          <w:shd w:val="clear" w:color="auto" w:fill="FEFEFE"/>
        </w:rPr>
        <w:t xml:space="preserve"> - включват се площите със соя, отглеждана за зърно,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Изключват се</w:t>
      </w:r>
      <w:r w:rsidRPr="006B4B36">
        <w:rPr>
          <w:rFonts w:eastAsia="Times New Roman"/>
          <w:sz w:val="22"/>
          <w:szCs w:val="22"/>
          <w:highlight w:val="white"/>
          <w:shd w:val="clear" w:color="auto" w:fill="FEFEFE"/>
        </w:rPr>
        <w:t xml:space="preserve"> площите, заети със соя, прибрана като цяло растение за фураж, които се отнасят в код 3159 "Други фуражни култури".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3021 Фъстъци</w:t>
      </w:r>
      <w:r w:rsidRPr="006B4B36">
        <w:rPr>
          <w:rFonts w:eastAsia="Times New Roman"/>
          <w:sz w:val="22"/>
          <w:szCs w:val="22"/>
          <w:highlight w:val="white"/>
          <w:shd w:val="clear" w:color="auto" w:fill="FEFEFE"/>
        </w:rPr>
        <w:t xml:space="preserve"> - включват се и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3119 Други технически култури</w:t>
      </w:r>
      <w:r w:rsidRPr="006B4B36">
        <w:rPr>
          <w:rFonts w:eastAsia="Times New Roman"/>
          <w:sz w:val="22"/>
          <w:szCs w:val="22"/>
          <w:highlight w:val="white"/>
          <w:shd w:val="clear" w:color="auto" w:fill="FEFEFE"/>
        </w:rPr>
        <w:t xml:space="preserve"> - включват се площите с червено цвекло за производство на багрила, цикория за кафе, </w:t>
      </w:r>
      <w:proofErr w:type="spellStart"/>
      <w:r w:rsidRPr="006B4B36">
        <w:rPr>
          <w:rFonts w:eastAsia="Times New Roman"/>
          <w:sz w:val="22"/>
          <w:szCs w:val="22"/>
          <w:highlight w:val="white"/>
          <w:shd w:val="clear" w:color="auto" w:fill="FEFEFE"/>
        </w:rPr>
        <w:t>сорго</w:t>
      </w:r>
      <w:proofErr w:type="spellEnd"/>
      <w:r w:rsidRPr="006B4B36">
        <w:rPr>
          <w:rFonts w:eastAsia="Times New Roman"/>
          <w:sz w:val="22"/>
          <w:szCs w:val="22"/>
          <w:highlight w:val="white"/>
          <w:shd w:val="clear" w:color="auto" w:fill="FEFEFE"/>
        </w:rPr>
        <w:t xml:space="preserve"> за метли, ръж за производство на плетени изделия и др.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Включват се</w:t>
      </w:r>
      <w:r w:rsidRPr="006B4B36">
        <w:rPr>
          <w:rFonts w:eastAsia="Times New Roman"/>
          <w:sz w:val="22"/>
          <w:szCs w:val="22"/>
          <w:highlight w:val="white"/>
          <w:shd w:val="clear" w:color="auto" w:fill="FEFEFE"/>
        </w:rPr>
        <w:t xml:space="preserve"> всички неизброени по-горе маслодайни култури (тикви за семки, сусам, рицин, синап, рапица, предназначени за производство на масло). Включват се и площите за семепроизводството.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Включват се</w:t>
      </w:r>
      <w:r w:rsidRPr="006B4B36">
        <w:rPr>
          <w:rFonts w:eastAsia="Times New Roman"/>
          <w:sz w:val="22"/>
          <w:szCs w:val="22"/>
          <w:highlight w:val="white"/>
          <w:shd w:val="clear" w:color="auto" w:fill="FEFEFE"/>
        </w:rPr>
        <w:t xml:space="preserve"> всички неизброени по-горе влакнодайни култури (</w:t>
      </w:r>
      <w:proofErr w:type="spellStart"/>
      <w:r w:rsidRPr="006B4B36">
        <w:rPr>
          <w:rFonts w:eastAsia="Times New Roman"/>
          <w:sz w:val="22"/>
          <w:szCs w:val="22"/>
          <w:highlight w:val="white"/>
          <w:shd w:val="clear" w:color="auto" w:fill="FEFEFE"/>
        </w:rPr>
        <w:t>сизал</w:t>
      </w:r>
      <w:proofErr w:type="spellEnd"/>
      <w:r w:rsidRPr="006B4B36">
        <w:rPr>
          <w:rFonts w:eastAsia="Times New Roman"/>
          <w:sz w:val="22"/>
          <w:szCs w:val="22"/>
          <w:highlight w:val="white"/>
          <w:shd w:val="clear" w:color="auto" w:fill="FEFEFE"/>
        </w:rPr>
        <w:t xml:space="preserve"> и др.). Изключват се площите за семепроизводство, които се отнасят в код 3199 "Производство на семена и посадъчен материал".</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ЕТЕРИЧНОМАСЛЕНИ И ЛЕКАРСТВЕНИ КУЛТУРИ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3023 Маслодайна роза</w:t>
      </w:r>
      <w:r w:rsidRPr="006B4B36">
        <w:rPr>
          <w:rFonts w:eastAsia="Times New Roman"/>
          <w:sz w:val="22"/>
          <w:szCs w:val="22"/>
          <w:highlight w:val="white"/>
          <w:shd w:val="clear" w:color="auto" w:fill="FEFEFE"/>
        </w:rPr>
        <w:t xml:space="preserve"> - включват се площите с маслодайна роза и шипка</w:t>
      </w:r>
      <w:r w:rsidRPr="006B4B36">
        <w:rPr>
          <w:rFonts w:eastAsia="Times New Roman"/>
          <w:b/>
          <w:bCs/>
          <w:sz w:val="22"/>
          <w:szCs w:val="22"/>
          <w:highlight w:val="white"/>
          <w:shd w:val="clear" w:color="auto" w:fill="FEFEFE"/>
        </w:rPr>
        <w:t>.</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3024 Кориандър</w:t>
      </w:r>
      <w:r w:rsidRPr="006B4B36">
        <w:rPr>
          <w:rFonts w:eastAsia="Times New Roman"/>
          <w:sz w:val="22"/>
          <w:szCs w:val="22"/>
          <w:highlight w:val="white"/>
          <w:shd w:val="clear" w:color="auto" w:fill="FEFEFE"/>
        </w:rPr>
        <w:t xml:space="preserve"> </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с кориандър.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3025 Анасон</w:t>
      </w:r>
      <w:r w:rsidRPr="006B4B36">
        <w:rPr>
          <w:rFonts w:eastAsia="Times New Roman"/>
          <w:sz w:val="22"/>
          <w:szCs w:val="22"/>
          <w:highlight w:val="white"/>
          <w:shd w:val="clear" w:color="auto" w:fill="FEFEFE"/>
        </w:rPr>
        <w:t xml:space="preserve"> - включват се площите с анасон.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 xml:space="preserve">Код 3026 </w:t>
      </w:r>
      <w:proofErr w:type="spellStart"/>
      <w:r w:rsidRPr="006B4B36">
        <w:rPr>
          <w:rFonts w:eastAsia="Times New Roman"/>
          <w:b/>
          <w:bCs/>
          <w:sz w:val="22"/>
          <w:szCs w:val="22"/>
          <w:highlight w:val="white"/>
          <w:u w:val="single"/>
          <w:shd w:val="clear" w:color="auto" w:fill="FEFEFE"/>
        </w:rPr>
        <w:t>Резене</w:t>
      </w:r>
      <w:proofErr w:type="spellEnd"/>
      <w:r w:rsidRPr="006B4B36">
        <w:rPr>
          <w:rFonts w:eastAsia="Times New Roman"/>
          <w:sz w:val="22"/>
          <w:szCs w:val="22"/>
          <w:highlight w:val="white"/>
          <w:shd w:val="clear" w:color="auto" w:fill="FEFEFE"/>
        </w:rPr>
        <w:t xml:space="preserve"> - включват се площите с </w:t>
      </w:r>
      <w:proofErr w:type="spellStart"/>
      <w:r w:rsidRPr="006B4B36">
        <w:rPr>
          <w:rFonts w:eastAsia="Times New Roman"/>
          <w:sz w:val="22"/>
          <w:szCs w:val="22"/>
          <w:highlight w:val="white"/>
          <w:shd w:val="clear" w:color="auto" w:fill="FEFEFE"/>
        </w:rPr>
        <w:t>резене</w:t>
      </w:r>
      <w:proofErr w:type="spellEnd"/>
      <w:r w:rsidRPr="006B4B36">
        <w:rPr>
          <w:rFonts w:eastAsia="Times New Roman"/>
          <w:sz w:val="22"/>
          <w:szCs w:val="22"/>
          <w:highlight w:val="white"/>
          <w:shd w:val="clear" w:color="auto" w:fill="FEFEFE"/>
        </w:rPr>
        <w:t>.</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3027 Лавандула</w:t>
      </w:r>
      <w:r w:rsidRPr="006B4B36">
        <w:rPr>
          <w:rFonts w:eastAsia="Times New Roman"/>
          <w:sz w:val="22"/>
          <w:szCs w:val="22"/>
          <w:highlight w:val="white"/>
          <w:shd w:val="clear" w:color="auto" w:fill="FEFEFE"/>
        </w:rPr>
        <w:t xml:space="preserve"> - включват се площите с лавандула.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 xml:space="preserve">Код 3028 </w:t>
      </w:r>
      <w:proofErr w:type="spellStart"/>
      <w:r w:rsidRPr="006B4B36">
        <w:rPr>
          <w:rFonts w:eastAsia="Times New Roman"/>
          <w:b/>
          <w:bCs/>
          <w:sz w:val="22"/>
          <w:szCs w:val="22"/>
          <w:highlight w:val="white"/>
          <w:u w:val="single"/>
          <w:shd w:val="clear" w:color="auto" w:fill="FEFEFE"/>
        </w:rPr>
        <w:t>Салвия</w:t>
      </w:r>
      <w:proofErr w:type="spellEnd"/>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със </w:t>
      </w:r>
      <w:proofErr w:type="spellStart"/>
      <w:r w:rsidRPr="006B4B36">
        <w:rPr>
          <w:rFonts w:eastAsia="Times New Roman"/>
          <w:sz w:val="22"/>
          <w:szCs w:val="22"/>
          <w:highlight w:val="white"/>
          <w:shd w:val="clear" w:color="auto" w:fill="FEFEFE"/>
        </w:rPr>
        <w:t>салвия</w:t>
      </w:r>
      <w:proofErr w:type="spellEnd"/>
      <w:r w:rsidRPr="006B4B36">
        <w:rPr>
          <w:rFonts w:eastAsia="Times New Roman"/>
          <w:sz w:val="22"/>
          <w:szCs w:val="22"/>
          <w:highlight w:val="white"/>
          <w:shd w:val="clear" w:color="auto" w:fill="FEFEFE"/>
        </w:rPr>
        <w:t>.</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3029 Мента</w:t>
      </w:r>
      <w:r w:rsidRPr="006B4B36">
        <w:rPr>
          <w:rFonts w:eastAsia="Times New Roman"/>
          <w:sz w:val="22"/>
          <w:szCs w:val="22"/>
          <w:highlight w:val="white"/>
          <w:shd w:val="clear" w:color="auto" w:fill="FEFEFE"/>
        </w:rPr>
        <w:t xml:space="preserve"> - включват се площите с мента.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3030 Валериана</w:t>
      </w:r>
      <w:r w:rsidRPr="006B4B36">
        <w:rPr>
          <w:rFonts w:eastAsia="Times New Roman"/>
          <w:sz w:val="22"/>
          <w:szCs w:val="22"/>
          <w:highlight w:val="white"/>
          <w:shd w:val="clear" w:color="auto" w:fill="FEFEFE"/>
        </w:rPr>
        <w:t xml:space="preserve"> </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с валериана.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3129 Други етеричномаслени и лекарствени растения</w:t>
      </w:r>
      <w:r w:rsidRPr="006B4B36">
        <w:rPr>
          <w:rFonts w:eastAsia="Times New Roman"/>
          <w:sz w:val="22"/>
          <w:szCs w:val="22"/>
          <w:highlight w:val="white"/>
          <w:shd w:val="clear" w:color="auto" w:fill="FEFEFE"/>
        </w:rPr>
        <w:t xml:space="preserve"> - включват се площите с шафранов минзухар, ким, кимион, медицински мак, беладона, лайка, босилек, бял трън, блатно кокиче, блян, бял риган, </w:t>
      </w:r>
      <w:proofErr w:type="spellStart"/>
      <w:r w:rsidRPr="006B4B36">
        <w:rPr>
          <w:rFonts w:eastAsia="Times New Roman"/>
          <w:sz w:val="22"/>
          <w:szCs w:val="22"/>
          <w:highlight w:val="white"/>
          <w:shd w:val="clear" w:color="auto" w:fill="FEFEFE"/>
        </w:rPr>
        <w:t>ехинацея</w:t>
      </w:r>
      <w:proofErr w:type="spellEnd"/>
      <w:r w:rsidRPr="006B4B36">
        <w:rPr>
          <w:rFonts w:eastAsia="Times New Roman"/>
          <w:sz w:val="22"/>
          <w:szCs w:val="22"/>
          <w:highlight w:val="white"/>
          <w:shd w:val="clear" w:color="auto" w:fill="FEFEFE"/>
        </w:rPr>
        <w:t xml:space="preserve">, жълт мак, </w:t>
      </w:r>
      <w:proofErr w:type="spellStart"/>
      <w:r w:rsidRPr="006B4B36">
        <w:rPr>
          <w:rFonts w:eastAsia="Times New Roman"/>
          <w:sz w:val="22"/>
          <w:szCs w:val="22"/>
          <w:highlight w:val="white"/>
          <w:shd w:val="clear" w:color="auto" w:fill="FEFEFE"/>
        </w:rPr>
        <w:t>зим-зелен</w:t>
      </w:r>
      <w:proofErr w:type="spellEnd"/>
      <w:r w:rsidRPr="006B4B36">
        <w:rPr>
          <w:rFonts w:eastAsia="Times New Roman"/>
          <w:sz w:val="22"/>
          <w:szCs w:val="22"/>
          <w:highlight w:val="white"/>
          <w:shd w:val="clear" w:color="auto" w:fill="FEFEFE"/>
        </w:rPr>
        <w:t xml:space="preserve">, </w:t>
      </w:r>
      <w:proofErr w:type="spellStart"/>
      <w:r w:rsidRPr="006B4B36">
        <w:rPr>
          <w:rFonts w:eastAsia="Times New Roman"/>
          <w:sz w:val="22"/>
          <w:szCs w:val="22"/>
          <w:highlight w:val="white"/>
          <w:shd w:val="clear" w:color="auto" w:fill="FEFEFE"/>
        </w:rPr>
        <w:t>хизоп</w:t>
      </w:r>
      <w:proofErr w:type="spellEnd"/>
      <w:r w:rsidRPr="006B4B36">
        <w:rPr>
          <w:rFonts w:eastAsia="Times New Roman"/>
          <w:sz w:val="22"/>
          <w:szCs w:val="22"/>
          <w:highlight w:val="white"/>
          <w:shd w:val="clear" w:color="auto" w:fill="FEFEFE"/>
        </w:rPr>
        <w:t xml:space="preserve">, </w:t>
      </w:r>
      <w:proofErr w:type="spellStart"/>
      <w:r w:rsidRPr="006B4B36">
        <w:rPr>
          <w:rFonts w:eastAsia="Times New Roman"/>
          <w:sz w:val="22"/>
          <w:szCs w:val="22"/>
          <w:highlight w:val="white"/>
          <w:shd w:val="clear" w:color="auto" w:fill="FEFEFE"/>
        </w:rPr>
        <w:t>левзея</w:t>
      </w:r>
      <w:proofErr w:type="spellEnd"/>
      <w:r w:rsidRPr="006B4B36">
        <w:rPr>
          <w:rFonts w:eastAsia="Times New Roman"/>
          <w:sz w:val="22"/>
          <w:szCs w:val="22"/>
          <w:highlight w:val="white"/>
          <w:shd w:val="clear" w:color="auto" w:fill="FEFEFE"/>
        </w:rPr>
        <w:t xml:space="preserve">, маточина, мащерка, медицинска ружа, </w:t>
      </w:r>
      <w:proofErr w:type="spellStart"/>
      <w:r w:rsidRPr="006B4B36">
        <w:rPr>
          <w:rFonts w:eastAsia="Times New Roman"/>
          <w:sz w:val="22"/>
          <w:szCs w:val="22"/>
          <w:highlight w:val="white"/>
          <w:shd w:val="clear" w:color="auto" w:fill="FEFEFE"/>
        </w:rPr>
        <w:t>монарда</w:t>
      </w:r>
      <w:proofErr w:type="spellEnd"/>
      <w:r w:rsidRPr="006B4B36">
        <w:rPr>
          <w:rFonts w:eastAsia="Times New Roman"/>
          <w:sz w:val="22"/>
          <w:szCs w:val="22"/>
          <w:highlight w:val="white"/>
          <w:shd w:val="clear" w:color="auto" w:fill="FEFEFE"/>
        </w:rPr>
        <w:t xml:space="preserve">, непета, пелин, </w:t>
      </w:r>
      <w:proofErr w:type="spellStart"/>
      <w:r w:rsidRPr="006B4B36">
        <w:rPr>
          <w:rFonts w:eastAsia="Times New Roman"/>
          <w:sz w:val="22"/>
          <w:szCs w:val="22"/>
          <w:highlight w:val="white"/>
          <w:shd w:val="clear" w:color="auto" w:fill="FEFEFE"/>
        </w:rPr>
        <w:t>пиретрум</w:t>
      </w:r>
      <w:proofErr w:type="spellEnd"/>
      <w:r w:rsidRPr="006B4B36">
        <w:rPr>
          <w:rFonts w:eastAsia="Times New Roman"/>
          <w:sz w:val="22"/>
          <w:szCs w:val="22"/>
          <w:highlight w:val="white"/>
          <w:shd w:val="clear" w:color="auto" w:fill="FEFEFE"/>
        </w:rPr>
        <w:t xml:space="preserve">, розмарин, </w:t>
      </w:r>
      <w:proofErr w:type="spellStart"/>
      <w:r w:rsidRPr="006B4B36">
        <w:rPr>
          <w:rFonts w:eastAsia="Times New Roman"/>
          <w:sz w:val="22"/>
          <w:szCs w:val="22"/>
          <w:highlight w:val="white"/>
          <w:shd w:val="clear" w:color="auto" w:fill="FEFEFE"/>
        </w:rPr>
        <w:t>чувен</w:t>
      </w:r>
      <w:proofErr w:type="spellEnd"/>
      <w:r w:rsidRPr="006B4B36">
        <w:rPr>
          <w:rFonts w:eastAsia="Times New Roman"/>
          <w:sz w:val="22"/>
          <w:szCs w:val="22"/>
          <w:highlight w:val="white"/>
          <w:shd w:val="clear" w:color="auto" w:fill="FEFEFE"/>
        </w:rPr>
        <w:t xml:space="preserve">, </w:t>
      </w:r>
      <w:proofErr w:type="spellStart"/>
      <w:r w:rsidRPr="006B4B36">
        <w:rPr>
          <w:rFonts w:eastAsia="Times New Roman"/>
          <w:sz w:val="22"/>
          <w:szCs w:val="22"/>
          <w:highlight w:val="white"/>
          <w:shd w:val="clear" w:color="auto" w:fill="FEFEFE"/>
        </w:rPr>
        <w:t>майорана</w:t>
      </w:r>
      <w:proofErr w:type="spellEnd"/>
      <w:r w:rsidRPr="006B4B36">
        <w:rPr>
          <w:rFonts w:eastAsia="Times New Roman"/>
          <w:sz w:val="22"/>
          <w:szCs w:val="22"/>
          <w:highlight w:val="white"/>
          <w:shd w:val="clear" w:color="auto" w:fill="FEFEFE"/>
        </w:rPr>
        <w:t>, татул, черна меродия и др.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Изключват се</w:t>
      </w:r>
      <w:r w:rsidRPr="006B4B36">
        <w:rPr>
          <w:rFonts w:eastAsia="Times New Roman"/>
          <w:sz w:val="22"/>
          <w:szCs w:val="22"/>
          <w:highlight w:val="white"/>
          <w:shd w:val="clear" w:color="auto" w:fill="FEFEFE"/>
        </w:rPr>
        <w:t xml:space="preserve"> подправките (магданоз, джоджен, чубрица, копър), които се реализират в свежо състояние и се отнасят в код 3169 "Други зеленчуци".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Изключват се</w:t>
      </w:r>
      <w:r w:rsidRPr="006B4B36">
        <w:rPr>
          <w:rFonts w:eastAsia="Times New Roman"/>
          <w:sz w:val="22"/>
          <w:szCs w:val="22"/>
          <w:highlight w:val="white"/>
          <w:shd w:val="clear" w:color="auto" w:fill="FEFEFE"/>
        </w:rPr>
        <w:t xml:space="preserve"> площите за семепроизводство на етеричномаслените и лекарствени култури, които се отнасят в код 3199 "Производство на семена и посадъчен материал".</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ЗЪРНЕНО-БОБОВИ КУЛТУРИ (ПРОТЕИНОДАЙНИ)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3032 Фасул</w:t>
      </w:r>
      <w:r w:rsidRPr="006B4B36">
        <w:rPr>
          <w:rFonts w:eastAsia="Times New Roman"/>
          <w:sz w:val="22"/>
          <w:szCs w:val="22"/>
          <w:highlight w:val="white"/>
          <w:shd w:val="clear" w:color="auto" w:fill="FEFEFE"/>
        </w:rPr>
        <w:t xml:space="preserve"> - включват се площите със зрял фасул за зърно, който се </w:t>
      </w:r>
      <w:proofErr w:type="spellStart"/>
      <w:r w:rsidRPr="006B4B36">
        <w:rPr>
          <w:rFonts w:eastAsia="Times New Roman"/>
          <w:sz w:val="22"/>
          <w:szCs w:val="22"/>
          <w:highlight w:val="white"/>
          <w:shd w:val="clear" w:color="auto" w:fill="FEFEFE"/>
        </w:rPr>
        <w:t>реколтира</w:t>
      </w:r>
      <w:proofErr w:type="spellEnd"/>
      <w:r w:rsidRPr="006B4B36">
        <w:rPr>
          <w:rFonts w:eastAsia="Times New Roman"/>
          <w:sz w:val="22"/>
          <w:szCs w:val="22"/>
          <w:highlight w:val="white"/>
          <w:shd w:val="clear" w:color="auto" w:fill="FEFEFE"/>
        </w:rPr>
        <w:t xml:space="preserve"> при достигане на физиологична зрялост на зърната. Площите със зелен фасул се отчитат в код 3053 "Зелен фасул".</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3033 Грах</w:t>
      </w:r>
      <w:r w:rsidRPr="006B4B36">
        <w:rPr>
          <w:rFonts w:eastAsia="Times New Roman"/>
          <w:sz w:val="22"/>
          <w:szCs w:val="22"/>
          <w:highlight w:val="white"/>
          <w:shd w:val="clear" w:color="auto" w:fill="FEFEFE"/>
        </w:rPr>
        <w:t xml:space="preserve"> - включват се площите с грах </w:t>
      </w:r>
      <w:r w:rsidRPr="006B4B36">
        <w:rPr>
          <w:rFonts w:eastAsia="Times New Roman"/>
          <w:b/>
          <w:bCs/>
          <w:sz w:val="22"/>
          <w:szCs w:val="22"/>
          <w:highlight w:val="white"/>
          <w:u w:val="single"/>
          <w:shd w:val="clear" w:color="auto" w:fill="FEFEFE"/>
        </w:rPr>
        <w:t>за зърно</w:t>
      </w:r>
      <w:r w:rsidRPr="006B4B36">
        <w:rPr>
          <w:rFonts w:eastAsia="Times New Roman"/>
          <w:sz w:val="22"/>
          <w:szCs w:val="22"/>
          <w:highlight w:val="white"/>
          <w:shd w:val="clear" w:color="auto" w:fill="FEFEFE"/>
        </w:rPr>
        <w:t xml:space="preserve">, който се </w:t>
      </w:r>
      <w:proofErr w:type="spellStart"/>
      <w:r w:rsidRPr="006B4B36">
        <w:rPr>
          <w:rFonts w:eastAsia="Times New Roman"/>
          <w:sz w:val="22"/>
          <w:szCs w:val="22"/>
          <w:highlight w:val="white"/>
          <w:shd w:val="clear" w:color="auto" w:fill="FEFEFE"/>
        </w:rPr>
        <w:t>реколтира</w:t>
      </w:r>
      <w:proofErr w:type="spellEnd"/>
      <w:r w:rsidRPr="006B4B36">
        <w:rPr>
          <w:rFonts w:eastAsia="Times New Roman"/>
          <w:sz w:val="22"/>
          <w:szCs w:val="22"/>
          <w:highlight w:val="white"/>
          <w:shd w:val="clear" w:color="auto" w:fill="FEFEFE"/>
        </w:rPr>
        <w:t xml:space="preserve"> при достигане на физиологична зрялост на зърната. Площите със зелен грах се отчитат в код 3054 "Зелен грах".</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3035 Леща</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с леща.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3036 Нахут</w:t>
      </w:r>
      <w:r w:rsidRPr="006B4B36">
        <w:rPr>
          <w:rFonts w:eastAsia="Times New Roman"/>
          <w:sz w:val="22"/>
          <w:szCs w:val="22"/>
          <w:highlight w:val="white"/>
          <w:shd w:val="clear" w:color="auto" w:fill="FEFEFE"/>
        </w:rPr>
        <w:t xml:space="preserve"> - включват се площите с нахут за зърно.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 xml:space="preserve">Код 3139 Други </w:t>
      </w:r>
      <w:proofErr w:type="spellStart"/>
      <w:r w:rsidRPr="006B4B36">
        <w:rPr>
          <w:rFonts w:eastAsia="Times New Roman"/>
          <w:b/>
          <w:bCs/>
          <w:sz w:val="22"/>
          <w:szCs w:val="22"/>
          <w:highlight w:val="white"/>
          <w:u w:val="single"/>
          <w:shd w:val="clear" w:color="auto" w:fill="FEFEFE"/>
        </w:rPr>
        <w:t>протеинодайни</w:t>
      </w:r>
      <w:proofErr w:type="spellEnd"/>
      <w:r w:rsidRPr="006B4B36">
        <w:rPr>
          <w:rFonts w:eastAsia="Times New Roman"/>
          <w:sz w:val="22"/>
          <w:szCs w:val="22"/>
          <w:highlight w:val="white"/>
          <w:shd w:val="clear" w:color="auto" w:fill="FEFEFE"/>
        </w:rPr>
        <w:t xml:space="preserve"> - включват се площите с други </w:t>
      </w:r>
      <w:proofErr w:type="spellStart"/>
      <w:r w:rsidRPr="006B4B36">
        <w:rPr>
          <w:rFonts w:eastAsia="Times New Roman"/>
          <w:sz w:val="22"/>
          <w:szCs w:val="22"/>
          <w:highlight w:val="white"/>
          <w:shd w:val="clear" w:color="auto" w:fill="FEFEFE"/>
        </w:rPr>
        <w:t>протеинодайни</w:t>
      </w:r>
      <w:proofErr w:type="spellEnd"/>
      <w:r w:rsidRPr="006B4B36">
        <w:rPr>
          <w:rFonts w:eastAsia="Times New Roman"/>
          <w:sz w:val="22"/>
          <w:szCs w:val="22"/>
          <w:highlight w:val="white"/>
          <w:shd w:val="clear" w:color="auto" w:fill="FEFEFE"/>
        </w:rPr>
        <w:t xml:space="preserve"> за зърно, като бакла, </w:t>
      </w:r>
      <w:proofErr w:type="spellStart"/>
      <w:r w:rsidRPr="006B4B36">
        <w:rPr>
          <w:rFonts w:eastAsia="Times New Roman"/>
          <w:sz w:val="22"/>
          <w:szCs w:val="22"/>
          <w:highlight w:val="white"/>
          <w:shd w:val="clear" w:color="auto" w:fill="FEFEFE"/>
        </w:rPr>
        <w:t>лупина</w:t>
      </w:r>
      <w:proofErr w:type="spellEnd"/>
      <w:r w:rsidRPr="006B4B36">
        <w:rPr>
          <w:rFonts w:eastAsia="Times New Roman"/>
          <w:sz w:val="22"/>
          <w:szCs w:val="22"/>
          <w:highlight w:val="white"/>
          <w:shd w:val="clear" w:color="auto" w:fill="FEFEFE"/>
        </w:rPr>
        <w:t>, фий и др. Площите с бакла, фий, грах, грах-овес, фий-овес, които се прибират като цяло растение и са предназначени за сено или за зелено изхранване на животни, се включват съответно в код 3096 "Фий" или код 3159 "Други фуражни култури".</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ФУРАЖНИ КУЛТУРИ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3037 Царевица за силаж</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с царевица, която се </w:t>
      </w:r>
      <w:r w:rsidRPr="006B4B36">
        <w:rPr>
          <w:rFonts w:eastAsia="Times New Roman"/>
          <w:b/>
          <w:bCs/>
          <w:i/>
          <w:iCs/>
          <w:sz w:val="22"/>
          <w:szCs w:val="22"/>
          <w:highlight w:val="white"/>
          <w:shd w:val="clear" w:color="auto" w:fill="FEFEFE"/>
        </w:rPr>
        <w:t>прибира като цяло растение</w:t>
      </w:r>
      <w:r w:rsidRPr="006B4B36">
        <w:rPr>
          <w:rFonts w:eastAsia="Times New Roman"/>
          <w:sz w:val="22"/>
          <w:szCs w:val="22"/>
          <w:highlight w:val="white"/>
          <w:shd w:val="clear" w:color="auto" w:fill="FEFEFE"/>
        </w:rPr>
        <w:t xml:space="preserve"> за приготвяне на силаж, </w:t>
      </w:r>
      <w:proofErr w:type="spellStart"/>
      <w:r w:rsidRPr="006B4B36">
        <w:rPr>
          <w:rFonts w:eastAsia="Times New Roman"/>
          <w:sz w:val="22"/>
          <w:szCs w:val="22"/>
          <w:highlight w:val="white"/>
          <w:shd w:val="clear" w:color="auto" w:fill="FEFEFE"/>
        </w:rPr>
        <w:t>сенаж</w:t>
      </w:r>
      <w:proofErr w:type="spellEnd"/>
      <w:r w:rsidRPr="006B4B36">
        <w:rPr>
          <w:rFonts w:eastAsia="Times New Roman"/>
          <w:sz w:val="22"/>
          <w:szCs w:val="22"/>
          <w:highlight w:val="white"/>
          <w:shd w:val="clear" w:color="auto" w:fill="FEFEFE"/>
        </w:rPr>
        <w:t xml:space="preserve"> или за изхранване на зелено.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Площите за семепроизводство се отнасят в код 3007 "Царевица за зърно".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lastRenderedPageBreak/>
        <w:t>Код 3096 Фий</w:t>
      </w:r>
      <w:r w:rsidRPr="006B4B36">
        <w:rPr>
          <w:rFonts w:eastAsia="Times New Roman"/>
          <w:sz w:val="22"/>
          <w:szCs w:val="22"/>
          <w:highlight w:val="white"/>
          <w:shd w:val="clear" w:color="auto" w:fill="FEFEFE"/>
        </w:rPr>
        <w:t xml:space="preserve"> - включват се площите с фий, </w:t>
      </w:r>
      <w:r w:rsidRPr="006B4B36">
        <w:rPr>
          <w:rFonts w:eastAsia="Times New Roman"/>
          <w:b/>
          <w:bCs/>
          <w:i/>
          <w:iCs/>
          <w:sz w:val="22"/>
          <w:szCs w:val="22"/>
          <w:highlight w:val="white"/>
          <w:shd w:val="clear" w:color="auto" w:fill="FEFEFE"/>
        </w:rPr>
        <w:t>прибиран като цяло растение</w:t>
      </w:r>
      <w:r w:rsidRPr="006B4B36">
        <w:rPr>
          <w:rFonts w:eastAsia="Times New Roman"/>
          <w:sz w:val="22"/>
          <w:szCs w:val="22"/>
          <w:highlight w:val="white"/>
          <w:shd w:val="clear" w:color="auto" w:fill="FEFEFE"/>
        </w:rPr>
        <w:t>, предназначен за приготвянето на сено или за зелено изхранване на животни.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3149 Фуражни зеленчуци</w:t>
      </w:r>
      <w:r w:rsidRPr="006B4B36">
        <w:rPr>
          <w:rFonts w:eastAsia="Times New Roman"/>
          <w:sz w:val="22"/>
          <w:szCs w:val="22"/>
          <w:highlight w:val="white"/>
          <w:shd w:val="clear" w:color="auto" w:fill="FEFEFE"/>
        </w:rPr>
        <w:t xml:space="preserve"> - включват се следните култури, предназначени за храна на животни: фуражно зеле, фуражни моркови, фуражни тикви, фуражна ряпа, фуражно цвекло, гулия и др.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Изключват се</w:t>
      </w:r>
      <w:r w:rsidRPr="006B4B36">
        <w:rPr>
          <w:rFonts w:eastAsia="Times New Roman"/>
          <w:sz w:val="22"/>
          <w:szCs w:val="22"/>
          <w:highlight w:val="white"/>
          <w:shd w:val="clear" w:color="auto" w:fill="FEFEFE"/>
        </w:rPr>
        <w:t xml:space="preserve"> площите за семепроизводство, които се отнасят в код 3199 "Производство на семена и посадъчен материал". Пресните зеленчуци за човешка консумация се отнасят в код 3169 "Други зеленчуци".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3040 Люцерна</w:t>
      </w:r>
      <w:r w:rsidRPr="006B4B36">
        <w:rPr>
          <w:rFonts w:eastAsia="Times New Roman"/>
          <w:sz w:val="22"/>
          <w:szCs w:val="22"/>
          <w:highlight w:val="white"/>
          <w:shd w:val="clear" w:color="auto" w:fill="FEFEFE"/>
        </w:rPr>
        <w:t xml:space="preserve"> - включват се площите с люцерна, както и </w:t>
      </w:r>
      <w:r w:rsidRPr="006B4B36">
        <w:rPr>
          <w:rFonts w:eastAsia="Times New Roman"/>
          <w:b/>
          <w:bCs/>
          <w:i/>
          <w:iCs/>
          <w:sz w:val="22"/>
          <w:szCs w:val="22"/>
          <w:highlight w:val="white"/>
          <w:u w:val="single"/>
          <w:shd w:val="clear" w:color="auto" w:fill="FEFEFE"/>
        </w:rPr>
        <w:t>засети</w:t>
      </w:r>
      <w:r w:rsidRPr="006B4B36">
        <w:rPr>
          <w:rFonts w:eastAsia="Times New Roman"/>
          <w:b/>
          <w:bCs/>
          <w:sz w:val="22"/>
          <w:szCs w:val="22"/>
          <w:highlight w:val="white"/>
          <w:shd w:val="clear" w:color="auto" w:fill="FEFEFE"/>
        </w:rPr>
        <w:t xml:space="preserve"> площи</w:t>
      </w:r>
      <w:r w:rsidRPr="006B4B36">
        <w:rPr>
          <w:rFonts w:eastAsia="Times New Roman"/>
          <w:sz w:val="22"/>
          <w:szCs w:val="22"/>
          <w:highlight w:val="white"/>
          <w:shd w:val="clear" w:color="auto" w:fill="FEFEFE"/>
        </w:rPr>
        <w:t xml:space="preserve"> с чисти (обикновено &gt;80 %) или смесени фуражни бобови треви, които се </w:t>
      </w:r>
      <w:proofErr w:type="spellStart"/>
      <w:r w:rsidRPr="006B4B36">
        <w:rPr>
          <w:rFonts w:eastAsia="Times New Roman"/>
          <w:sz w:val="22"/>
          <w:szCs w:val="22"/>
          <w:highlight w:val="white"/>
          <w:shd w:val="clear" w:color="auto" w:fill="FEFEFE"/>
        </w:rPr>
        <w:t>реколтират</w:t>
      </w:r>
      <w:proofErr w:type="spellEnd"/>
      <w:r w:rsidRPr="006B4B36">
        <w:rPr>
          <w:rFonts w:eastAsia="Times New Roman"/>
          <w:sz w:val="22"/>
          <w:szCs w:val="22"/>
          <w:highlight w:val="white"/>
          <w:shd w:val="clear" w:color="auto" w:fill="FEFEFE"/>
        </w:rPr>
        <w:t xml:space="preserve"> обикновено до 5 години - люцерна, детелина, </w:t>
      </w:r>
      <w:proofErr w:type="spellStart"/>
      <w:r w:rsidRPr="006B4B36">
        <w:rPr>
          <w:rFonts w:eastAsia="Times New Roman"/>
          <w:sz w:val="22"/>
          <w:szCs w:val="22"/>
          <w:highlight w:val="white"/>
          <w:shd w:val="clear" w:color="auto" w:fill="FEFEFE"/>
        </w:rPr>
        <w:t>еспарзета</w:t>
      </w:r>
      <w:proofErr w:type="spellEnd"/>
      <w:r w:rsidRPr="006B4B36">
        <w:rPr>
          <w:rFonts w:eastAsia="Times New Roman"/>
          <w:sz w:val="22"/>
          <w:szCs w:val="22"/>
          <w:highlight w:val="white"/>
          <w:shd w:val="clear" w:color="auto" w:fill="FEFEFE"/>
        </w:rPr>
        <w:t xml:space="preserve"> и др.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3159 Други фуражни култури</w:t>
      </w:r>
      <w:r w:rsidRPr="006B4B36">
        <w:rPr>
          <w:rFonts w:eastAsia="Times New Roman"/>
          <w:sz w:val="22"/>
          <w:szCs w:val="22"/>
          <w:highlight w:val="white"/>
          <w:shd w:val="clear" w:color="auto" w:fill="FEFEFE"/>
        </w:rPr>
        <w:t xml:space="preserve"> - включват се площи, засети с едногодишни чисти или смесени фуражни култури, </w:t>
      </w:r>
      <w:r w:rsidRPr="006B4B36">
        <w:rPr>
          <w:rFonts w:eastAsia="Times New Roman"/>
          <w:b/>
          <w:bCs/>
          <w:sz w:val="22"/>
          <w:szCs w:val="22"/>
          <w:highlight w:val="white"/>
          <w:shd w:val="clear" w:color="auto" w:fill="FEFEFE"/>
        </w:rPr>
        <w:t>които се прибират като цяло растение и са предназначени за сено или зелено изхранване на животни.</w:t>
      </w:r>
      <w:r w:rsidRPr="006B4B36">
        <w:rPr>
          <w:rFonts w:eastAsia="Times New Roman"/>
          <w:sz w:val="22"/>
          <w:szCs w:val="22"/>
          <w:highlight w:val="white"/>
          <w:shd w:val="clear" w:color="auto" w:fill="FEFEFE"/>
        </w:rPr>
        <w:t xml:space="preserve"> Тук се включват: ръж, </w:t>
      </w:r>
      <w:proofErr w:type="spellStart"/>
      <w:r w:rsidRPr="006B4B36">
        <w:rPr>
          <w:rFonts w:eastAsia="Times New Roman"/>
          <w:sz w:val="22"/>
          <w:szCs w:val="22"/>
          <w:highlight w:val="white"/>
          <w:shd w:val="clear" w:color="auto" w:fill="FEFEFE"/>
        </w:rPr>
        <w:t>сорго</w:t>
      </w:r>
      <w:proofErr w:type="spellEnd"/>
      <w:r w:rsidRPr="006B4B36">
        <w:rPr>
          <w:rFonts w:eastAsia="Times New Roman"/>
          <w:sz w:val="22"/>
          <w:szCs w:val="22"/>
          <w:highlight w:val="white"/>
          <w:shd w:val="clear" w:color="auto" w:fill="FEFEFE"/>
        </w:rPr>
        <w:t xml:space="preserve">, бакла, грах, слънчоглед, </w:t>
      </w:r>
      <w:proofErr w:type="spellStart"/>
      <w:r w:rsidRPr="006B4B36">
        <w:rPr>
          <w:rFonts w:eastAsia="Times New Roman"/>
          <w:sz w:val="22"/>
          <w:szCs w:val="22"/>
          <w:highlight w:val="white"/>
          <w:shd w:val="clear" w:color="auto" w:fill="FEFEFE"/>
        </w:rPr>
        <w:t>репко</w:t>
      </w:r>
      <w:proofErr w:type="spellEnd"/>
      <w:r w:rsidRPr="006B4B36">
        <w:rPr>
          <w:rFonts w:eastAsia="Times New Roman"/>
          <w:sz w:val="22"/>
          <w:szCs w:val="22"/>
          <w:highlight w:val="white"/>
          <w:shd w:val="clear" w:color="auto" w:fill="FEFEFE"/>
        </w:rPr>
        <w:t>, използвани за сено или зелено изхранване на животни, и площите, засети със смесени бобово-житни фуражни култури (овес-грах, фий-овес и др.), без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3041 Естествени ливади</w:t>
      </w:r>
      <w:r w:rsidRPr="006B4B36">
        <w:rPr>
          <w:rFonts w:eastAsia="Times New Roman"/>
          <w:sz w:val="22"/>
          <w:szCs w:val="22"/>
          <w:highlight w:val="white"/>
          <w:shd w:val="clear" w:color="auto" w:fill="FEFEFE"/>
        </w:rPr>
        <w:t xml:space="preserve"> - включват се постоянно затревените площи, поддържани в добро състояние, приоритетно чрез косене.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30411 Пасища и мери</w:t>
      </w:r>
      <w:r w:rsidRPr="006B4B36">
        <w:rPr>
          <w:rFonts w:eastAsia="Times New Roman"/>
          <w:sz w:val="22"/>
          <w:szCs w:val="22"/>
          <w:highlight w:val="white"/>
          <w:shd w:val="clear" w:color="auto" w:fill="FEFEFE"/>
        </w:rPr>
        <w:t xml:space="preserve"> - включват се постоянно затревените площи, поддържани в добро състояние, приоритетно чрез </w:t>
      </w:r>
      <w:proofErr w:type="spellStart"/>
      <w:r w:rsidRPr="006B4B36">
        <w:rPr>
          <w:rFonts w:eastAsia="Times New Roman"/>
          <w:sz w:val="22"/>
          <w:szCs w:val="22"/>
          <w:highlight w:val="white"/>
          <w:shd w:val="clear" w:color="auto" w:fill="FEFEFE"/>
        </w:rPr>
        <w:t>пашуване</w:t>
      </w:r>
      <w:proofErr w:type="spellEnd"/>
      <w:r w:rsidRPr="006B4B36">
        <w:rPr>
          <w:rFonts w:eastAsia="Times New Roman"/>
          <w:sz w:val="22"/>
          <w:szCs w:val="22"/>
          <w:highlight w:val="white"/>
          <w:shd w:val="clear" w:color="auto" w:fill="FEFEFE"/>
        </w:rPr>
        <w:t>.</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30412 Коноп - семена за фураж</w:t>
      </w:r>
      <w:r w:rsidRPr="006B4B36">
        <w:rPr>
          <w:rFonts w:eastAsia="Times New Roman"/>
          <w:sz w:val="22"/>
          <w:szCs w:val="22"/>
          <w:highlight w:val="white"/>
          <w:shd w:val="clear" w:color="auto" w:fill="FEFEFE"/>
        </w:rPr>
        <w:t xml:space="preserve"> - включват се площи, засети с коноп за получаване на семена, предназначени за фураж.</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ПРЕСНИ ЗЕЛЕНЧУЦИ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3042 Картофи</w:t>
      </w:r>
      <w:r w:rsidRPr="006B4B36">
        <w:rPr>
          <w:rFonts w:eastAsia="Times New Roman"/>
          <w:sz w:val="22"/>
          <w:szCs w:val="22"/>
          <w:highlight w:val="white"/>
          <w:shd w:val="clear" w:color="auto" w:fill="FEFEFE"/>
        </w:rPr>
        <w:t xml:space="preserve"> - включват се площите, заети с картофи за продажба и/или за собствена консумация от стопанството. Включват се и площите с картофите за семе.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Домати</w:t>
      </w:r>
      <w:r w:rsidRPr="006B4B36">
        <w:rPr>
          <w:rFonts w:eastAsia="Times New Roman"/>
          <w:sz w:val="22"/>
          <w:szCs w:val="22"/>
          <w:highlight w:val="white"/>
          <w:shd w:val="clear" w:color="auto" w:fill="FEFEFE"/>
        </w:rPr>
        <w:t xml:space="preserve"> </w:t>
      </w:r>
      <w:r w:rsidRPr="006B4B36">
        <w:rPr>
          <w:rFonts w:eastAsia="Times New Roman"/>
          <w:b/>
          <w:bCs/>
          <w:sz w:val="22"/>
          <w:szCs w:val="22"/>
          <w:highlight w:val="white"/>
          <w:shd w:val="clear" w:color="auto" w:fill="FEFEFE"/>
        </w:rPr>
        <w:t>(без семепроизводство)</w:t>
      </w:r>
      <w:r w:rsidRPr="006B4B36">
        <w:rPr>
          <w:rFonts w:eastAsia="Times New Roman"/>
          <w:sz w:val="22"/>
          <w:szCs w:val="22"/>
          <w:highlight w:val="white"/>
          <w:shd w:val="clear" w:color="auto" w:fill="FEFEFE"/>
        </w:rPr>
        <w:t xml:space="preserve"> - в зависимост от начина им на отглеждане се разделят на: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3048 и 30481 Домати - открито производство</w:t>
      </w:r>
      <w:r w:rsidRPr="006B4B36">
        <w:rPr>
          <w:rFonts w:eastAsia="Times New Roman"/>
          <w:sz w:val="22"/>
          <w:szCs w:val="22"/>
          <w:highlight w:val="white"/>
          <w:shd w:val="clear" w:color="auto" w:fill="FEFEFE"/>
        </w:rPr>
        <w:t xml:space="preserve"> - включват се доматите, отглеждани на открито. Включват се и площите с домати, които се отглеждат под ниски стъклени или </w:t>
      </w:r>
      <w:proofErr w:type="spellStart"/>
      <w:r w:rsidRPr="006B4B36">
        <w:rPr>
          <w:rFonts w:eastAsia="Times New Roman"/>
          <w:sz w:val="22"/>
          <w:szCs w:val="22"/>
          <w:highlight w:val="white"/>
          <w:shd w:val="clear" w:color="auto" w:fill="FEFEFE"/>
        </w:rPr>
        <w:t>полиетиленови</w:t>
      </w:r>
      <w:proofErr w:type="spellEnd"/>
      <w:r w:rsidRPr="006B4B36">
        <w:rPr>
          <w:rFonts w:eastAsia="Times New Roman"/>
          <w:sz w:val="22"/>
          <w:szCs w:val="22"/>
          <w:highlight w:val="white"/>
          <w:shd w:val="clear" w:color="auto" w:fill="FEFEFE"/>
        </w:rPr>
        <w:t xml:space="preserve"> покрития.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30482 Домати - оранжерийно производство</w:t>
      </w:r>
      <w:r w:rsidRPr="006B4B36">
        <w:rPr>
          <w:rFonts w:eastAsia="Times New Roman"/>
          <w:sz w:val="22"/>
          <w:szCs w:val="22"/>
          <w:highlight w:val="white"/>
          <w:shd w:val="clear" w:color="auto" w:fill="FEFEFE"/>
        </w:rPr>
        <w:t xml:space="preserve"> - включват се доматите, които се отглеждат в стъклени или </w:t>
      </w:r>
      <w:proofErr w:type="spellStart"/>
      <w:r w:rsidRPr="006B4B36">
        <w:rPr>
          <w:rFonts w:eastAsia="Times New Roman"/>
          <w:sz w:val="22"/>
          <w:szCs w:val="22"/>
          <w:highlight w:val="white"/>
          <w:shd w:val="clear" w:color="auto" w:fill="FEFEFE"/>
        </w:rPr>
        <w:t>полиетиленови</w:t>
      </w:r>
      <w:proofErr w:type="spellEnd"/>
      <w:r w:rsidRPr="006B4B36">
        <w:rPr>
          <w:rFonts w:eastAsia="Times New Roman"/>
          <w:sz w:val="22"/>
          <w:szCs w:val="22"/>
          <w:highlight w:val="white"/>
          <w:shd w:val="clear" w:color="auto" w:fill="FEFEFE"/>
        </w:rPr>
        <w:t xml:space="preserve"> оранжерии, в </w:t>
      </w:r>
      <w:r w:rsidRPr="006B4B36">
        <w:rPr>
          <w:rFonts w:eastAsia="Times New Roman"/>
          <w:b/>
          <w:bCs/>
          <w:sz w:val="22"/>
          <w:szCs w:val="22"/>
          <w:highlight w:val="white"/>
          <w:shd w:val="clear" w:color="auto" w:fill="FEFEFE"/>
        </w:rPr>
        <w:t>които човек може да работи изправен.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Когато една и съща оранжерийна площ се използва няколко пъти, тя се отчита само веднъж</w:t>
      </w:r>
      <w:r w:rsidRPr="006B4B36">
        <w:rPr>
          <w:rFonts w:eastAsia="Times New Roman"/>
          <w:sz w:val="22"/>
          <w:szCs w:val="22"/>
          <w:highlight w:val="white"/>
          <w:shd w:val="clear" w:color="auto" w:fill="FEFEFE"/>
        </w:rPr>
        <w:t>, като при отчитането се взема предвид културата с най-висок стандартен производствен обем/стандартна продукция.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Краставици (без семепроизводство)</w:t>
      </w:r>
      <w:r w:rsidRPr="006B4B36">
        <w:rPr>
          <w:rFonts w:eastAsia="Times New Roman"/>
          <w:sz w:val="22"/>
          <w:szCs w:val="22"/>
          <w:highlight w:val="white"/>
          <w:shd w:val="clear" w:color="auto" w:fill="FEFEFE"/>
        </w:rPr>
        <w:t xml:space="preserve"> - в зависимост от начина им на отглеждане се разделят на: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3050 и 30501 Краставици - открито производство</w:t>
      </w:r>
      <w:r w:rsidRPr="006B4B36">
        <w:rPr>
          <w:rFonts w:eastAsia="Times New Roman"/>
          <w:sz w:val="22"/>
          <w:szCs w:val="22"/>
          <w:highlight w:val="white"/>
          <w:shd w:val="clear" w:color="auto" w:fill="FEFEFE"/>
        </w:rPr>
        <w:t xml:space="preserve"> - включват се площите с краставици, които </w:t>
      </w:r>
      <w:r w:rsidRPr="006B4B36">
        <w:rPr>
          <w:rFonts w:eastAsia="Times New Roman"/>
          <w:b/>
          <w:bCs/>
          <w:sz w:val="22"/>
          <w:szCs w:val="22"/>
          <w:highlight w:val="white"/>
          <w:shd w:val="clear" w:color="auto" w:fill="FEFEFE"/>
        </w:rPr>
        <w:t>се отглеждат на открито.</w:t>
      </w:r>
      <w:r w:rsidRPr="006B4B36">
        <w:rPr>
          <w:rFonts w:eastAsia="Times New Roman"/>
          <w:sz w:val="22"/>
          <w:szCs w:val="22"/>
          <w:highlight w:val="white"/>
          <w:shd w:val="clear" w:color="auto" w:fill="FEFEFE"/>
        </w:rPr>
        <w:t xml:space="preserve"> Включват се и площите с краставици, които се отглеждат под ниски стъклени или </w:t>
      </w:r>
      <w:proofErr w:type="spellStart"/>
      <w:r w:rsidRPr="006B4B36">
        <w:rPr>
          <w:rFonts w:eastAsia="Times New Roman"/>
          <w:sz w:val="22"/>
          <w:szCs w:val="22"/>
          <w:highlight w:val="white"/>
          <w:shd w:val="clear" w:color="auto" w:fill="FEFEFE"/>
        </w:rPr>
        <w:t>полиетиленови</w:t>
      </w:r>
      <w:proofErr w:type="spellEnd"/>
      <w:r w:rsidRPr="006B4B36">
        <w:rPr>
          <w:rFonts w:eastAsia="Times New Roman"/>
          <w:sz w:val="22"/>
          <w:szCs w:val="22"/>
          <w:highlight w:val="white"/>
          <w:shd w:val="clear" w:color="auto" w:fill="FEFEFE"/>
        </w:rPr>
        <w:t xml:space="preserve"> покрития.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30502 Краставици - оранжерийно производство</w:t>
      </w:r>
      <w:r w:rsidRPr="006B4B36">
        <w:rPr>
          <w:rFonts w:eastAsia="Times New Roman"/>
          <w:sz w:val="22"/>
          <w:szCs w:val="22"/>
          <w:highlight w:val="white"/>
          <w:shd w:val="clear" w:color="auto" w:fill="FEFEFE"/>
        </w:rPr>
        <w:t xml:space="preserve"> - включват се площите с краставици, които се отглеждат в стъклени или </w:t>
      </w:r>
      <w:proofErr w:type="spellStart"/>
      <w:r w:rsidRPr="006B4B36">
        <w:rPr>
          <w:rFonts w:eastAsia="Times New Roman"/>
          <w:sz w:val="22"/>
          <w:szCs w:val="22"/>
          <w:highlight w:val="white"/>
          <w:shd w:val="clear" w:color="auto" w:fill="FEFEFE"/>
        </w:rPr>
        <w:t>полиетиленови</w:t>
      </w:r>
      <w:proofErr w:type="spellEnd"/>
      <w:r w:rsidRPr="006B4B36">
        <w:rPr>
          <w:rFonts w:eastAsia="Times New Roman"/>
          <w:sz w:val="22"/>
          <w:szCs w:val="22"/>
          <w:highlight w:val="white"/>
          <w:shd w:val="clear" w:color="auto" w:fill="FEFEFE"/>
        </w:rPr>
        <w:t xml:space="preserve"> оранжерии, в </w:t>
      </w:r>
      <w:r w:rsidRPr="006B4B36">
        <w:rPr>
          <w:rFonts w:eastAsia="Times New Roman"/>
          <w:b/>
          <w:bCs/>
          <w:sz w:val="22"/>
          <w:szCs w:val="22"/>
          <w:highlight w:val="white"/>
          <w:shd w:val="clear" w:color="auto" w:fill="FEFEFE"/>
        </w:rPr>
        <w:t>които човек може да работи изправен.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Когато една и съща оранжерийна площ се използва няколко пъти, тя се отчита само веднъж,</w:t>
      </w:r>
      <w:r w:rsidRPr="006B4B36">
        <w:rPr>
          <w:rFonts w:eastAsia="Times New Roman"/>
          <w:sz w:val="22"/>
          <w:szCs w:val="22"/>
          <w:highlight w:val="white"/>
          <w:shd w:val="clear" w:color="auto" w:fill="FEFEFE"/>
        </w:rPr>
        <w:t xml:space="preserve"> като при отчитането се взема предвид културата с най-висок стандартен производствен обем/стандартна продукция.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Пипер (без семепроизводство)</w:t>
      </w:r>
      <w:r w:rsidRPr="006B4B36">
        <w:rPr>
          <w:rFonts w:eastAsia="Times New Roman"/>
          <w:sz w:val="22"/>
          <w:szCs w:val="22"/>
          <w:highlight w:val="white"/>
          <w:shd w:val="clear" w:color="auto" w:fill="FEFEFE"/>
        </w:rPr>
        <w:t xml:space="preserve"> - в зависимост от начина на отглеждане се разделя на: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3052 и 30521 Пипер - открито производство</w:t>
      </w:r>
      <w:r w:rsidRPr="006B4B36">
        <w:rPr>
          <w:rFonts w:eastAsia="Times New Roman"/>
          <w:sz w:val="22"/>
          <w:szCs w:val="22"/>
          <w:highlight w:val="white"/>
          <w:shd w:val="clear" w:color="auto" w:fill="FEFEFE"/>
        </w:rPr>
        <w:t xml:space="preserve"> - включват се площите с пипер, който се отглежда на открито. Включват се и площите с пипер, които се отглеждат под ниски стъклени или </w:t>
      </w:r>
      <w:proofErr w:type="spellStart"/>
      <w:r w:rsidRPr="006B4B36">
        <w:rPr>
          <w:rFonts w:eastAsia="Times New Roman"/>
          <w:sz w:val="22"/>
          <w:szCs w:val="22"/>
          <w:highlight w:val="white"/>
          <w:shd w:val="clear" w:color="auto" w:fill="FEFEFE"/>
        </w:rPr>
        <w:t>полиетиленови</w:t>
      </w:r>
      <w:proofErr w:type="spellEnd"/>
      <w:r w:rsidRPr="006B4B36">
        <w:rPr>
          <w:rFonts w:eastAsia="Times New Roman"/>
          <w:sz w:val="22"/>
          <w:szCs w:val="22"/>
          <w:highlight w:val="white"/>
          <w:shd w:val="clear" w:color="auto" w:fill="FEFEFE"/>
        </w:rPr>
        <w:t xml:space="preserve"> покрития.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30522 Пипер - оранжерийно производство</w:t>
      </w:r>
      <w:r w:rsidRPr="006B4B36">
        <w:rPr>
          <w:rFonts w:eastAsia="Times New Roman"/>
          <w:sz w:val="22"/>
          <w:szCs w:val="22"/>
          <w:highlight w:val="white"/>
          <w:shd w:val="clear" w:color="auto" w:fill="FEFEFE"/>
        </w:rPr>
        <w:t xml:space="preserve"> - включват се площите с пипер, който се отглежда в стъклени или </w:t>
      </w:r>
      <w:proofErr w:type="spellStart"/>
      <w:r w:rsidRPr="006B4B36">
        <w:rPr>
          <w:rFonts w:eastAsia="Times New Roman"/>
          <w:sz w:val="22"/>
          <w:szCs w:val="22"/>
          <w:highlight w:val="white"/>
          <w:shd w:val="clear" w:color="auto" w:fill="FEFEFE"/>
        </w:rPr>
        <w:t>полиетиленови</w:t>
      </w:r>
      <w:proofErr w:type="spellEnd"/>
      <w:r w:rsidRPr="006B4B36">
        <w:rPr>
          <w:rFonts w:eastAsia="Times New Roman"/>
          <w:sz w:val="22"/>
          <w:szCs w:val="22"/>
          <w:highlight w:val="white"/>
          <w:shd w:val="clear" w:color="auto" w:fill="FEFEFE"/>
        </w:rPr>
        <w:t xml:space="preserve"> оранжерии, в </w:t>
      </w:r>
      <w:r w:rsidRPr="006B4B36">
        <w:rPr>
          <w:rFonts w:eastAsia="Times New Roman"/>
          <w:b/>
          <w:bCs/>
          <w:sz w:val="22"/>
          <w:szCs w:val="22"/>
          <w:highlight w:val="white"/>
          <w:shd w:val="clear" w:color="auto" w:fill="FEFEFE"/>
        </w:rPr>
        <w:t>които човек може да работи изправен.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Когато една и съща оранжерийна площ се използва няколко пъти, тя се отчита само веднъж,</w:t>
      </w:r>
      <w:r w:rsidRPr="006B4B36">
        <w:rPr>
          <w:rFonts w:eastAsia="Times New Roman"/>
          <w:sz w:val="22"/>
          <w:szCs w:val="22"/>
          <w:highlight w:val="white"/>
          <w:shd w:val="clear" w:color="auto" w:fill="FEFEFE"/>
        </w:rPr>
        <w:t xml:space="preserve"> като при отчитането се взема предвид културата с най-висок стандартен производствен обем/стандартна продукция.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3053 Зелен фасул</w:t>
      </w:r>
      <w:r w:rsidRPr="006B4B36">
        <w:rPr>
          <w:rFonts w:eastAsia="Times New Roman"/>
          <w:sz w:val="22"/>
          <w:szCs w:val="22"/>
          <w:highlight w:val="white"/>
          <w:shd w:val="clear" w:color="auto" w:fill="FEFEFE"/>
        </w:rPr>
        <w:t xml:space="preserve"> - не се включват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3054 Зелен грах</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не се включват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lastRenderedPageBreak/>
        <w:t>Код 3058 Тикви</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и площите за семепроизводство, но се изключват площите, заети с тикви за семки за производство на масло.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3059 Дини</w:t>
      </w:r>
      <w:r w:rsidRPr="006B4B36">
        <w:rPr>
          <w:rFonts w:eastAsia="Times New Roman"/>
          <w:sz w:val="22"/>
          <w:szCs w:val="22"/>
          <w:highlight w:val="white"/>
          <w:shd w:val="clear" w:color="auto" w:fill="FEFEFE"/>
        </w:rPr>
        <w:t xml:space="preserve"> - не се включват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3060 Пъпеши</w:t>
      </w:r>
      <w:r w:rsidRPr="006B4B36">
        <w:rPr>
          <w:rFonts w:eastAsia="Times New Roman"/>
          <w:sz w:val="22"/>
          <w:szCs w:val="22"/>
          <w:highlight w:val="white"/>
          <w:shd w:val="clear" w:color="auto" w:fill="FEFEFE"/>
        </w:rPr>
        <w:t xml:space="preserve"> - не се включват площите за семепроизводство.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3169 Други зеленчуци</w:t>
      </w:r>
      <w:r w:rsidRPr="006B4B36">
        <w:rPr>
          <w:rFonts w:eastAsia="Times New Roman"/>
          <w:sz w:val="22"/>
          <w:szCs w:val="22"/>
          <w:highlight w:val="white"/>
          <w:shd w:val="clear" w:color="auto" w:fill="FEFEFE"/>
        </w:rPr>
        <w:t xml:space="preserve"> - включват се площите с всички зеленчуци, неспоменати по-горе, използвани за човешка консумация: салата, марули, спанак, зеле, карфиол, </w:t>
      </w:r>
      <w:proofErr w:type="spellStart"/>
      <w:r w:rsidRPr="006B4B36">
        <w:rPr>
          <w:rFonts w:eastAsia="Times New Roman"/>
          <w:sz w:val="22"/>
          <w:szCs w:val="22"/>
          <w:highlight w:val="white"/>
          <w:shd w:val="clear" w:color="auto" w:fill="FEFEFE"/>
        </w:rPr>
        <w:t>броколи</w:t>
      </w:r>
      <w:proofErr w:type="spellEnd"/>
      <w:r w:rsidRPr="006B4B36">
        <w:rPr>
          <w:rFonts w:eastAsia="Times New Roman"/>
          <w:sz w:val="22"/>
          <w:szCs w:val="22"/>
          <w:highlight w:val="white"/>
          <w:shd w:val="clear" w:color="auto" w:fill="FEFEFE"/>
        </w:rPr>
        <w:t xml:space="preserve">, тиквички, лук, чесън, моркови, патладжан, зелена бакла, бамя, </w:t>
      </w:r>
      <w:proofErr w:type="spellStart"/>
      <w:r w:rsidRPr="006B4B36">
        <w:rPr>
          <w:rFonts w:eastAsia="Times New Roman"/>
          <w:sz w:val="22"/>
          <w:szCs w:val="22"/>
          <w:highlight w:val="white"/>
          <w:shd w:val="clear" w:color="auto" w:fill="FEFEFE"/>
        </w:rPr>
        <w:t>корнишони</w:t>
      </w:r>
      <w:proofErr w:type="spellEnd"/>
      <w:r w:rsidRPr="006B4B36">
        <w:rPr>
          <w:rFonts w:eastAsia="Times New Roman"/>
          <w:sz w:val="22"/>
          <w:szCs w:val="22"/>
          <w:highlight w:val="white"/>
          <w:shd w:val="clear" w:color="auto" w:fill="FEFEFE"/>
        </w:rPr>
        <w:t>, сладка царевица, подправки - магданоз, чубрица, джоджен, копър и др.</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ТРАЙНИ НАСАЖДЕНИЯ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i/>
          <w:iCs/>
          <w:sz w:val="22"/>
          <w:szCs w:val="22"/>
          <w:highlight w:val="white"/>
          <w:u w:val="single"/>
          <w:shd w:val="clear" w:color="auto" w:fill="FEFEFE"/>
        </w:rPr>
        <w:t>Овощни насаждения:</w:t>
      </w:r>
      <w:r w:rsidRPr="006B4B36">
        <w:rPr>
          <w:rFonts w:eastAsia="Times New Roman"/>
          <w:sz w:val="22"/>
          <w:szCs w:val="22"/>
          <w:highlight w:val="white"/>
          <w:shd w:val="clear" w:color="auto" w:fill="FEFEFE"/>
        </w:rPr>
        <w:t xml:space="preserve"> </w:t>
      </w:r>
      <w:r w:rsidRPr="006B4B36">
        <w:rPr>
          <w:rFonts w:eastAsia="Times New Roman"/>
          <w:b/>
          <w:bCs/>
          <w:sz w:val="22"/>
          <w:szCs w:val="22"/>
          <w:highlight w:val="white"/>
          <w:u w:val="single"/>
          <w:shd w:val="clear" w:color="auto" w:fill="FEFEFE"/>
        </w:rPr>
        <w:t>кодове от 3068 до 3075 и код 3179</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заети с овощни насаждения от следните видове: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&gt;</w:t>
      </w:r>
      <w:r w:rsidRPr="006B4B36">
        <w:rPr>
          <w:rFonts w:eastAsia="Times New Roman"/>
          <w:b/>
          <w:bCs/>
          <w:i/>
          <w:iCs/>
          <w:sz w:val="22"/>
          <w:szCs w:val="22"/>
          <w:highlight w:val="white"/>
          <w:shd w:val="clear" w:color="auto" w:fill="FEFEFE"/>
        </w:rPr>
        <w:t>Семкови:</w:t>
      </w:r>
      <w:r w:rsidRPr="006B4B36">
        <w:rPr>
          <w:rFonts w:eastAsia="Times New Roman"/>
          <w:sz w:val="22"/>
          <w:szCs w:val="22"/>
          <w:highlight w:val="white"/>
          <w:shd w:val="clear" w:color="auto" w:fill="FEFEFE"/>
        </w:rPr>
        <w:t xml:space="preserve"> ябълки, круши, дюли и др.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&gt;</w:t>
      </w:r>
      <w:r w:rsidRPr="006B4B36">
        <w:rPr>
          <w:rFonts w:eastAsia="Times New Roman"/>
          <w:b/>
          <w:bCs/>
          <w:i/>
          <w:iCs/>
          <w:sz w:val="22"/>
          <w:szCs w:val="22"/>
          <w:highlight w:val="white"/>
          <w:shd w:val="clear" w:color="auto" w:fill="FEFEFE"/>
        </w:rPr>
        <w:t>Костилкови:</w:t>
      </w:r>
      <w:r w:rsidRPr="006B4B36">
        <w:rPr>
          <w:rFonts w:eastAsia="Times New Roman"/>
          <w:sz w:val="22"/>
          <w:szCs w:val="22"/>
          <w:highlight w:val="white"/>
          <w:shd w:val="clear" w:color="auto" w:fill="FEFEFE"/>
        </w:rPr>
        <w:t xml:space="preserve"> праскови, </w:t>
      </w:r>
      <w:proofErr w:type="spellStart"/>
      <w:r w:rsidRPr="006B4B36">
        <w:rPr>
          <w:rFonts w:eastAsia="Times New Roman"/>
          <w:sz w:val="22"/>
          <w:szCs w:val="22"/>
          <w:highlight w:val="white"/>
          <w:shd w:val="clear" w:color="auto" w:fill="FEFEFE"/>
        </w:rPr>
        <w:t>нектарини</w:t>
      </w:r>
      <w:proofErr w:type="spellEnd"/>
      <w:r w:rsidRPr="006B4B36">
        <w:rPr>
          <w:rFonts w:eastAsia="Times New Roman"/>
          <w:sz w:val="22"/>
          <w:szCs w:val="22"/>
          <w:highlight w:val="white"/>
          <w:shd w:val="clear" w:color="auto" w:fill="FEFEFE"/>
        </w:rPr>
        <w:t>, кайсии, зарзали, сливи, джанки, череши и вишни.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3078 Орехи</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заети с орехи.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3079 Бадеми</w:t>
      </w:r>
      <w:r w:rsidRPr="006B4B36">
        <w:rPr>
          <w:rFonts w:eastAsia="Times New Roman"/>
          <w:sz w:val="22"/>
          <w:szCs w:val="22"/>
          <w:highlight w:val="white"/>
          <w:shd w:val="clear" w:color="auto" w:fill="FEFEFE"/>
        </w:rPr>
        <w:t xml:space="preserve"> - включват се площите, заети с бадеми.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3080 Лешници</w:t>
      </w:r>
      <w:r w:rsidRPr="006B4B36">
        <w:rPr>
          <w:rFonts w:eastAsia="Times New Roman"/>
          <w:sz w:val="22"/>
          <w:szCs w:val="22"/>
          <w:highlight w:val="white"/>
          <w:shd w:val="clear" w:color="auto" w:fill="FEFEFE"/>
        </w:rPr>
        <w:t xml:space="preserve"> - включват се площите, заети с лешници.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3081 Кестени</w:t>
      </w:r>
      <w:r w:rsidRPr="006B4B36">
        <w:rPr>
          <w:rFonts w:eastAsia="Times New Roman"/>
          <w:sz w:val="22"/>
          <w:szCs w:val="22"/>
          <w:highlight w:val="white"/>
          <w:shd w:val="clear" w:color="auto" w:fill="FEFEFE"/>
        </w:rPr>
        <w:t xml:space="preserve"> - включват се площите, заети с кестени.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В Код 3179 "Други овощни насаждения"</w:t>
      </w:r>
      <w:r w:rsidRPr="006B4B36">
        <w:rPr>
          <w:rFonts w:eastAsia="Times New Roman"/>
          <w:sz w:val="22"/>
          <w:szCs w:val="22"/>
          <w:highlight w:val="white"/>
          <w:shd w:val="clear" w:color="auto" w:fill="FEFEFE"/>
        </w:rPr>
        <w:t xml:space="preserve"> се включват и площите, заети с мушмули, смокини, </w:t>
      </w:r>
      <w:proofErr w:type="spellStart"/>
      <w:r w:rsidRPr="006B4B36">
        <w:rPr>
          <w:rFonts w:eastAsia="Times New Roman"/>
          <w:sz w:val="22"/>
          <w:szCs w:val="22"/>
          <w:highlight w:val="white"/>
          <w:shd w:val="clear" w:color="auto" w:fill="FEFEFE"/>
        </w:rPr>
        <w:t>едроплоден</w:t>
      </w:r>
      <w:proofErr w:type="spellEnd"/>
      <w:r w:rsidRPr="006B4B36">
        <w:rPr>
          <w:rFonts w:eastAsia="Times New Roman"/>
          <w:sz w:val="22"/>
          <w:szCs w:val="22"/>
          <w:highlight w:val="white"/>
          <w:shd w:val="clear" w:color="auto" w:fill="FEFEFE"/>
        </w:rPr>
        <w:t xml:space="preserve"> дрян, черници, райска ябълка, нар, </w:t>
      </w:r>
      <w:proofErr w:type="spellStart"/>
      <w:r w:rsidRPr="006B4B36">
        <w:rPr>
          <w:rFonts w:eastAsia="Times New Roman"/>
          <w:sz w:val="22"/>
          <w:szCs w:val="22"/>
          <w:highlight w:val="white"/>
          <w:shd w:val="clear" w:color="auto" w:fill="FEFEFE"/>
        </w:rPr>
        <w:t>хинап</w:t>
      </w:r>
      <w:proofErr w:type="spellEnd"/>
      <w:r w:rsidRPr="006B4B36">
        <w:rPr>
          <w:rFonts w:eastAsia="Times New Roman"/>
          <w:sz w:val="22"/>
          <w:szCs w:val="22"/>
          <w:highlight w:val="white"/>
          <w:shd w:val="clear" w:color="auto" w:fill="FEFEFE"/>
        </w:rPr>
        <w:t xml:space="preserve"> и др.</w:t>
      </w:r>
    </w:p>
    <w:p w:rsidR="00DC0AF7" w:rsidRPr="006B4B36" w:rsidRDefault="00DC0AF7">
      <w:pPr>
        <w:ind w:firstLine="850"/>
        <w:jc w:val="both"/>
        <w:rPr>
          <w:rFonts w:eastAsia="Times New Roman"/>
          <w:sz w:val="22"/>
          <w:szCs w:val="22"/>
          <w:highlight w:val="white"/>
          <w:shd w:val="clear" w:color="auto" w:fill="FEFEFE"/>
        </w:rPr>
      </w:pPr>
      <w:proofErr w:type="spellStart"/>
      <w:r w:rsidRPr="006B4B36">
        <w:rPr>
          <w:rFonts w:eastAsia="Times New Roman"/>
          <w:b/>
          <w:bCs/>
          <w:i/>
          <w:iCs/>
          <w:sz w:val="22"/>
          <w:szCs w:val="22"/>
          <w:highlight w:val="white"/>
          <w:shd w:val="clear" w:color="auto" w:fill="FEFEFE"/>
        </w:rPr>
        <w:t>Ягодоплодни</w:t>
      </w:r>
      <w:proofErr w:type="spellEnd"/>
      <w:r w:rsidRPr="006B4B36">
        <w:rPr>
          <w:rFonts w:eastAsia="Times New Roman"/>
          <w:b/>
          <w:bCs/>
          <w:i/>
          <w:iCs/>
          <w:sz w:val="22"/>
          <w:szCs w:val="22"/>
          <w:highlight w:val="white"/>
          <w:shd w:val="clear" w:color="auto" w:fill="FEFEFE"/>
        </w:rPr>
        <w:t>:</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3082 Ягоди</w:t>
      </w:r>
      <w:r w:rsidRPr="006B4B36">
        <w:rPr>
          <w:rFonts w:eastAsia="Times New Roman"/>
          <w:sz w:val="22"/>
          <w:szCs w:val="22"/>
          <w:highlight w:val="white"/>
          <w:shd w:val="clear" w:color="auto" w:fill="FEFEFE"/>
        </w:rPr>
        <w:t xml:space="preserve"> - не се включват площите, предназначени за производство на посадъчен материал.</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3083 Малини</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с малини.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 xml:space="preserve">Код 3189 Други </w:t>
      </w:r>
      <w:proofErr w:type="spellStart"/>
      <w:r w:rsidRPr="006B4B36">
        <w:rPr>
          <w:rFonts w:eastAsia="Times New Roman"/>
          <w:b/>
          <w:bCs/>
          <w:sz w:val="22"/>
          <w:szCs w:val="22"/>
          <w:highlight w:val="white"/>
          <w:u w:val="single"/>
          <w:shd w:val="clear" w:color="auto" w:fill="FEFEFE"/>
        </w:rPr>
        <w:t>ягодоплодни</w:t>
      </w:r>
      <w:proofErr w:type="spellEnd"/>
      <w:r w:rsidRPr="006B4B36">
        <w:rPr>
          <w:rFonts w:eastAsia="Times New Roman"/>
          <w:sz w:val="22"/>
          <w:szCs w:val="22"/>
          <w:highlight w:val="white"/>
          <w:shd w:val="clear" w:color="auto" w:fill="FEFEFE"/>
        </w:rPr>
        <w:t xml:space="preserve"> - включват се площите с </w:t>
      </w:r>
      <w:proofErr w:type="spellStart"/>
      <w:r w:rsidRPr="006B4B36">
        <w:rPr>
          <w:rFonts w:eastAsia="Times New Roman"/>
          <w:sz w:val="22"/>
          <w:szCs w:val="22"/>
          <w:highlight w:val="white"/>
          <w:shd w:val="clear" w:color="auto" w:fill="FEFEFE"/>
        </w:rPr>
        <w:t>арония</w:t>
      </w:r>
      <w:proofErr w:type="spellEnd"/>
      <w:r w:rsidRPr="006B4B36">
        <w:rPr>
          <w:rFonts w:eastAsia="Times New Roman"/>
          <w:sz w:val="22"/>
          <w:szCs w:val="22"/>
          <w:highlight w:val="white"/>
          <w:shd w:val="clear" w:color="auto" w:fill="FEFEFE"/>
        </w:rPr>
        <w:t xml:space="preserve">, боровинки, къпини, касис, </w:t>
      </w:r>
      <w:proofErr w:type="spellStart"/>
      <w:r w:rsidRPr="006B4B36">
        <w:rPr>
          <w:rFonts w:eastAsia="Times New Roman"/>
          <w:sz w:val="22"/>
          <w:szCs w:val="22"/>
          <w:highlight w:val="white"/>
          <w:shd w:val="clear" w:color="auto" w:fill="FEFEFE"/>
        </w:rPr>
        <w:t>киви</w:t>
      </w:r>
      <w:proofErr w:type="spellEnd"/>
      <w:r w:rsidRPr="006B4B36">
        <w:rPr>
          <w:rFonts w:eastAsia="Times New Roman"/>
          <w:sz w:val="22"/>
          <w:szCs w:val="22"/>
          <w:highlight w:val="white"/>
          <w:shd w:val="clear" w:color="auto" w:fill="FEFEFE"/>
        </w:rPr>
        <w:t>, френско грозде и др.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Овощна градина е равномерно поддържано насаждение</w:t>
      </w:r>
      <w:r w:rsidRPr="006B4B36">
        <w:rPr>
          <w:rFonts w:eastAsia="Times New Roman"/>
          <w:sz w:val="22"/>
          <w:szCs w:val="22"/>
          <w:highlight w:val="white"/>
          <w:shd w:val="clear" w:color="auto" w:fill="FEFEFE"/>
        </w:rPr>
        <w:t xml:space="preserve"> (чрез ежегодна резитба и редовно пръскане) от </w:t>
      </w:r>
      <w:proofErr w:type="spellStart"/>
      <w:r w:rsidRPr="006B4B36">
        <w:rPr>
          <w:rFonts w:eastAsia="Times New Roman"/>
          <w:sz w:val="22"/>
          <w:szCs w:val="22"/>
          <w:highlight w:val="white"/>
          <w:shd w:val="clear" w:color="auto" w:fill="FEFEFE"/>
        </w:rPr>
        <w:t>плододаващи</w:t>
      </w:r>
      <w:proofErr w:type="spellEnd"/>
      <w:r w:rsidRPr="006B4B36">
        <w:rPr>
          <w:rFonts w:eastAsia="Times New Roman"/>
          <w:sz w:val="22"/>
          <w:szCs w:val="22"/>
          <w:highlight w:val="white"/>
          <w:shd w:val="clear" w:color="auto" w:fill="FEFEFE"/>
        </w:rPr>
        <w:t xml:space="preserve"> овощни дървета (</w:t>
      </w:r>
      <w:proofErr w:type="spellStart"/>
      <w:r w:rsidRPr="006B4B36">
        <w:rPr>
          <w:rFonts w:eastAsia="Times New Roman"/>
          <w:sz w:val="22"/>
          <w:szCs w:val="22"/>
          <w:highlight w:val="white"/>
          <w:shd w:val="clear" w:color="auto" w:fill="FEFEFE"/>
        </w:rPr>
        <w:t>семкови</w:t>
      </w:r>
      <w:proofErr w:type="spellEnd"/>
      <w:r w:rsidRPr="006B4B36">
        <w:rPr>
          <w:rFonts w:eastAsia="Times New Roman"/>
          <w:sz w:val="22"/>
          <w:szCs w:val="22"/>
          <w:highlight w:val="white"/>
          <w:shd w:val="clear" w:color="auto" w:fill="FEFEFE"/>
        </w:rPr>
        <w:t xml:space="preserve">, костилкови и </w:t>
      </w:r>
      <w:proofErr w:type="spellStart"/>
      <w:r w:rsidRPr="006B4B36">
        <w:rPr>
          <w:rFonts w:eastAsia="Times New Roman"/>
          <w:sz w:val="22"/>
          <w:szCs w:val="22"/>
          <w:highlight w:val="white"/>
          <w:shd w:val="clear" w:color="auto" w:fill="FEFEFE"/>
        </w:rPr>
        <w:t>черупкови</w:t>
      </w:r>
      <w:proofErr w:type="spellEnd"/>
      <w:r w:rsidRPr="006B4B36">
        <w:rPr>
          <w:rFonts w:eastAsia="Times New Roman"/>
          <w:sz w:val="22"/>
          <w:szCs w:val="22"/>
          <w:highlight w:val="white"/>
          <w:shd w:val="clear" w:color="auto" w:fill="FEFEFE"/>
        </w:rPr>
        <w:t>), като продукцията се използва за пряка консумация или за промишлена преработка. Когато има смесване на няколко овощни вида, площта се разпределя пропорционално на представянето на всеки отделен вид. Включват се младите трайни насаждения, които още не дават плод, овощни градини, създадени върху ливади (когато ливадата се пренебрегва) и частта, която заемат овощните дървета при асоциирано отглеждане на лози и овощни градини. Отчита се общата брутна площ, заета с овощни насаждения. Включват се площите с културите, пътеките, пътищата и местата за обръщане на машините.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3201 Разсадници за трайни насаждения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xml:space="preserve">Включват се площите за производство и размножаване на посадъчен материал от лозя, фиданки, </w:t>
      </w:r>
      <w:proofErr w:type="spellStart"/>
      <w:r w:rsidRPr="006B4B36">
        <w:rPr>
          <w:rFonts w:eastAsia="Times New Roman"/>
          <w:sz w:val="22"/>
          <w:szCs w:val="22"/>
          <w:highlight w:val="white"/>
          <w:shd w:val="clear" w:color="auto" w:fill="FEFEFE"/>
        </w:rPr>
        <w:t>резници</w:t>
      </w:r>
      <w:proofErr w:type="spellEnd"/>
      <w:r w:rsidRPr="006B4B36">
        <w:rPr>
          <w:rFonts w:eastAsia="Times New Roman"/>
          <w:sz w:val="22"/>
          <w:szCs w:val="22"/>
          <w:highlight w:val="white"/>
          <w:shd w:val="clear" w:color="auto" w:fill="FEFEFE"/>
        </w:rPr>
        <w:t xml:space="preserve"> от дървесни видове, предназначени най-често за паркове и градини: дървета, храсти, иглолистни, рози, горски фиданки и др.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i/>
          <w:iCs/>
          <w:sz w:val="22"/>
          <w:szCs w:val="22"/>
          <w:highlight w:val="white"/>
          <w:u w:val="single"/>
          <w:shd w:val="clear" w:color="auto" w:fill="FEFEFE"/>
        </w:rPr>
        <w:t>Лозя: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3090 Винени лозя</w:t>
      </w:r>
      <w:r w:rsidRPr="006B4B36">
        <w:rPr>
          <w:rFonts w:eastAsia="Times New Roman"/>
          <w:sz w:val="22"/>
          <w:szCs w:val="22"/>
          <w:highlight w:val="white"/>
          <w:shd w:val="clear" w:color="auto" w:fill="FEFEFE"/>
        </w:rPr>
        <w:t xml:space="preserve"> - включват се площите с винени сортове лозя.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3089 Десертни лозя</w:t>
      </w:r>
      <w:r w:rsidRPr="006B4B36">
        <w:rPr>
          <w:rFonts w:eastAsia="Times New Roman"/>
          <w:sz w:val="22"/>
          <w:szCs w:val="22"/>
          <w:highlight w:val="white"/>
          <w:shd w:val="clear" w:color="auto" w:fill="FEFEFE"/>
        </w:rPr>
        <w:t xml:space="preserve"> - включват се площите, засадени с десертни сортове лозя, включително за производство на стафиди.</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ЦВЕТЯ И ДЕКОРАТИВНИ РАСТЕНИЯ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В тази група се включват</w:t>
      </w:r>
      <w:r w:rsidRPr="006B4B36">
        <w:rPr>
          <w:rFonts w:eastAsia="Times New Roman"/>
          <w:sz w:val="22"/>
          <w:szCs w:val="22"/>
          <w:highlight w:val="white"/>
          <w:shd w:val="clear" w:color="auto" w:fill="FEFEFE"/>
        </w:rPr>
        <w:t xml:space="preserve"> цветя и декоративни растения - за рязан цвят и саксийни (цъфнали или зелени с листа).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3091 Цветя - за рязан цвят</w:t>
      </w:r>
      <w:r w:rsidRPr="006B4B36">
        <w:rPr>
          <w:rFonts w:eastAsia="Times New Roman"/>
          <w:sz w:val="22"/>
          <w:szCs w:val="22"/>
          <w:highlight w:val="white"/>
          <w:shd w:val="clear" w:color="auto" w:fill="FEFEFE"/>
        </w:rPr>
        <w:t xml:space="preserve"> - включват се площите, засадени с цветни култури за рязан цвят.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3092 Цветя - луковични растения</w:t>
      </w:r>
      <w:r w:rsidRPr="006B4B36">
        <w:rPr>
          <w:rFonts w:eastAsia="Times New Roman"/>
          <w:sz w:val="22"/>
          <w:szCs w:val="22"/>
          <w:highlight w:val="white"/>
          <w:shd w:val="clear" w:color="auto" w:fill="FEFEFE"/>
        </w:rPr>
        <w:t xml:space="preserve"> </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засадени с цветни култури, отглеждани за производство на луковици.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3093 Цветя - саксийни</w:t>
      </w:r>
      <w:r w:rsidRPr="006B4B36">
        <w:rPr>
          <w:rFonts w:eastAsia="Times New Roman"/>
          <w:sz w:val="22"/>
          <w:szCs w:val="22"/>
          <w:highlight w:val="white"/>
          <w:shd w:val="clear" w:color="auto" w:fill="FEFEFE"/>
        </w:rPr>
        <w:t xml:space="preserve"> - включват се площите, заети със саксийни цветя.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3200 Оранжерийни цветя</w:t>
      </w:r>
      <w:r w:rsidRPr="006B4B36">
        <w:rPr>
          <w:rFonts w:eastAsia="Times New Roman"/>
          <w:sz w:val="22"/>
          <w:szCs w:val="22"/>
          <w:highlight w:val="white"/>
          <w:shd w:val="clear" w:color="auto" w:fill="FEFEFE"/>
        </w:rPr>
        <w:t xml:space="preserve"> - включват се площите с цветя и декоративни растения, отглеждани във високи стъклени и </w:t>
      </w:r>
      <w:proofErr w:type="spellStart"/>
      <w:r w:rsidRPr="006B4B36">
        <w:rPr>
          <w:rFonts w:eastAsia="Times New Roman"/>
          <w:sz w:val="22"/>
          <w:szCs w:val="22"/>
          <w:highlight w:val="white"/>
          <w:shd w:val="clear" w:color="auto" w:fill="FEFEFE"/>
        </w:rPr>
        <w:t>полиетиленови</w:t>
      </w:r>
      <w:proofErr w:type="spellEnd"/>
      <w:r w:rsidRPr="006B4B36">
        <w:rPr>
          <w:rFonts w:eastAsia="Times New Roman"/>
          <w:sz w:val="22"/>
          <w:szCs w:val="22"/>
          <w:highlight w:val="white"/>
          <w:shd w:val="clear" w:color="auto" w:fill="FEFEFE"/>
        </w:rPr>
        <w:t xml:space="preserve"> оранжерии. Дефиницията за високи стъклени и </w:t>
      </w:r>
      <w:proofErr w:type="spellStart"/>
      <w:r w:rsidRPr="006B4B36">
        <w:rPr>
          <w:rFonts w:eastAsia="Times New Roman"/>
          <w:sz w:val="22"/>
          <w:szCs w:val="22"/>
          <w:highlight w:val="white"/>
          <w:shd w:val="clear" w:color="auto" w:fill="FEFEFE"/>
        </w:rPr>
        <w:t>полиетиленови</w:t>
      </w:r>
      <w:proofErr w:type="spellEnd"/>
      <w:r w:rsidRPr="006B4B36">
        <w:rPr>
          <w:rFonts w:eastAsia="Times New Roman"/>
          <w:sz w:val="22"/>
          <w:szCs w:val="22"/>
          <w:highlight w:val="white"/>
          <w:shd w:val="clear" w:color="auto" w:fill="FEFEFE"/>
        </w:rPr>
        <w:t xml:space="preserve"> оранжерии е същата като при зеленчуците.</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ДРУГИ КУЛТУРИ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lastRenderedPageBreak/>
        <w:t>Код 3199 Производство на семена и посадъчен материал</w:t>
      </w:r>
      <w:r w:rsidRPr="006B4B36">
        <w:rPr>
          <w:rFonts w:eastAsia="Times New Roman"/>
          <w:sz w:val="22"/>
          <w:szCs w:val="22"/>
          <w:highlight w:val="white"/>
          <w:shd w:val="clear" w:color="auto" w:fill="FEFEFE"/>
        </w:rPr>
        <w:t xml:space="preserve"> </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за производство на семена и посадъчен материал на следните видове култури: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захарно и фуражно цвекло;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хмел, тютюн, лен, коноп, памук, ароматни и лекарствени растения, подправки, цикория за кафе;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окопни фуражни култури: фуражни зеленчуци;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пресни зеленчуци, ягоди и декоративни растения (семена);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бобови и житни треви - чиста или смесена култура (люцерна, детелина).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Изключват се площите за семена и посадъчен материал на зърнено-житни, зърнено-бобови и маслодайни култури и картофи, които се отчитат в кодовете на съответните култури.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3097 и 3095 Угари и други</w:t>
      </w:r>
      <w:r w:rsidRPr="006B4B36">
        <w:rPr>
          <w:rFonts w:eastAsia="Times New Roman"/>
          <w:sz w:val="22"/>
          <w:szCs w:val="22"/>
          <w:highlight w:val="white"/>
          <w:shd w:val="clear" w:color="auto" w:fill="FEFEFE"/>
        </w:rPr>
        <w:t xml:space="preserve"> - включват се угарите, семейните градини и всички други площи, заети с култури и неспоменати по-горе.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Угари</w:t>
      </w:r>
      <w:r w:rsidRPr="006B4B36">
        <w:rPr>
          <w:rFonts w:eastAsia="Times New Roman"/>
          <w:sz w:val="22"/>
          <w:szCs w:val="22"/>
          <w:highlight w:val="white"/>
          <w:shd w:val="clear" w:color="auto" w:fill="FEFEFE"/>
        </w:rPr>
        <w:t xml:space="preserve"> са площи, включени в </w:t>
      </w:r>
      <w:proofErr w:type="spellStart"/>
      <w:r w:rsidRPr="006B4B36">
        <w:rPr>
          <w:rFonts w:eastAsia="Times New Roman"/>
          <w:sz w:val="22"/>
          <w:szCs w:val="22"/>
          <w:highlight w:val="white"/>
          <w:shd w:val="clear" w:color="auto" w:fill="FEFEFE"/>
        </w:rPr>
        <w:t>сеитбооборота</w:t>
      </w:r>
      <w:proofErr w:type="spellEnd"/>
      <w:r w:rsidRPr="006B4B36">
        <w:rPr>
          <w:rFonts w:eastAsia="Times New Roman"/>
          <w:sz w:val="22"/>
          <w:szCs w:val="22"/>
          <w:highlight w:val="white"/>
          <w:shd w:val="clear" w:color="auto" w:fill="FEFEFE"/>
        </w:rPr>
        <w:t xml:space="preserve">, независимо дали са обработвани, или не, върху които не се отглеждат никакви култури по време на стопанската година. Угари, които не се поддържат в продължение на повече от две години, не се включват. Те трябва да се класифицират като необработвана земя. </w:t>
      </w:r>
      <w:r w:rsidRPr="006B4B36">
        <w:rPr>
          <w:rFonts w:eastAsia="Times New Roman"/>
          <w:b/>
          <w:bCs/>
          <w:i/>
          <w:iCs/>
          <w:sz w:val="22"/>
          <w:szCs w:val="22"/>
          <w:highlight w:val="white"/>
          <w:shd w:val="clear" w:color="auto" w:fill="FEFEFE"/>
        </w:rPr>
        <w:t>Когато се косят, се записват в код 3041 Естествени ливади, когато се изпасват от животните, се записват в код 30411 Пасища и мери.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Семейната градина</w:t>
      </w:r>
      <w:r w:rsidRPr="006B4B36">
        <w:rPr>
          <w:rFonts w:eastAsia="Times New Roman"/>
          <w:sz w:val="22"/>
          <w:szCs w:val="22"/>
          <w:highlight w:val="white"/>
          <w:shd w:val="clear" w:color="auto" w:fill="FEFEFE"/>
        </w:rPr>
        <w:t xml:space="preserve"> е с площ около 1 дка, върху която стопаните отглеждат разнообразни видове зеленчуци, ягоди, дини, пъпеши и смесени овощни видове. Площта, заемана от всеки отделен вид, е много малка и стопаните трудно могат да я посочат отделно.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30941 Култивирани гъби</w:t>
      </w:r>
      <w:r w:rsidRPr="006B4B36">
        <w:rPr>
          <w:rFonts w:eastAsia="Times New Roman"/>
          <w:b/>
          <w:bCs/>
          <w:sz w:val="22"/>
          <w:szCs w:val="22"/>
          <w:highlight w:val="white"/>
          <w:shd w:val="clear" w:color="auto" w:fill="FEFEFE"/>
        </w:rPr>
        <w:t>- култивирана печурка.</w:t>
      </w:r>
      <w:r w:rsidRPr="006B4B36">
        <w:rPr>
          <w:rFonts w:eastAsia="Times New Roman"/>
          <w:sz w:val="22"/>
          <w:szCs w:val="22"/>
          <w:highlight w:val="white"/>
          <w:shd w:val="clear" w:color="auto" w:fill="FEFEFE"/>
        </w:rPr>
        <w:t xml:space="preserve"> Включват се площите, заети с гъби печурки. Отбелязва се площта на стелажите в кв. м, върху които се отглеждат печурки през последните 12 месеца.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30942 Култивирани гъби</w:t>
      </w:r>
      <w:r w:rsidRPr="006B4B36">
        <w:rPr>
          <w:rFonts w:eastAsia="Times New Roman"/>
          <w:b/>
          <w:bCs/>
          <w:sz w:val="22"/>
          <w:szCs w:val="22"/>
          <w:highlight w:val="white"/>
          <w:shd w:val="clear" w:color="auto" w:fill="FEFEFE"/>
        </w:rPr>
        <w:t xml:space="preserve">- </w:t>
      </w:r>
      <w:proofErr w:type="spellStart"/>
      <w:r w:rsidRPr="006B4B36">
        <w:rPr>
          <w:rFonts w:eastAsia="Times New Roman"/>
          <w:b/>
          <w:bCs/>
          <w:sz w:val="22"/>
          <w:szCs w:val="22"/>
          <w:highlight w:val="white"/>
          <w:shd w:val="clear" w:color="auto" w:fill="FEFEFE"/>
        </w:rPr>
        <w:t>кладница</w:t>
      </w:r>
      <w:proofErr w:type="spellEnd"/>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площите, заети с гъби </w:t>
      </w:r>
      <w:proofErr w:type="spellStart"/>
      <w:r w:rsidRPr="006B4B36">
        <w:rPr>
          <w:rFonts w:eastAsia="Times New Roman"/>
          <w:sz w:val="22"/>
          <w:szCs w:val="22"/>
          <w:highlight w:val="white"/>
          <w:shd w:val="clear" w:color="auto" w:fill="FEFEFE"/>
        </w:rPr>
        <w:t>кладница</w:t>
      </w:r>
      <w:proofErr w:type="spellEnd"/>
      <w:r w:rsidRPr="006B4B36">
        <w:rPr>
          <w:rFonts w:eastAsia="Times New Roman"/>
          <w:sz w:val="22"/>
          <w:szCs w:val="22"/>
          <w:highlight w:val="white"/>
          <w:shd w:val="clear" w:color="auto" w:fill="FEFEFE"/>
        </w:rPr>
        <w:t xml:space="preserve">. Отбелязва се площта в кв. м, върху която се отглеждат гъби </w:t>
      </w:r>
      <w:proofErr w:type="spellStart"/>
      <w:r w:rsidRPr="006B4B36">
        <w:rPr>
          <w:rFonts w:eastAsia="Times New Roman"/>
          <w:sz w:val="22"/>
          <w:szCs w:val="22"/>
          <w:highlight w:val="white"/>
          <w:shd w:val="clear" w:color="auto" w:fill="FEFEFE"/>
        </w:rPr>
        <w:t>кладница</w:t>
      </w:r>
      <w:proofErr w:type="spellEnd"/>
      <w:r w:rsidRPr="006B4B36">
        <w:rPr>
          <w:rFonts w:eastAsia="Times New Roman"/>
          <w:sz w:val="22"/>
          <w:szCs w:val="22"/>
          <w:highlight w:val="white"/>
          <w:shd w:val="clear" w:color="auto" w:fill="FEFEFE"/>
        </w:rPr>
        <w:t xml:space="preserve"> през последните 12 месеца.</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ГОВЕДА И БИВОЛИ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4100 Говеда и биволи - общо</w:t>
      </w:r>
      <w:r w:rsidRPr="006B4B36">
        <w:rPr>
          <w:rFonts w:eastAsia="Times New Roman"/>
          <w:sz w:val="22"/>
          <w:szCs w:val="22"/>
          <w:highlight w:val="white"/>
          <w:shd w:val="clear" w:color="auto" w:fill="FEFEFE"/>
        </w:rPr>
        <w:t xml:space="preserve"> - сума на кодове 4101, 4102, 4103, 4104 и 4105.</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Говедата и биволите се разпределят в 5 групи в зависимост от възрастта, пола и предназначението: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4101 Телета и малачета до 1 година</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всички мъжки и женски животни до 1 година.</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Изчисляването на икономическия размер на земеделските стопанства, отнасящи се до животни от рода на едрия рогат добитък под едногодишна възраст, се взема предвид, когато се изчислява общата стандартна продукция/СП на стопанството, само когато в стопанството има повече животни от рода на едрия рогат добитък под едногодишна възраст отколкото крави. Взема се предвид само стандартната продукция/СП, отнасяща се до превишаващия броя на кравите брой на животните от рода на едрия рогат добитък под едногодишна възраст.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41021 Телета и малачета над 1 г. и под 2 г. - мъжки</w:t>
      </w:r>
      <w:r w:rsidRPr="006B4B36">
        <w:rPr>
          <w:rFonts w:eastAsia="Times New Roman"/>
          <w:sz w:val="22"/>
          <w:szCs w:val="22"/>
          <w:highlight w:val="white"/>
          <w:shd w:val="clear" w:color="auto" w:fill="FEFEFE"/>
        </w:rPr>
        <w:t xml:space="preserve"> - включват се всички мъжки говеда и биволи над 1 година и под 2 години, които са предназначени за клане.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41022 Телета и малачета над 1 г. и под 2 г. - женски</w:t>
      </w:r>
      <w:r w:rsidRPr="006B4B36">
        <w:rPr>
          <w:rFonts w:eastAsia="Times New Roman"/>
          <w:sz w:val="22"/>
          <w:szCs w:val="22"/>
          <w:highlight w:val="white"/>
          <w:shd w:val="clear" w:color="auto" w:fill="FEFEFE"/>
        </w:rPr>
        <w:t xml:space="preserve"> - включват се всички женски говеда и биволи над 1 година и под 2 години, които са предназначени за клане.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 xml:space="preserve">Код 4103+4006 Телета и малачета над 1 г. за разплод и бременни юници и бременни </w:t>
      </w:r>
      <w:proofErr w:type="spellStart"/>
      <w:r w:rsidRPr="006B4B36">
        <w:rPr>
          <w:rFonts w:eastAsia="Times New Roman"/>
          <w:b/>
          <w:bCs/>
          <w:sz w:val="22"/>
          <w:szCs w:val="22"/>
          <w:highlight w:val="white"/>
          <w:u w:val="single"/>
          <w:shd w:val="clear" w:color="auto" w:fill="FEFEFE"/>
        </w:rPr>
        <w:t>малакини</w:t>
      </w:r>
      <w:proofErr w:type="spellEnd"/>
      <w:r w:rsidRPr="006B4B36">
        <w:rPr>
          <w:rFonts w:eastAsia="Times New Roman"/>
          <w:sz w:val="22"/>
          <w:szCs w:val="22"/>
          <w:highlight w:val="white"/>
          <w:shd w:val="clear" w:color="auto" w:fill="FEFEFE"/>
        </w:rPr>
        <w:t xml:space="preserve"> - включват се всички мъжки и женски говеда и биволи над 1 година, които са предназначени за разплод, както и бременните юници и бременните </w:t>
      </w:r>
      <w:proofErr w:type="spellStart"/>
      <w:r w:rsidRPr="006B4B36">
        <w:rPr>
          <w:rFonts w:eastAsia="Times New Roman"/>
          <w:sz w:val="22"/>
          <w:szCs w:val="22"/>
          <w:highlight w:val="white"/>
          <w:shd w:val="clear" w:color="auto" w:fill="FEFEFE"/>
        </w:rPr>
        <w:t>малакини</w:t>
      </w:r>
      <w:proofErr w:type="spellEnd"/>
      <w:r w:rsidRPr="006B4B36">
        <w:rPr>
          <w:rFonts w:eastAsia="Times New Roman"/>
          <w:sz w:val="22"/>
          <w:szCs w:val="22"/>
          <w:highlight w:val="white"/>
          <w:shd w:val="clear" w:color="auto" w:fill="FEFEFE"/>
        </w:rPr>
        <w:t>, които още не са раждали.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Включват се</w:t>
      </w:r>
      <w:r w:rsidRPr="006B4B36">
        <w:rPr>
          <w:rFonts w:eastAsia="Times New Roman"/>
          <w:sz w:val="22"/>
          <w:szCs w:val="22"/>
          <w:highlight w:val="white"/>
          <w:shd w:val="clear" w:color="auto" w:fill="FEFEFE"/>
        </w:rPr>
        <w:t xml:space="preserve"> и биковете над 2 години, използвани за разплод, в т.ч. за естествено покриване на женски животни; волове за клане, угоени или не; работни волове.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4104+4005 Млечни крави и биволици</w:t>
      </w:r>
      <w:r w:rsidRPr="006B4B36">
        <w:rPr>
          <w:rFonts w:eastAsia="Times New Roman"/>
          <w:sz w:val="22"/>
          <w:szCs w:val="22"/>
          <w:highlight w:val="white"/>
          <w:shd w:val="clear" w:color="auto" w:fill="FEFEFE"/>
        </w:rPr>
        <w:t xml:space="preserve"> </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крави и биволици, които поради своята порода или специфични качества се отглеждат изключително или принципно за производство на мляко за човешка консумация и/или за преработка в млечни продукти. Кравите и биволиците са родили поне веднъж и е започнала лактация.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Включват се</w:t>
      </w:r>
      <w:r w:rsidRPr="006B4B36">
        <w:rPr>
          <w:rFonts w:eastAsia="Times New Roman"/>
          <w:sz w:val="22"/>
          <w:szCs w:val="22"/>
          <w:highlight w:val="white"/>
          <w:shd w:val="clear" w:color="auto" w:fill="FEFEFE"/>
        </w:rPr>
        <w:t xml:space="preserve"> и бракуваните млечни крави, т.е. след приключване на лактацията и допълнително угояване ще бъдат предадени за клане.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Включват се</w:t>
      </w:r>
      <w:r w:rsidRPr="006B4B36">
        <w:rPr>
          <w:rFonts w:eastAsia="Times New Roman"/>
          <w:sz w:val="22"/>
          <w:szCs w:val="22"/>
          <w:highlight w:val="white"/>
          <w:shd w:val="clear" w:color="auto" w:fill="FEFEFE"/>
        </w:rPr>
        <w:t xml:space="preserve"> и всички биволици, които са раждали поне веднъж и при които е започнала лактация, независимо от възрастта и предназначението на млякото.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lastRenderedPageBreak/>
        <w:t>Код 4105Крави месодайни</w:t>
      </w:r>
      <w:r w:rsidRPr="006B4B36">
        <w:rPr>
          <w:rFonts w:eastAsia="Times New Roman"/>
          <w:sz w:val="22"/>
          <w:szCs w:val="22"/>
          <w:highlight w:val="white"/>
          <w:shd w:val="clear" w:color="auto" w:fill="FEFEFE"/>
        </w:rPr>
        <w:t xml:space="preserve"> </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кравите, когато са предимно от породи за месо и са предназначени единствено и само за производство на телета. Тяхното мляко се избозава директно от телетата. Понякога те могат да се доят, но млякото рядко е предназначено за човешка консумация. Включват се и бракуваните крави.</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ОВЦЕ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4007 Овце - общо</w:t>
      </w:r>
      <w:r w:rsidRPr="006B4B36">
        <w:rPr>
          <w:rFonts w:eastAsia="Times New Roman"/>
          <w:sz w:val="22"/>
          <w:szCs w:val="22"/>
          <w:highlight w:val="white"/>
          <w:shd w:val="clear" w:color="auto" w:fill="FEFEFE"/>
        </w:rPr>
        <w:t xml:space="preserve"> - включват се всички налични в стопанството животни от този вид: овце майки, кочове (вкл. млади), угоени или неугоени агнета до 1 година за клане или за продажба и т.н.</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 xml:space="preserve">Код 4008 и 4106 Овце </w:t>
      </w:r>
      <w:proofErr w:type="spellStart"/>
      <w:r w:rsidRPr="006B4B36">
        <w:rPr>
          <w:rFonts w:eastAsia="Times New Roman"/>
          <w:b/>
          <w:bCs/>
          <w:sz w:val="22"/>
          <w:szCs w:val="22"/>
          <w:highlight w:val="white"/>
          <w:u w:val="single"/>
          <w:shd w:val="clear" w:color="auto" w:fill="FEFEFE"/>
        </w:rPr>
        <w:t>млечнии</w:t>
      </w:r>
      <w:proofErr w:type="spellEnd"/>
      <w:r w:rsidRPr="006B4B36">
        <w:rPr>
          <w:rFonts w:eastAsia="Times New Roman"/>
          <w:b/>
          <w:bCs/>
          <w:sz w:val="22"/>
          <w:szCs w:val="22"/>
          <w:highlight w:val="white"/>
          <w:u w:val="single"/>
          <w:shd w:val="clear" w:color="auto" w:fill="FEFEFE"/>
        </w:rPr>
        <w:t xml:space="preserve"> овце месодайни</w:t>
      </w:r>
      <w:r w:rsidRPr="006B4B36">
        <w:rPr>
          <w:rFonts w:eastAsia="Times New Roman"/>
          <w:sz w:val="22"/>
          <w:szCs w:val="22"/>
          <w:highlight w:val="white"/>
          <w:shd w:val="clear" w:color="auto" w:fill="FEFEFE"/>
        </w:rPr>
        <w:t xml:space="preserve"> - тук се включват всички женски животни, които са раждали поне веднъж, както и всички млади женски овце над 1 година, предназначени за разплод. Тук се включват и бракуваните овце майки, които ще бъдат предадени за клане.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4112 Други овце</w:t>
      </w:r>
      <w:r w:rsidRPr="006B4B36">
        <w:rPr>
          <w:rFonts w:eastAsia="Times New Roman"/>
          <w:sz w:val="22"/>
          <w:szCs w:val="22"/>
          <w:highlight w:val="white"/>
          <w:shd w:val="clear" w:color="auto" w:fill="FEFEFE"/>
        </w:rPr>
        <w:t xml:space="preserve"> - разликата между общия брой на овцете от код 4007 и броя на млечните и месодайните овце от кодове 4008 и 4106.</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Изчисляването на икономическия размер на земеделските стопанства, отнасящ се до други овце, се взема предвид при изчисляване на общата стандартна продукция/СП на стопанството само ако в стопанството няма овце майки.</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КОЗИ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4010 Кози - общо</w:t>
      </w:r>
      <w:r w:rsidRPr="006B4B36">
        <w:rPr>
          <w:rFonts w:eastAsia="Times New Roman"/>
          <w:sz w:val="22"/>
          <w:szCs w:val="22"/>
          <w:highlight w:val="white"/>
          <w:shd w:val="clear" w:color="auto" w:fill="FEFEFE"/>
        </w:rPr>
        <w:t xml:space="preserve"> - сбор на кодове 4011 и 4107.</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4011 Кози майки</w:t>
      </w:r>
      <w:r w:rsidRPr="006B4B36">
        <w:rPr>
          <w:rFonts w:eastAsia="Times New Roman"/>
          <w:sz w:val="22"/>
          <w:szCs w:val="22"/>
          <w:highlight w:val="white"/>
          <w:shd w:val="clear" w:color="auto" w:fill="FEFEFE"/>
        </w:rPr>
        <w:t xml:space="preserve"> - включват се всички женски животни, които са раждали поне веднъж, и младите женски </w:t>
      </w:r>
      <w:proofErr w:type="spellStart"/>
      <w:r w:rsidRPr="006B4B36">
        <w:rPr>
          <w:rFonts w:eastAsia="Times New Roman"/>
          <w:sz w:val="22"/>
          <w:szCs w:val="22"/>
          <w:highlight w:val="white"/>
          <w:shd w:val="clear" w:color="auto" w:fill="FEFEFE"/>
        </w:rPr>
        <w:t>козички</w:t>
      </w:r>
      <w:proofErr w:type="spellEnd"/>
      <w:r w:rsidRPr="006B4B36">
        <w:rPr>
          <w:rFonts w:eastAsia="Times New Roman"/>
          <w:sz w:val="22"/>
          <w:szCs w:val="22"/>
          <w:highlight w:val="white"/>
          <w:shd w:val="clear" w:color="auto" w:fill="FEFEFE"/>
        </w:rPr>
        <w:t xml:space="preserve"> над 1 година, предназначени за разплод. Тук се включват и бракуваните кози майки, които ще бъдат предадени за клане.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4107 Други кози</w:t>
      </w:r>
      <w:r w:rsidRPr="006B4B36">
        <w:rPr>
          <w:rFonts w:eastAsia="Times New Roman"/>
          <w:sz w:val="22"/>
          <w:szCs w:val="22"/>
          <w:highlight w:val="white"/>
          <w:shd w:val="clear" w:color="auto" w:fill="FEFEFE"/>
        </w:rPr>
        <w:t xml:space="preserve"> - тук се включват всички животни от този вид, които не са отразени в горната рубрика. Това са всички мъжки животни - пръчове (включително млади), ярета до 1 година и др.</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Изчисляването на икономическия размер на земеделските стопанства, отнасящ се до други кози, се взема предвид при изчисляване на общата стандартна продукция/СП на стопанството само ако в стопанството няма кози майки.</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СВИНЕ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Описват се всички налични в стопанството животни от този вид.</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4013 Свине - общо</w:t>
      </w:r>
      <w:r w:rsidRPr="006B4B36">
        <w:rPr>
          <w:rFonts w:eastAsia="Times New Roman"/>
          <w:sz w:val="22"/>
          <w:szCs w:val="22"/>
          <w:highlight w:val="white"/>
          <w:shd w:val="clear" w:color="auto" w:fill="FEFEFE"/>
        </w:rPr>
        <w:t xml:space="preserve"> - сбор на кодове 4014, 4108 и 4109.</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4014 Свине майки</w:t>
      </w:r>
      <w:r w:rsidRPr="006B4B36">
        <w:rPr>
          <w:rFonts w:eastAsia="Times New Roman"/>
          <w:sz w:val="22"/>
          <w:szCs w:val="22"/>
          <w:highlight w:val="white"/>
          <w:shd w:val="clear" w:color="auto" w:fill="FEFEFE"/>
        </w:rPr>
        <w:t xml:space="preserve"> - включват се всички женски разплодни животни, които вече са раждали поне веднъж или са заплодени за първи път, но още не са раждали.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Включват се</w:t>
      </w:r>
      <w:r w:rsidRPr="006B4B36">
        <w:rPr>
          <w:rFonts w:eastAsia="Times New Roman"/>
          <w:sz w:val="22"/>
          <w:szCs w:val="22"/>
          <w:highlight w:val="white"/>
          <w:shd w:val="clear" w:color="auto" w:fill="FEFEFE"/>
        </w:rPr>
        <w:t xml:space="preserve"> и младите женски свине над 50 кг, които са определени за разплод, но още не са заплождани.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4108 Прасенца под 45 дни</w:t>
      </w:r>
      <w:r w:rsidRPr="006B4B36">
        <w:rPr>
          <w:rFonts w:eastAsia="Times New Roman"/>
          <w:sz w:val="22"/>
          <w:szCs w:val="22"/>
          <w:highlight w:val="white"/>
          <w:shd w:val="clear" w:color="auto" w:fill="FEFEFE"/>
        </w:rPr>
        <w:t xml:space="preserve"> - включват се всички мъжки и женски животни, отбити или не, на възраст до 45 дни, независимо от бъдещото им използване.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Изчисляването на икономическия размер на земеделските стопанства, свързано с прасенца под 45 дни, се взема предвид при изчисляване на общата стандартна продукция/СП на стопанството само ако в стопанството няма свине майки.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4109 Други свине</w:t>
      </w:r>
      <w:r w:rsidRPr="006B4B36">
        <w:rPr>
          <w:rFonts w:eastAsia="Times New Roman"/>
          <w:sz w:val="22"/>
          <w:szCs w:val="22"/>
          <w:highlight w:val="white"/>
          <w:shd w:val="clear" w:color="auto" w:fill="FEFEFE"/>
        </w:rPr>
        <w:t xml:space="preserve"> - включват се: млади свине (мъжки и женски) над 45 дни без значение бъдещата им реализация (за угояване или за разплод); всички свине за угояване - мъжки, женски или кастрирани с тегло над 50 кг; други налични животни, невключени в горните рубрики.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Включват се</w:t>
      </w:r>
      <w:r w:rsidRPr="006B4B36">
        <w:rPr>
          <w:rFonts w:eastAsia="Times New Roman"/>
          <w:sz w:val="22"/>
          <w:szCs w:val="22"/>
          <w:highlight w:val="white"/>
          <w:shd w:val="clear" w:color="auto" w:fill="FEFEFE"/>
        </w:rPr>
        <w:t xml:space="preserve"> и всички мъжки животни, които се използват за разплод, както и младите мъжки животни над 50 кг, определени да бъдат включени в разплод в бъдещи периоди.</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ПТИЦИ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Отчитат се всички налични птици в стопанството. Включват се и птиците от личния двор, които се отглеждат за нуждите на семейството. Изключват се пиленцата, които са в люпилните и които ще се продават като еднодневни.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4016Птици - общо</w:t>
      </w:r>
      <w:r w:rsidRPr="006B4B36">
        <w:rPr>
          <w:rFonts w:eastAsia="Times New Roman"/>
          <w:sz w:val="22"/>
          <w:szCs w:val="22"/>
          <w:highlight w:val="white"/>
          <w:shd w:val="clear" w:color="auto" w:fill="FEFEFE"/>
        </w:rPr>
        <w:t xml:space="preserve"> - сбор на кодове 4017, 4110, 4019, 4020, 4021, 4022, 4023 и 4111.</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4017 Кокошки носачки</w:t>
      </w:r>
      <w:r w:rsidRPr="006B4B36">
        <w:rPr>
          <w:rFonts w:eastAsia="Times New Roman"/>
          <w:b/>
          <w:bCs/>
          <w:sz w:val="22"/>
          <w:szCs w:val="22"/>
          <w:highlight w:val="white"/>
          <w:shd w:val="clear" w:color="auto" w:fill="FEFEFE"/>
        </w:rPr>
        <w:t>-</w:t>
      </w:r>
      <w:r w:rsidRPr="006B4B36">
        <w:rPr>
          <w:rFonts w:eastAsia="Times New Roman"/>
          <w:sz w:val="22"/>
          <w:szCs w:val="22"/>
          <w:highlight w:val="white"/>
          <w:shd w:val="clear" w:color="auto" w:fill="FEFEFE"/>
        </w:rPr>
        <w:t xml:space="preserve"> включват се всички кокошки, които вече носят яйца, предназначени за човешка консумация, за разплод, за индустриална употреба и др., както и всички мъжки разплодни птици в стопанството. Включват се и изведените от производство кокошки.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Включват се</w:t>
      </w:r>
      <w:r w:rsidRPr="006B4B36">
        <w:rPr>
          <w:rFonts w:eastAsia="Times New Roman"/>
          <w:sz w:val="22"/>
          <w:szCs w:val="22"/>
          <w:highlight w:val="white"/>
          <w:shd w:val="clear" w:color="auto" w:fill="FEFEFE"/>
        </w:rPr>
        <w:t xml:space="preserve"> и ярките - млади женски птици, предназначени за носене на яйца, но които още не </w:t>
      </w:r>
      <w:r w:rsidRPr="006B4B36">
        <w:rPr>
          <w:rFonts w:eastAsia="Times New Roman"/>
          <w:sz w:val="22"/>
          <w:szCs w:val="22"/>
          <w:highlight w:val="white"/>
          <w:shd w:val="clear" w:color="auto" w:fill="FEFEFE"/>
        </w:rPr>
        <w:lastRenderedPageBreak/>
        <w:t>са започнали да снасят.</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4110 Бройлери</w:t>
      </w:r>
      <w:r w:rsidRPr="006B4B36">
        <w:rPr>
          <w:rFonts w:eastAsia="Times New Roman"/>
          <w:sz w:val="22"/>
          <w:szCs w:val="22"/>
          <w:highlight w:val="white"/>
          <w:shd w:val="clear" w:color="auto" w:fill="FEFEFE"/>
        </w:rPr>
        <w:t xml:space="preserve"> - включват се всички птици, предназначени за угояване и за клане.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4019 Пуйки</w:t>
      </w:r>
      <w:r w:rsidRPr="006B4B36">
        <w:rPr>
          <w:rFonts w:eastAsia="Times New Roman"/>
          <w:sz w:val="22"/>
          <w:szCs w:val="22"/>
          <w:highlight w:val="white"/>
          <w:shd w:val="clear" w:color="auto" w:fill="FEFEFE"/>
        </w:rPr>
        <w:t xml:space="preserve"> - включват се всички пуйки, отглеждани в стопанството, без разлика в пол, възраст и направление за реализация.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4021 Патици</w:t>
      </w:r>
      <w:r w:rsidRPr="006B4B36">
        <w:rPr>
          <w:rFonts w:eastAsia="Times New Roman"/>
          <w:sz w:val="22"/>
          <w:szCs w:val="22"/>
          <w:highlight w:val="white"/>
          <w:shd w:val="clear" w:color="auto" w:fill="FEFEFE"/>
        </w:rPr>
        <w:t xml:space="preserve"> - включват се всички патици, отглеждани в стопанството, без разлика в пола, възрастта и направлението за реализация. Тук се включват и патиците за производство на </w:t>
      </w:r>
      <w:proofErr w:type="spellStart"/>
      <w:r w:rsidRPr="006B4B36">
        <w:rPr>
          <w:rFonts w:eastAsia="Times New Roman"/>
          <w:sz w:val="22"/>
          <w:szCs w:val="22"/>
          <w:highlight w:val="white"/>
          <w:shd w:val="clear" w:color="auto" w:fill="FEFEFE"/>
        </w:rPr>
        <w:t>втлъстен</w:t>
      </w:r>
      <w:proofErr w:type="spellEnd"/>
      <w:r w:rsidRPr="006B4B36">
        <w:rPr>
          <w:rFonts w:eastAsia="Times New Roman"/>
          <w:sz w:val="22"/>
          <w:szCs w:val="22"/>
          <w:highlight w:val="white"/>
          <w:shd w:val="clear" w:color="auto" w:fill="FEFEFE"/>
        </w:rPr>
        <w:t xml:space="preserve"> черен дроб.</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4020 Гъски</w:t>
      </w:r>
      <w:r w:rsidRPr="006B4B36">
        <w:rPr>
          <w:rFonts w:eastAsia="Times New Roman"/>
          <w:sz w:val="22"/>
          <w:szCs w:val="22"/>
          <w:highlight w:val="white"/>
          <w:shd w:val="clear" w:color="auto" w:fill="FEFEFE"/>
        </w:rPr>
        <w:t xml:space="preserve"> - включват се всички гъски, отглеждани в стопанството, без разлика в пола, възрастта и направлението за реализация. Тук се включват и гъските за производство на </w:t>
      </w:r>
      <w:proofErr w:type="spellStart"/>
      <w:r w:rsidRPr="006B4B36">
        <w:rPr>
          <w:rFonts w:eastAsia="Times New Roman"/>
          <w:sz w:val="22"/>
          <w:szCs w:val="22"/>
          <w:highlight w:val="white"/>
          <w:shd w:val="clear" w:color="auto" w:fill="FEFEFE"/>
        </w:rPr>
        <w:t>втлъстен</w:t>
      </w:r>
      <w:proofErr w:type="spellEnd"/>
      <w:r w:rsidRPr="006B4B36">
        <w:rPr>
          <w:rFonts w:eastAsia="Times New Roman"/>
          <w:sz w:val="22"/>
          <w:szCs w:val="22"/>
          <w:highlight w:val="white"/>
          <w:shd w:val="clear" w:color="auto" w:fill="FEFEFE"/>
        </w:rPr>
        <w:t xml:space="preserve"> черен дроб.</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4022+4023+4111 Пъдпъдъци и други птици</w:t>
      </w:r>
      <w:r w:rsidRPr="006B4B36">
        <w:rPr>
          <w:rFonts w:eastAsia="Times New Roman"/>
          <w:sz w:val="22"/>
          <w:szCs w:val="22"/>
          <w:highlight w:val="white"/>
          <w:shd w:val="clear" w:color="auto" w:fill="FEFEFE"/>
        </w:rPr>
        <w:t xml:space="preserve"> - отбелязва се общо броят на пъдпъдъците или на птици от други видове, отглеждани в стопанството (неспоменати в по-горните кодове) - например фазани, токачки и др.</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ЗАЙЦИ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4024 Зайци - общо</w:t>
      </w:r>
      <w:r w:rsidRPr="006B4B36">
        <w:rPr>
          <w:rFonts w:eastAsia="Times New Roman"/>
          <w:sz w:val="22"/>
          <w:szCs w:val="22"/>
          <w:highlight w:val="white"/>
          <w:shd w:val="clear" w:color="auto" w:fill="FEFEFE"/>
        </w:rPr>
        <w:t xml:space="preserve"> - включват се всички зайци, отглеждани в стопанството, дори да се отглеждат само за семейна консумация.</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4031 Зайкини майки</w:t>
      </w:r>
      <w:r w:rsidRPr="006B4B36">
        <w:rPr>
          <w:rFonts w:eastAsia="Times New Roman"/>
          <w:sz w:val="22"/>
          <w:szCs w:val="22"/>
          <w:highlight w:val="white"/>
          <w:shd w:val="clear" w:color="auto" w:fill="FEFEFE"/>
        </w:rPr>
        <w:t xml:space="preserve"> - включват се всички разплодни женски животни, които вече са раждали или са заплодени за първи път, както и млади женски зайци, които са предназначени за разплод.</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ЕДНОКОПИТНИ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4025 Коне и други еднокопитни</w:t>
      </w:r>
      <w:r w:rsidRPr="006B4B36">
        <w:rPr>
          <w:rFonts w:eastAsia="Times New Roman"/>
          <w:sz w:val="22"/>
          <w:szCs w:val="22"/>
          <w:highlight w:val="white"/>
          <w:shd w:val="clear" w:color="auto" w:fill="FEFEFE"/>
        </w:rPr>
        <w:t xml:space="preserve"> - включват се всички коне, </w:t>
      </w:r>
      <w:proofErr w:type="spellStart"/>
      <w:r w:rsidRPr="006B4B36">
        <w:rPr>
          <w:rFonts w:eastAsia="Times New Roman"/>
          <w:sz w:val="22"/>
          <w:szCs w:val="22"/>
          <w:highlight w:val="white"/>
          <w:shd w:val="clear" w:color="auto" w:fill="FEFEFE"/>
        </w:rPr>
        <w:t>понита</w:t>
      </w:r>
      <w:proofErr w:type="spellEnd"/>
      <w:r w:rsidRPr="006B4B36">
        <w:rPr>
          <w:rFonts w:eastAsia="Times New Roman"/>
          <w:sz w:val="22"/>
          <w:szCs w:val="22"/>
          <w:highlight w:val="white"/>
          <w:shd w:val="clear" w:color="auto" w:fill="FEFEFE"/>
        </w:rPr>
        <w:t>, магарета, мулета и катъри независимо от породата и предназначението им (за разплод, за работа, за езда, за клане). Не се включват състезателните коне.</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ПЧЕЛАРСТВО</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4027 Пчелни семейства</w:t>
      </w:r>
      <w:r w:rsidRPr="006B4B36">
        <w:rPr>
          <w:rFonts w:eastAsia="Times New Roman"/>
          <w:sz w:val="22"/>
          <w:szCs w:val="22"/>
          <w:highlight w:val="white"/>
          <w:shd w:val="clear" w:color="auto" w:fill="FEFEFE"/>
        </w:rPr>
        <w:t xml:space="preserve"> - включват се всички пчелни семейства, като съгласно технологията на отглеждане е възможно в един кошер да се отглеждат повече от едно пчелни семейства.</w:t>
      </w: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ДРУГИ</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4029 Буби - кутийки бубено семе</w:t>
      </w:r>
      <w:r w:rsidRPr="006B4B36">
        <w:rPr>
          <w:rFonts w:eastAsia="Times New Roman"/>
          <w:sz w:val="22"/>
          <w:szCs w:val="22"/>
          <w:highlight w:val="white"/>
          <w:shd w:val="clear" w:color="auto" w:fill="FEFEFE"/>
        </w:rPr>
        <w:t xml:space="preserve"> - отбелязва се броят на кутийките.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4030 Охлюви</w:t>
      </w:r>
      <w:r w:rsidRPr="006B4B36">
        <w:rPr>
          <w:rFonts w:eastAsia="Times New Roman"/>
          <w:sz w:val="22"/>
          <w:szCs w:val="22"/>
          <w:highlight w:val="white"/>
          <w:shd w:val="clear" w:color="auto" w:fill="FEFEFE"/>
        </w:rPr>
        <w:t xml:space="preserve"> - отбелязва се площта в квадратни метри, върху която се отглеждат охлювите.</w:t>
      </w:r>
    </w:p>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b/>
          <w:bCs/>
          <w:sz w:val="22"/>
          <w:szCs w:val="22"/>
          <w:highlight w:val="white"/>
          <w:u w:val="single"/>
          <w:shd w:val="clear" w:color="auto" w:fill="FEFEFE"/>
        </w:rPr>
        <w:t>Код 4309 Калифорнийски червеи</w:t>
      </w:r>
      <w:r w:rsidRPr="006B4B36">
        <w:rPr>
          <w:rFonts w:eastAsia="Times New Roman"/>
          <w:sz w:val="22"/>
          <w:szCs w:val="22"/>
          <w:highlight w:val="white"/>
          <w:shd w:val="clear" w:color="auto" w:fill="FEFEFE"/>
        </w:rPr>
        <w:t xml:space="preserve"> - отбелязва се площта в квадратни метри, върху която се отглеждат калифорнийските червеи.</w:t>
      </w:r>
    </w:p>
    <w:p w:rsidR="006B4B36" w:rsidRPr="006B4B36" w:rsidRDefault="006B4B36">
      <w:pPr>
        <w:spacing w:before="113" w:after="57" w:line="269" w:lineRule="atLeast"/>
        <w:jc w:val="center"/>
        <w:rPr>
          <w:rFonts w:eastAsia="Times New Roman"/>
          <w:b/>
          <w:bCs/>
          <w:sz w:val="22"/>
          <w:szCs w:val="22"/>
          <w:highlight w:val="white"/>
          <w:shd w:val="clear" w:color="auto" w:fill="FEFEFE"/>
        </w:rPr>
      </w:pPr>
    </w:p>
    <w:p w:rsidR="006B4B36" w:rsidRPr="006B4B36" w:rsidRDefault="006B4B36">
      <w:pPr>
        <w:spacing w:before="113" w:after="57" w:line="269" w:lineRule="atLeast"/>
        <w:jc w:val="center"/>
        <w:rPr>
          <w:rFonts w:eastAsia="Times New Roman"/>
          <w:b/>
          <w:bCs/>
          <w:sz w:val="22"/>
          <w:szCs w:val="22"/>
          <w:highlight w:val="white"/>
          <w:shd w:val="clear" w:color="auto" w:fill="FEFEFE"/>
        </w:rPr>
      </w:pPr>
    </w:p>
    <w:p w:rsidR="00DC0AF7" w:rsidRPr="006B4B36" w:rsidRDefault="00DC0AF7">
      <w:pPr>
        <w:spacing w:before="113" w:after="57" w:line="269" w:lineRule="atLeast"/>
        <w:jc w:val="center"/>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III. Разглеждане на специални случаи</w:t>
      </w:r>
    </w:p>
    <w:tbl>
      <w:tblPr>
        <w:tblW w:w="0" w:type="auto"/>
        <w:tblInd w:w="57" w:type="dxa"/>
        <w:tblLayout w:type="fixed"/>
        <w:tblCellMar>
          <w:left w:w="57" w:type="dxa"/>
          <w:right w:w="57" w:type="dxa"/>
        </w:tblCellMar>
        <w:tblLook w:val="0000" w:firstRow="0" w:lastRow="0" w:firstColumn="0" w:lastColumn="0" w:noHBand="0" w:noVBand="0"/>
      </w:tblPr>
      <w:tblGrid>
        <w:gridCol w:w="2912"/>
        <w:gridCol w:w="5528"/>
      </w:tblGrid>
      <w:tr w:rsidR="00DC0AF7" w:rsidRPr="006B4B36">
        <w:tblPrEx>
          <w:tblCellMar>
            <w:top w:w="0" w:type="dxa"/>
            <w:bottom w:w="0" w:type="dxa"/>
          </w:tblCellMar>
        </w:tblPrEx>
        <w:trPr>
          <w:trHeight w:val="60"/>
        </w:trPr>
        <w:tc>
          <w:tcPr>
            <w:tcW w:w="8440" w:type="dxa"/>
            <w:gridSpan w:val="2"/>
            <w:tcBorders>
              <w:top w:val="single" w:sz="8" w:space="0" w:color="auto"/>
              <w:left w:val="single" w:sz="8" w:space="0" w:color="auto"/>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b/>
                <w:bCs/>
                <w:sz w:val="22"/>
                <w:szCs w:val="22"/>
                <w:highlight w:val="white"/>
                <w:shd w:val="clear" w:color="auto" w:fill="FEFEFE"/>
              </w:rPr>
              <w:t>Предвидени са специални правила за изчисляване на СПО за някои типове характеристики и за общото СПО на стопанството</w:t>
            </w:r>
          </w:p>
        </w:tc>
        <w:bookmarkStart w:id="0" w:name="_GoBack"/>
        <w:bookmarkEnd w:id="0"/>
      </w:tr>
      <w:tr w:rsidR="00DC0AF7" w:rsidRPr="006B4B36">
        <w:tblPrEx>
          <w:tblCellMar>
            <w:top w:w="0" w:type="dxa"/>
            <w:bottom w:w="0" w:type="dxa"/>
          </w:tblCellMar>
        </w:tblPrEx>
        <w:trPr>
          <w:trHeight w:val="698"/>
        </w:trPr>
        <w:tc>
          <w:tcPr>
            <w:tcW w:w="291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Код 4101 Телета и малачета до 1 година - г) Животни от рода на едрия рогат добитък под едногодишна възраст, мъжки и женски</w:t>
            </w:r>
          </w:p>
        </w:tc>
        <w:tc>
          <w:tcPr>
            <w:tcW w:w="5528"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Изчисляването на икономическия размер на земеделските стопанства, отнасящи се до животни от рода на едрия рогат добитък под едногодишна възраст, се взема предвид, когато се изчислява общата стандартна продукция/СП на стопанството, само когато в стопанството има повече животни от рода на едрия рогат добитък под едногодишна възраст отколкото крави. Взема се предвид само стандартната продукция/СП, отнасяща се до превишаващия броя на кравите брой на животните от рода на едрия рогат добитък под едногодишна възраст.</w:t>
            </w:r>
          </w:p>
        </w:tc>
      </w:tr>
      <w:tr w:rsidR="00DC0AF7" w:rsidRPr="006B4B36">
        <w:tblPrEx>
          <w:tblCellMar>
            <w:top w:w="0" w:type="dxa"/>
            <w:bottom w:w="0" w:type="dxa"/>
          </w:tblCellMar>
        </w:tblPrEx>
        <w:trPr>
          <w:trHeight w:val="875"/>
        </w:trPr>
        <w:tc>
          <w:tcPr>
            <w:tcW w:w="291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lastRenderedPageBreak/>
              <w:t>Код 4112 Други овце</w:t>
            </w:r>
          </w:p>
        </w:tc>
        <w:tc>
          <w:tcPr>
            <w:tcW w:w="5528"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Изчисляването на икономическия размер на земеделските стопанства, отнасящ се до други овце, се взема предвид при изчисляване на общата стандартна продукция/СП на стопанството само ако в стопанството няма овце майки.</w:t>
            </w:r>
          </w:p>
        </w:tc>
      </w:tr>
      <w:tr w:rsidR="00DC0AF7" w:rsidRPr="006B4B36">
        <w:tblPrEx>
          <w:tblCellMar>
            <w:top w:w="0" w:type="dxa"/>
            <w:bottom w:w="0" w:type="dxa"/>
          </w:tblCellMar>
        </w:tblPrEx>
        <w:trPr>
          <w:trHeight w:val="887"/>
        </w:trPr>
        <w:tc>
          <w:tcPr>
            <w:tcW w:w="291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Код 4107 Други кози</w:t>
            </w:r>
          </w:p>
        </w:tc>
        <w:tc>
          <w:tcPr>
            <w:tcW w:w="5528"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Изчисляването на икономическия размер на земеделските стопанства, отнасящ се до други кози, се взема предвид при изчисляване на общата стандартна продукция/СП на стопанството само ако в стопанството няма кози майки.</w:t>
            </w:r>
          </w:p>
        </w:tc>
      </w:tr>
      <w:tr w:rsidR="00DC0AF7" w:rsidRPr="006B4B36">
        <w:tblPrEx>
          <w:tblCellMar>
            <w:top w:w="0" w:type="dxa"/>
            <w:bottom w:w="0" w:type="dxa"/>
          </w:tblCellMar>
        </w:tblPrEx>
        <w:trPr>
          <w:trHeight w:val="1125"/>
        </w:trPr>
        <w:tc>
          <w:tcPr>
            <w:tcW w:w="291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Код 4108 Прасенца под 45 дни</w:t>
            </w:r>
          </w:p>
        </w:tc>
        <w:tc>
          <w:tcPr>
            <w:tcW w:w="5528" w:type="dxa"/>
            <w:tcBorders>
              <w:top w:val="nil"/>
              <w:left w:val="nil"/>
              <w:bottom w:val="single" w:sz="8" w:space="0" w:color="auto"/>
              <w:right w:val="single" w:sz="8" w:space="0" w:color="auto"/>
            </w:tcBorders>
            <w:shd w:val="clear" w:color="auto" w:fill="FEFEFE"/>
            <w:tcMar>
              <w:top w:w="60" w:type="dxa"/>
              <w:bottom w:w="0" w:type="dxa"/>
            </w:tcMar>
            <w:vAlign w:val="center"/>
          </w:tcPr>
          <w:p w:rsidR="00DC0AF7" w:rsidRPr="006B4B36" w:rsidRDefault="00DC0AF7">
            <w:pPr>
              <w:spacing w:before="100" w:beforeAutospacing="1" w:after="100" w:afterAutospacing="1" w:line="262" w:lineRule="atLeast"/>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Изчисляването на икономическия размер на земеделските стопанства, свързано с прасенца под 45 дни, се взема предвид при изчисляване на общата стандартна продукция/СП на стопанството само ако в стопанството няма свине майки.</w:t>
            </w:r>
          </w:p>
        </w:tc>
      </w:tr>
    </w:tbl>
    <w:p w:rsidR="00DC0AF7" w:rsidRPr="006B4B36" w:rsidRDefault="00DC0AF7">
      <w:pPr>
        <w:ind w:firstLine="850"/>
        <w:jc w:val="both"/>
        <w:rPr>
          <w:rFonts w:eastAsia="Times New Roman"/>
          <w:sz w:val="22"/>
          <w:szCs w:val="22"/>
          <w:highlight w:val="white"/>
          <w:shd w:val="clear" w:color="auto" w:fill="FEFEFE"/>
        </w:rPr>
      </w:pPr>
      <w:r w:rsidRPr="006B4B36">
        <w:rPr>
          <w:rFonts w:eastAsia="Times New Roman"/>
          <w:sz w:val="22"/>
          <w:szCs w:val="22"/>
          <w:highlight w:val="white"/>
          <w:shd w:val="clear" w:color="auto" w:fill="FEFEFE"/>
        </w:rPr>
        <w:t> </w:t>
      </w:r>
    </w:p>
    <w:p w:rsidR="00DC0AF7" w:rsidRPr="006B4B36" w:rsidRDefault="00DC0AF7">
      <w:pPr>
        <w:rPr>
          <w:rFonts w:eastAsia="Times New Roman"/>
          <w:sz w:val="22"/>
          <w:szCs w:val="22"/>
          <w:highlight w:val="white"/>
          <w:shd w:val="clear" w:color="auto" w:fill="FEFEFE"/>
        </w:rPr>
      </w:pPr>
    </w:p>
    <w:sectPr w:rsidR="00DC0AF7" w:rsidRPr="006B4B36">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F7"/>
    <w:rsid w:val="006B4B36"/>
    <w:rsid w:val="00DC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umis2020.government.bg/" TargetMode="External"/><Relationship Id="rId12" Type="http://schemas.openxmlformats.org/officeDocument/2006/relationships/hyperlink" Target="https://www.dfz.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umis2020.government.bg/" TargetMode="Externa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0" Type="http://schemas.openxmlformats.org/officeDocument/2006/relationships/hyperlink" Target="http://www.dfz.bg/" TargetMode="External"/><Relationship Id="rId4" Type="http://schemas.openxmlformats.org/officeDocument/2006/relationships/settings" Target="settings.xml"/><Relationship Id="rId9" Type="http://schemas.openxmlformats.org/officeDocument/2006/relationships/hyperlink" Target="http://www.dfz.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FFF2-428E-4C3B-B936-FC96F5A9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14708</Words>
  <Characters>83839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Бонева</dc:creator>
  <cp:lastModifiedBy>Бонева</cp:lastModifiedBy>
  <cp:revision>2</cp:revision>
  <dcterms:created xsi:type="dcterms:W3CDTF">2021-10-07T14:18:00Z</dcterms:created>
  <dcterms:modified xsi:type="dcterms:W3CDTF">2021-10-07T14:18:00Z</dcterms:modified>
</cp:coreProperties>
</file>