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14:paraId="48D0A73A" w14:textId="77777777" w:rsidTr="00F73636">
        <w:tc>
          <w:tcPr>
            <w:tcW w:w="9923" w:type="dxa"/>
            <w:shd w:val="clear" w:color="auto" w:fill="C0C0C0"/>
          </w:tcPr>
          <w:p w14:paraId="2186BB6A" w14:textId="77777777" w:rsidR="001B1430" w:rsidRPr="006E7A46" w:rsidRDefault="001B1430" w:rsidP="00F73636">
            <w:pPr>
              <w:jc w:val="both"/>
              <w:rPr>
                <w:rFonts w:ascii="Arial" w:hAnsi="Arial" w:cs="Arial"/>
                <w:b/>
                <w:i/>
                <w:sz w:val="20"/>
              </w:rPr>
            </w:pPr>
            <w:bookmarkStart w:id="0" w:name="_GoBack" w:colFirst="0" w:colLast="0"/>
            <w:r w:rsidRPr="006E7A46">
              <w:rPr>
                <w:rFonts w:ascii="Arial" w:hAnsi="Arial" w:cs="Arial"/>
                <w:b/>
                <w:i/>
                <w:sz w:val="20"/>
              </w:rPr>
              <w:t>Директни плащания</w:t>
            </w:r>
          </w:p>
        </w:tc>
      </w:tr>
      <w:bookmarkEnd w:id="0"/>
    </w:tbl>
    <w:p w14:paraId="07AC2E1F" w14:textId="77777777" w:rsidR="00FE4D8F" w:rsidRDefault="00FE4D8F" w:rsidP="001B1430">
      <w:pPr>
        <w:jc w:val="both"/>
        <w:rPr>
          <w:rStyle w:val="longtext"/>
          <w:rFonts w:ascii="Arial" w:hAnsi="Arial" w:cs="Arial"/>
          <w:b/>
          <w:sz w:val="20"/>
          <w:lang w:val="en-US"/>
        </w:rPr>
      </w:pPr>
    </w:p>
    <w:p w14:paraId="73720AC3" w14:textId="77777777" w:rsidR="004C16F3" w:rsidRDefault="000144D9" w:rsidP="004C16F3">
      <w:pPr>
        <w:pStyle w:val="NormalWeb"/>
        <w:spacing w:before="0" w:beforeAutospacing="0" w:after="75" w:afterAutospacing="0" w:line="240" w:lineRule="atLeast"/>
        <w:jc w:val="both"/>
        <w:rPr>
          <w:rFonts w:ascii="Arial" w:hAnsi="Arial" w:cs="Arial"/>
          <w:sz w:val="20"/>
          <w:szCs w:val="20"/>
        </w:rPr>
      </w:pPr>
      <w:r w:rsidRPr="006769DE">
        <w:rPr>
          <w:rStyle w:val="longtext"/>
          <w:rFonts w:ascii="Arial" w:hAnsi="Arial" w:cs="Arial"/>
          <w:b/>
          <w:sz w:val="20"/>
          <w:lang w:val="ru-RU"/>
        </w:rPr>
        <w:t>1.</w:t>
      </w:r>
      <w:r w:rsidR="004C16F3">
        <w:rPr>
          <w:rStyle w:val="longtext"/>
          <w:rFonts w:ascii="Arial" w:hAnsi="Arial" w:cs="Arial"/>
          <w:b/>
          <w:sz w:val="20"/>
        </w:rPr>
        <w:t xml:space="preserve"> </w:t>
      </w:r>
      <w:r w:rsidR="004C16F3" w:rsidRPr="000F3BE2">
        <w:rPr>
          <w:rFonts w:ascii="Arial" w:hAnsi="Arial" w:cs="Arial"/>
          <w:b/>
          <w:sz w:val="20"/>
          <w:szCs w:val="20"/>
        </w:rPr>
        <w:t>На 12 май земеделските стопани получиха близо 5 млн. лева по Схемата за специално плащане за памук за Кампания 2019.</w:t>
      </w:r>
      <w:r w:rsidR="004C16F3" w:rsidRPr="000F3BE2">
        <w:rPr>
          <w:rFonts w:ascii="Arial" w:hAnsi="Arial" w:cs="Arial"/>
          <w:sz w:val="20"/>
          <w:szCs w:val="20"/>
        </w:rPr>
        <w:t xml:space="preserve"> Подпомагане </w:t>
      </w:r>
      <w:r w:rsidR="004C16F3">
        <w:rPr>
          <w:rFonts w:ascii="Arial" w:hAnsi="Arial" w:cs="Arial"/>
          <w:sz w:val="20"/>
          <w:szCs w:val="20"/>
        </w:rPr>
        <w:t>е изплатено на</w:t>
      </w:r>
      <w:r w:rsidR="004C16F3" w:rsidRPr="000F3BE2">
        <w:rPr>
          <w:rFonts w:ascii="Arial" w:hAnsi="Arial" w:cs="Arial"/>
          <w:sz w:val="20"/>
          <w:szCs w:val="20"/>
        </w:rPr>
        <w:t xml:space="preserve"> 113 земеделски стопани, които отглеждат памук и са заявили участие </w:t>
      </w:r>
      <w:r w:rsidR="004C16F3">
        <w:rPr>
          <w:rFonts w:ascii="Arial" w:hAnsi="Arial" w:cs="Arial"/>
          <w:sz w:val="20"/>
          <w:szCs w:val="20"/>
        </w:rPr>
        <w:t>в схемата</w:t>
      </w:r>
      <w:r w:rsidR="004C16F3" w:rsidRPr="000F3BE2">
        <w:rPr>
          <w:rFonts w:ascii="Arial" w:hAnsi="Arial" w:cs="Arial"/>
          <w:sz w:val="20"/>
          <w:szCs w:val="20"/>
        </w:rPr>
        <w:t xml:space="preserve"> от сортове, вписани в Сорто</w:t>
      </w:r>
      <w:r w:rsidR="004C16F3">
        <w:rPr>
          <w:rFonts w:ascii="Arial" w:hAnsi="Arial" w:cs="Arial"/>
          <w:sz w:val="20"/>
          <w:szCs w:val="20"/>
        </w:rPr>
        <w:t>в</w:t>
      </w:r>
      <w:r w:rsidR="004C16F3" w:rsidRPr="000F3BE2">
        <w:rPr>
          <w:rFonts w:ascii="Arial" w:hAnsi="Arial" w:cs="Arial"/>
          <w:sz w:val="20"/>
          <w:szCs w:val="20"/>
        </w:rPr>
        <w:t xml:space="preserve">ата листа на България или в Европейския каталог на полските култури. Съгласно чл. 17, ал. 2 от Наредба 3 от 17.02.2015 г. за условията и реда за прилагане на схемите за директни плащания е необходимо памукопроизводителите да предоставят </w:t>
      </w:r>
      <w:r w:rsidR="004C16F3">
        <w:rPr>
          <w:rFonts w:ascii="Arial" w:hAnsi="Arial" w:cs="Arial"/>
          <w:sz w:val="20"/>
          <w:szCs w:val="20"/>
        </w:rPr>
        <w:t>до 1 декември на годината на кандидатстване в</w:t>
      </w:r>
      <w:r w:rsidR="004C16F3" w:rsidRPr="000F3BE2">
        <w:rPr>
          <w:rFonts w:ascii="Arial" w:hAnsi="Arial" w:cs="Arial"/>
          <w:sz w:val="20"/>
          <w:szCs w:val="20"/>
        </w:rPr>
        <w:t xml:space="preserve"> </w:t>
      </w:r>
      <w:r w:rsidR="004C16F3">
        <w:rPr>
          <w:rFonts w:ascii="Arial" w:hAnsi="Arial" w:cs="Arial"/>
          <w:sz w:val="20"/>
          <w:szCs w:val="20"/>
        </w:rPr>
        <w:t xml:space="preserve">съответната областна дирекция на </w:t>
      </w:r>
      <w:r w:rsidR="004C16F3" w:rsidRPr="000F3BE2">
        <w:rPr>
          <w:rFonts w:ascii="Arial" w:hAnsi="Arial" w:cs="Arial"/>
          <w:sz w:val="20"/>
          <w:szCs w:val="20"/>
        </w:rPr>
        <w:t>ДФ „Земеделие” сключен договор за изкупуване на произведената от тях продукция</w:t>
      </w:r>
      <w:r w:rsidR="004C16F3">
        <w:rPr>
          <w:rFonts w:ascii="Arial" w:hAnsi="Arial" w:cs="Arial"/>
          <w:sz w:val="20"/>
          <w:szCs w:val="20"/>
        </w:rPr>
        <w:t>. Изплатено</w:t>
      </w:r>
      <w:r w:rsidR="004C16F3" w:rsidRPr="000F3BE2">
        <w:rPr>
          <w:rFonts w:ascii="Arial" w:hAnsi="Arial" w:cs="Arial"/>
          <w:sz w:val="20"/>
          <w:szCs w:val="20"/>
        </w:rPr>
        <w:t>то подп</w:t>
      </w:r>
      <w:r w:rsidR="004C16F3">
        <w:rPr>
          <w:rFonts w:ascii="Arial" w:hAnsi="Arial" w:cs="Arial"/>
          <w:sz w:val="20"/>
          <w:szCs w:val="20"/>
        </w:rPr>
        <w:t>омагане е изчислено на съобразно с разпоредбата на</w:t>
      </w:r>
      <w:r w:rsidR="004C16F3" w:rsidRPr="000F3BE2">
        <w:rPr>
          <w:rFonts w:ascii="Arial" w:hAnsi="Arial" w:cs="Arial"/>
          <w:sz w:val="20"/>
          <w:szCs w:val="20"/>
        </w:rPr>
        <w:t xml:space="preserve"> чл. 58 на Регламент (ЕС) № 1307/2013 на Европейския парламент и на Съвета от 17 декември 2013 година</w:t>
      </w:r>
      <w:r w:rsidR="004C16F3">
        <w:rPr>
          <w:rFonts w:ascii="Arial" w:hAnsi="Arial" w:cs="Arial"/>
          <w:sz w:val="20"/>
          <w:szCs w:val="20"/>
        </w:rPr>
        <w:t>.</w:t>
      </w:r>
    </w:p>
    <w:p w14:paraId="7913E12F" w14:textId="6D0A56F4" w:rsidR="00A50F24" w:rsidRPr="004F450F" w:rsidRDefault="00A50F24" w:rsidP="00A50F24">
      <w:pPr>
        <w:pStyle w:val="NormalWeb"/>
        <w:spacing w:after="75" w:line="240" w:lineRule="atLeast"/>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w:t>
      </w:r>
      <w:r w:rsidRPr="00A50F24">
        <w:rPr>
          <w:rFonts w:ascii="Arial" w:hAnsi="Arial" w:cs="Arial"/>
          <w:b/>
          <w:sz w:val="20"/>
          <w:szCs w:val="20"/>
        </w:rPr>
        <w:t>У</w:t>
      </w:r>
      <w:r w:rsidRPr="00A50F24">
        <w:rPr>
          <w:rFonts w:ascii="Arial" w:hAnsi="Arial" w:cs="Arial" w:hint="eastAsia"/>
          <w:b/>
          <w:sz w:val="20"/>
          <w:szCs w:val="20"/>
        </w:rPr>
        <w:t>дължава</w:t>
      </w:r>
      <w:r w:rsidRPr="00A50F24">
        <w:rPr>
          <w:rFonts w:ascii="Arial" w:hAnsi="Arial" w:cs="Arial"/>
          <w:b/>
          <w:sz w:val="20"/>
          <w:szCs w:val="20"/>
        </w:rPr>
        <w:t xml:space="preserve"> се </w:t>
      </w:r>
      <w:r w:rsidRPr="00A50F24">
        <w:rPr>
          <w:rFonts w:ascii="Arial" w:hAnsi="Arial" w:cs="Arial" w:hint="eastAsia"/>
          <w:b/>
          <w:sz w:val="20"/>
          <w:szCs w:val="20"/>
        </w:rPr>
        <w:t>срока</w:t>
      </w:r>
      <w:r w:rsidRPr="00A50F24">
        <w:rPr>
          <w:rFonts w:ascii="Arial" w:hAnsi="Arial" w:cs="Arial"/>
          <w:b/>
          <w:sz w:val="20"/>
          <w:szCs w:val="20"/>
        </w:rPr>
        <w:t xml:space="preserve"> </w:t>
      </w:r>
      <w:r w:rsidRPr="00A50F24">
        <w:rPr>
          <w:rFonts w:ascii="Arial" w:hAnsi="Arial" w:cs="Arial" w:hint="eastAsia"/>
          <w:b/>
          <w:sz w:val="20"/>
          <w:szCs w:val="20"/>
        </w:rPr>
        <w:t>за</w:t>
      </w:r>
      <w:r w:rsidRPr="00A50F24">
        <w:rPr>
          <w:rFonts w:ascii="Arial" w:hAnsi="Arial" w:cs="Arial"/>
          <w:b/>
          <w:sz w:val="20"/>
          <w:szCs w:val="20"/>
        </w:rPr>
        <w:t xml:space="preserve"> </w:t>
      </w:r>
      <w:r w:rsidRPr="00A50F24">
        <w:rPr>
          <w:rFonts w:ascii="Arial" w:hAnsi="Arial" w:cs="Arial" w:hint="eastAsia"/>
          <w:b/>
          <w:sz w:val="20"/>
          <w:szCs w:val="20"/>
        </w:rPr>
        <w:t>подаване</w:t>
      </w:r>
      <w:r w:rsidRPr="00A50F24">
        <w:rPr>
          <w:rFonts w:ascii="Arial" w:hAnsi="Arial" w:cs="Arial"/>
          <w:b/>
          <w:sz w:val="20"/>
          <w:szCs w:val="20"/>
        </w:rPr>
        <w:t xml:space="preserve"> </w:t>
      </w:r>
      <w:r w:rsidRPr="00A50F24">
        <w:rPr>
          <w:rFonts w:ascii="Arial" w:hAnsi="Arial" w:cs="Arial" w:hint="eastAsia"/>
          <w:b/>
          <w:sz w:val="20"/>
          <w:szCs w:val="20"/>
        </w:rPr>
        <w:t>на</w:t>
      </w:r>
      <w:r w:rsidRPr="00A50F24">
        <w:rPr>
          <w:rFonts w:ascii="Arial" w:hAnsi="Arial" w:cs="Arial"/>
          <w:b/>
          <w:sz w:val="20"/>
          <w:szCs w:val="20"/>
        </w:rPr>
        <w:t xml:space="preserve"> </w:t>
      </w:r>
      <w:r w:rsidRPr="00A50F24">
        <w:rPr>
          <w:rFonts w:ascii="Arial" w:hAnsi="Arial" w:cs="Arial" w:hint="eastAsia"/>
          <w:b/>
          <w:sz w:val="20"/>
          <w:szCs w:val="20"/>
        </w:rPr>
        <w:t>заявленията</w:t>
      </w:r>
      <w:r w:rsidRPr="00A50F24">
        <w:rPr>
          <w:rFonts w:ascii="Arial" w:hAnsi="Arial" w:cs="Arial"/>
          <w:b/>
          <w:sz w:val="20"/>
          <w:szCs w:val="20"/>
        </w:rPr>
        <w:t xml:space="preserve"> </w:t>
      </w:r>
      <w:r w:rsidRPr="00A50F24">
        <w:rPr>
          <w:rFonts w:ascii="Arial" w:hAnsi="Arial" w:cs="Arial" w:hint="eastAsia"/>
          <w:b/>
          <w:sz w:val="20"/>
          <w:szCs w:val="20"/>
        </w:rPr>
        <w:t>за</w:t>
      </w:r>
      <w:r w:rsidRPr="00A50F24">
        <w:rPr>
          <w:rFonts w:ascii="Arial" w:hAnsi="Arial" w:cs="Arial"/>
          <w:b/>
          <w:sz w:val="20"/>
          <w:szCs w:val="20"/>
        </w:rPr>
        <w:t xml:space="preserve"> </w:t>
      </w:r>
      <w:r w:rsidRPr="00A50F24">
        <w:rPr>
          <w:rFonts w:ascii="Arial" w:hAnsi="Arial" w:cs="Arial" w:hint="eastAsia"/>
          <w:b/>
          <w:sz w:val="20"/>
          <w:szCs w:val="20"/>
        </w:rPr>
        <w:t>подпомагане</w:t>
      </w:r>
      <w:r w:rsidRPr="00A50F24">
        <w:rPr>
          <w:rFonts w:ascii="Arial" w:hAnsi="Arial" w:cs="Arial"/>
          <w:b/>
          <w:sz w:val="20"/>
          <w:szCs w:val="20"/>
        </w:rPr>
        <w:t xml:space="preserve"> </w:t>
      </w:r>
      <w:r w:rsidRPr="00A50F24">
        <w:rPr>
          <w:rFonts w:ascii="Arial" w:hAnsi="Arial" w:cs="Arial" w:hint="eastAsia"/>
          <w:b/>
          <w:sz w:val="20"/>
          <w:szCs w:val="20"/>
        </w:rPr>
        <w:t>с</w:t>
      </w:r>
      <w:r w:rsidRPr="00A50F24">
        <w:rPr>
          <w:rFonts w:ascii="Arial" w:hAnsi="Arial" w:cs="Arial"/>
          <w:b/>
          <w:sz w:val="20"/>
          <w:szCs w:val="20"/>
        </w:rPr>
        <w:t xml:space="preserve"> </w:t>
      </w:r>
      <w:r w:rsidRPr="00A50F24">
        <w:rPr>
          <w:rFonts w:ascii="Arial" w:hAnsi="Arial" w:cs="Arial" w:hint="eastAsia"/>
          <w:b/>
          <w:sz w:val="20"/>
          <w:szCs w:val="20"/>
        </w:rPr>
        <w:t>директни</w:t>
      </w:r>
      <w:r w:rsidRPr="00A50F24">
        <w:rPr>
          <w:rFonts w:ascii="Arial" w:hAnsi="Arial" w:cs="Arial"/>
          <w:b/>
          <w:sz w:val="20"/>
          <w:szCs w:val="20"/>
        </w:rPr>
        <w:t xml:space="preserve"> </w:t>
      </w:r>
      <w:r w:rsidRPr="00A50F24">
        <w:rPr>
          <w:rFonts w:ascii="Arial" w:hAnsi="Arial" w:cs="Arial" w:hint="eastAsia"/>
          <w:b/>
          <w:sz w:val="20"/>
          <w:szCs w:val="20"/>
        </w:rPr>
        <w:t>плащания</w:t>
      </w:r>
      <w:r w:rsidRPr="00A50F24">
        <w:rPr>
          <w:rFonts w:ascii="Arial" w:hAnsi="Arial" w:cs="Arial"/>
          <w:b/>
          <w:sz w:val="20"/>
          <w:szCs w:val="20"/>
        </w:rPr>
        <w:t xml:space="preserve"> </w:t>
      </w:r>
      <w:r w:rsidRPr="00A50F24">
        <w:rPr>
          <w:rFonts w:ascii="Arial" w:hAnsi="Arial" w:cs="Arial" w:hint="eastAsia"/>
          <w:b/>
          <w:sz w:val="20"/>
          <w:szCs w:val="20"/>
        </w:rPr>
        <w:t>за</w:t>
      </w:r>
      <w:r w:rsidRPr="00A50F24">
        <w:rPr>
          <w:rFonts w:ascii="Arial" w:hAnsi="Arial" w:cs="Arial"/>
          <w:b/>
          <w:sz w:val="20"/>
          <w:szCs w:val="20"/>
        </w:rPr>
        <w:t xml:space="preserve"> </w:t>
      </w:r>
      <w:r w:rsidRPr="00A50F24">
        <w:rPr>
          <w:rFonts w:ascii="Arial" w:hAnsi="Arial" w:cs="Arial" w:hint="eastAsia"/>
          <w:b/>
          <w:sz w:val="20"/>
          <w:szCs w:val="20"/>
        </w:rPr>
        <w:t>Кампания</w:t>
      </w:r>
      <w:r w:rsidRPr="00A50F24">
        <w:rPr>
          <w:rFonts w:ascii="Arial" w:hAnsi="Arial" w:cs="Arial"/>
          <w:b/>
          <w:sz w:val="20"/>
          <w:szCs w:val="20"/>
        </w:rPr>
        <w:t xml:space="preserve"> 2020 </w:t>
      </w:r>
      <w:r w:rsidRPr="00A50F24">
        <w:rPr>
          <w:rFonts w:ascii="Arial" w:hAnsi="Arial" w:cs="Arial" w:hint="eastAsia"/>
          <w:b/>
          <w:sz w:val="20"/>
          <w:szCs w:val="20"/>
        </w:rPr>
        <w:t>до</w:t>
      </w:r>
      <w:r w:rsidRPr="00A50F24">
        <w:rPr>
          <w:rFonts w:ascii="Arial" w:hAnsi="Arial" w:cs="Arial"/>
          <w:b/>
          <w:sz w:val="20"/>
          <w:szCs w:val="20"/>
        </w:rPr>
        <w:t xml:space="preserve"> 20-</w:t>
      </w:r>
      <w:r w:rsidRPr="00A50F24">
        <w:rPr>
          <w:rFonts w:ascii="Arial" w:hAnsi="Arial" w:cs="Arial" w:hint="eastAsia"/>
          <w:b/>
          <w:sz w:val="20"/>
          <w:szCs w:val="20"/>
        </w:rPr>
        <w:t>ти</w:t>
      </w:r>
      <w:r w:rsidRPr="00A50F24">
        <w:rPr>
          <w:rFonts w:ascii="Arial" w:hAnsi="Arial" w:cs="Arial"/>
          <w:b/>
          <w:sz w:val="20"/>
          <w:szCs w:val="20"/>
        </w:rPr>
        <w:t xml:space="preserve"> </w:t>
      </w:r>
      <w:r w:rsidRPr="00A50F24">
        <w:rPr>
          <w:rFonts w:ascii="Arial" w:hAnsi="Arial" w:cs="Arial" w:hint="eastAsia"/>
          <w:b/>
          <w:sz w:val="20"/>
          <w:szCs w:val="20"/>
        </w:rPr>
        <w:t>май</w:t>
      </w:r>
      <w:r w:rsidRPr="00A50F24">
        <w:rPr>
          <w:rFonts w:ascii="Arial" w:hAnsi="Arial" w:cs="Arial"/>
          <w:b/>
          <w:sz w:val="20"/>
          <w:szCs w:val="20"/>
        </w:rPr>
        <w:t xml:space="preserve"> (</w:t>
      </w:r>
      <w:r w:rsidRPr="00A50F24">
        <w:rPr>
          <w:rFonts w:ascii="Arial" w:hAnsi="Arial" w:cs="Arial" w:hint="eastAsia"/>
          <w:b/>
          <w:sz w:val="20"/>
          <w:szCs w:val="20"/>
        </w:rPr>
        <w:t>сряда</w:t>
      </w:r>
      <w:r w:rsidRPr="00A50F24">
        <w:rPr>
          <w:rFonts w:ascii="Arial" w:hAnsi="Arial" w:cs="Arial"/>
          <w:b/>
          <w:sz w:val="20"/>
          <w:szCs w:val="20"/>
        </w:rPr>
        <w:t xml:space="preserve">) </w:t>
      </w:r>
      <w:r w:rsidRPr="00A50F24">
        <w:rPr>
          <w:rFonts w:ascii="Arial" w:hAnsi="Arial" w:cs="Arial" w:hint="eastAsia"/>
          <w:b/>
          <w:sz w:val="20"/>
          <w:szCs w:val="20"/>
        </w:rPr>
        <w:t>включително</w:t>
      </w:r>
      <w:r w:rsidRPr="00A50F24">
        <w:rPr>
          <w:rFonts w:ascii="Arial" w:hAnsi="Arial" w:cs="Arial"/>
          <w:b/>
          <w:sz w:val="20"/>
          <w:szCs w:val="20"/>
        </w:rPr>
        <w:t xml:space="preserve"> </w:t>
      </w:r>
      <w:r w:rsidRPr="00A50F24">
        <w:rPr>
          <w:rFonts w:ascii="Arial" w:hAnsi="Arial" w:cs="Arial" w:hint="eastAsia"/>
          <w:b/>
          <w:sz w:val="20"/>
          <w:szCs w:val="20"/>
        </w:rPr>
        <w:t>без</w:t>
      </w:r>
      <w:r w:rsidRPr="00A50F24">
        <w:rPr>
          <w:rFonts w:ascii="Arial" w:hAnsi="Arial" w:cs="Arial"/>
          <w:b/>
          <w:sz w:val="20"/>
          <w:szCs w:val="20"/>
        </w:rPr>
        <w:t xml:space="preserve"> </w:t>
      </w:r>
      <w:r w:rsidRPr="00A50F24">
        <w:rPr>
          <w:rFonts w:ascii="Arial" w:hAnsi="Arial" w:cs="Arial" w:hint="eastAsia"/>
          <w:b/>
          <w:sz w:val="20"/>
          <w:szCs w:val="20"/>
        </w:rPr>
        <w:t>санкция</w:t>
      </w:r>
      <w:r w:rsidRPr="00A50F24">
        <w:rPr>
          <w:rFonts w:ascii="Arial" w:hAnsi="Arial" w:cs="Arial"/>
          <w:b/>
          <w:sz w:val="20"/>
          <w:szCs w:val="20"/>
        </w:rPr>
        <w:t>.</w:t>
      </w:r>
      <w:r w:rsidRPr="00A50F24">
        <w:rPr>
          <w:rFonts w:ascii="Arial" w:hAnsi="Arial" w:cs="Arial"/>
          <w:sz w:val="20"/>
          <w:szCs w:val="20"/>
        </w:rPr>
        <w:t xml:space="preserve"> </w:t>
      </w:r>
      <w:r w:rsidRPr="00A50F24">
        <w:rPr>
          <w:rFonts w:ascii="Arial" w:hAnsi="Arial" w:cs="Arial" w:hint="eastAsia"/>
          <w:sz w:val="20"/>
          <w:szCs w:val="20"/>
        </w:rPr>
        <w:t>До</w:t>
      </w:r>
      <w:r w:rsidRPr="00A50F24">
        <w:rPr>
          <w:rFonts w:ascii="Arial" w:hAnsi="Arial" w:cs="Arial"/>
          <w:sz w:val="20"/>
          <w:szCs w:val="20"/>
        </w:rPr>
        <w:t xml:space="preserve"> 5 </w:t>
      </w:r>
      <w:r w:rsidRPr="00A50F24">
        <w:rPr>
          <w:rFonts w:ascii="Arial" w:hAnsi="Arial" w:cs="Arial" w:hint="eastAsia"/>
          <w:sz w:val="20"/>
          <w:szCs w:val="20"/>
        </w:rPr>
        <w:t>юни</w:t>
      </w:r>
      <w:r w:rsidRPr="00A50F24">
        <w:rPr>
          <w:rFonts w:ascii="Arial" w:hAnsi="Arial" w:cs="Arial"/>
          <w:sz w:val="20"/>
          <w:szCs w:val="20"/>
        </w:rPr>
        <w:t xml:space="preserve"> 2020 </w:t>
      </w:r>
      <w:r w:rsidRPr="00A50F24">
        <w:rPr>
          <w:rFonts w:ascii="Arial" w:hAnsi="Arial" w:cs="Arial" w:hint="eastAsia"/>
          <w:sz w:val="20"/>
          <w:szCs w:val="20"/>
        </w:rPr>
        <w:t>г</w:t>
      </w:r>
      <w:r w:rsidRPr="00A50F24">
        <w:rPr>
          <w:rFonts w:ascii="Arial" w:hAnsi="Arial" w:cs="Arial"/>
          <w:sz w:val="20"/>
          <w:szCs w:val="20"/>
        </w:rPr>
        <w:t xml:space="preserve">. </w:t>
      </w:r>
      <w:r w:rsidRPr="00A50F24">
        <w:rPr>
          <w:rFonts w:ascii="Arial" w:hAnsi="Arial" w:cs="Arial" w:hint="eastAsia"/>
          <w:sz w:val="20"/>
          <w:szCs w:val="20"/>
        </w:rPr>
        <w:t>се</w:t>
      </w:r>
      <w:r w:rsidRPr="00A50F24">
        <w:rPr>
          <w:rFonts w:ascii="Arial" w:hAnsi="Arial" w:cs="Arial"/>
          <w:sz w:val="20"/>
          <w:szCs w:val="20"/>
        </w:rPr>
        <w:t xml:space="preserve"> </w:t>
      </w:r>
      <w:r w:rsidRPr="00A50F24">
        <w:rPr>
          <w:rFonts w:ascii="Arial" w:hAnsi="Arial" w:cs="Arial" w:hint="eastAsia"/>
          <w:sz w:val="20"/>
          <w:szCs w:val="20"/>
        </w:rPr>
        <w:t>удължава</w:t>
      </w:r>
      <w:r w:rsidRPr="00A50F24">
        <w:rPr>
          <w:rFonts w:ascii="Arial" w:hAnsi="Arial" w:cs="Arial"/>
          <w:sz w:val="20"/>
          <w:szCs w:val="20"/>
        </w:rPr>
        <w:t xml:space="preserve"> </w:t>
      </w:r>
      <w:r w:rsidRPr="00A50F24">
        <w:rPr>
          <w:rFonts w:ascii="Arial" w:hAnsi="Arial" w:cs="Arial" w:hint="eastAsia"/>
          <w:sz w:val="20"/>
          <w:szCs w:val="20"/>
        </w:rPr>
        <w:t>и</w:t>
      </w:r>
      <w:r w:rsidRPr="00A50F24">
        <w:rPr>
          <w:rFonts w:ascii="Arial" w:hAnsi="Arial" w:cs="Arial"/>
          <w:sz w:val="20"/>
          <w:szCs w:val="20"/>
        </w:rPr>
        <w:t xml:space="preserve"> </w:t>
      </w:r>
      <w:r w:rsidRPr="00A50F24">
        <w:rPr>
          <w:rFonts w:ascii="Arial" w:hAnsi="Arial" w:cs="Arial" w:hint="eastAsia"/>
          <w:sz w:val="20"/>
          <w:szCs w:val="20"/>
        </w:rPr>
        <w:t>срокът</w:t>
      </w:r>
      <w:r w:rsidRPr="00A50F24">
        <w:rPr>
          <w:rFonts w:ascii="Arial" w:hAnsi="Arial" w:cs="Arial"/>
          <w:sz w:val="20"/>
          <w:szCs w:val="20"/>
        </w:rPr>
        <w:t xml:space="preserve"> </w:t>
      </w:r>
      <w:r w:rsidRPr="00A50F24">
        <w:rPr>
          <w:rFonts w:ascii="Arial" w:hAnsi="Arial" w:cs="Arial" w:hint="eastAsia"/>
          <w:sz w:val="20"/>
          <w:szCs w:val="20"/>
        </w:rPr>
        <w:t>за</w:t>
      </w:r>
      <w:r w:rsidRPr="00A50F24">
        <w:rPr>
          <w:rFonts w:ascii="Arial" w:hAnsi="Arial" w:cs="Arial"/>
          <w:sz w:val="20"/>
          <w:szCs w:val="20"/>
        </w:rPr>
        <w:t xml:space="preserve"> </w:t>
      </w:r>
      <w:r w:rsidRPr="00A50F24">
        <w:rPr>
          <w:rFonts w:ascii="Arial" w:hAnsi="Arial" w:cs="Arial" w:hint="eastAsia"/>
          <w:sz w:val="20"/>
          <w:szCs w:val="20"/>
        </w:rPr>
        <w:t>извършване</w:t>
      </w:r>
      <w:r w:rsidRPr="00A50F24">
        <w:rPr>
          <w:rFonts w:ascii="Arial" w:hAnsi="Arial" w:cs="Arial"/>
          <w:sz w:val="20"/>
          <w:szCs w:val="20"/>
        </w:rPr>
        <w:t xml:space="preserve"> </w:t>
      </w:r>
      <w:r w:rsidRPr="00A50F24">
        <w:rPr>
          <w:rFonts w:ascii="Arial" w:hAnsi="Arial" w:cs="Arial" w:hint="eastAsia"/>
          <w:sz w:val="20"/>
          <w:szCs w:val="20"/>
        </w:rPr>
        <w:t>на</w:t>
      </w:r>
      <w:r w:rsidRPr="00A50F24">
        <w:rPr>
          <w:rFonts w:ascii="Arial" w:hAnsi="Arial" w:cs="Arial"/>
          <w:sz w:val="20"/>
          <w:szCs w:val="20"/>
        </w:rPr>
        <w:t xml:space="preserve"> </w:t>
      </w:r>
      <w:r w:rsidRPr="00A50F24">
        <w:rPr>
          <w:rFonts w:ascii="Arial" w:hAnsi="Arial" w:cs="Arial" w:hint="eastAsia"/>
          <w:sz w:val="20"/>
          <w:szCs w:val="20"/>
        </w:rPr>
        <w:t>промени</w:t>
      </w:r>
      <w:r w:rsidRPr="00A50F24">
        <w:rPr>
          <w:rFonts w:ascii="Arial" w:hAnsi="Arial" w:cs="Arial"/>
          <w:sz w:val="20"/>
          <w:szCs w:val="20"/>
        </w:rPr>
        <w:t xml:space="preserve"> </w:t>
      </w:r>
      <w:r w:rsidRPr="00A50F24">
        <w:rPr>
          <w:rFonts w:ascii="Arial" w:hAnsi="Arial" w:cs="Arial" w:hint="eastAsia"/>
          <w:sz w:val="20"/>
          <w:szCs w:val="20"/>
        </w:rPr>
        <w:t>в</w:t>
      </w:r>
      <w:r w:rsidRPr="00A50F24">
        <w:rPr>
          <w:rFonts w:ascii="Arial" w:hAnsi="Arial" w:cs="Arial"/>
          <w:sz w:val="20"/>
          <w:szCs w:val="20"/>
        </w:rPr>
        <w:t xml:space="preserve"> </w:t>
      </w:r>
      <w:r w:rsidRPr="00A50F24">
        <w:rPr>
          <w:rFonts w:ascii="Arial" w:hAnsi="Arial" w:cs="Arial" w:hint="eastAsia"/>
          <w:sz w:val="20"/>
          <w:szCs w:val="20"/>
        </w:rPr>
        <w:t>заявлението</w:t>
      </w:r>
      <w:r w:rsidRPr="00A50F24">
        <w:rPr>
          <w:rFonts w:ascii="Arial" w:hAnsi="Arial" w:cs="Arial"/>
          <w:sz w:val="20"/>
          <w:szCs w:val="20"/>
        </w:rPr>
        <w:t xml:space="preserve">. </w:t>
      </w:r>
      <w:r w:rsidRPr="00A50F24">
        <w:rPr>
          <w:rFonts w:ascii="Arial" w:hAnsi="Arial" w:cs="Arial" w:hint="eastAsia"/>
          <w:sz w:val="20"/>
          <w:szCs w:val="20"/>
        </w:rPr>
        <w:t>До</w:t>
      </w:r>
      <w:r w:rsidRPr="00A50F24">
        <w:rPr>
          <w:rFonts w:ascii="Arial" w:hAnsi="Arial" w:cs="Arial"/>
          <w:sz w:val="20"/>
          <w:szCs w:val="20"/>
        </w:rPr>
        <w:t xml:space="preserve"> 15 </w:t>
      </w:r>
      <w:r w:rsidRPr="00A50F24">
        <w:rPr>
          <w:rFonts w:ascii="Arial" w:hAnsi="Arial" w:cs="Arial" w:hint="eastAsia"/>
          <w:sz w:val="20"/>
          <w:szCs w:val="20"/>
        </w:rPr>
        <w:t>юни</w:t>
      </w:r>
      <w:r w:rsidRPr="00A50F24">
        <w:rPr>
          <w:rFonts w:ascii="Arial" w:hAnsi="Arial" w:cs="Arial"/>
          <w:sz w:val="20"/>
          <w:szCs w:val="20"/>
        </w:rPr>
        <w:t xml:space="preserve"> </w:t>
      </w:r>
      <w:r w:rsidRPr="00A50F24">
        <w:rPr>
          <w:rFonts w:ascii="Arial" w:hAnsi="Arial" w:cs="Arial" w:hint="eastAsia"/>
          <w:sz w:val="20"/>
          <w:szCs w:val="20"/>
        </w:rPr>
        <w:t>земеделските</w:t>
      </w:r>
      <w:r w:rsidRPr="00A50F24">
        <w:rPr>
          <w:rFonts w:ascii="Arial" w:hAnsi="Arial" w:cs="Arial"/>
          <w:sz w:val="20"/>
          <w:szCs w:val="20"/>
        </w:rPr>
        <w:t xml:space="preserve"> </w:t>
      </w:r>
      <w:r w:rsidRPr="00A50F24">
        <w:rPr>
          <w:rFonts w:ascii="Arial" w:hAnsi="Arial" w:cs="Arial" w:hint="eastAsia"/>
          <w:sz w:val="20"/>
          <w:szCs w:val="20"/>
        </w:rPr>
        <w:t>производители</w:t>
      </w:r>
      <w:r w:rsidRPr="00A50F24">
        <w:rPr>
          <w:rFonts w:ascii="Arial" w:hAnsi="Arial" w:cs="Arial"/>
          <w:sz w:val="20"/>
          <w:szCs w:val="20"/>
        </w:rPr>
        <w:t xml:space="preserve"> </w:t>
      </w:r>
      <w:r w:rsidRPr="00A50F24">
        <w:rPr>
          <w:rFonts w:ascii="Arial" w:hAnsi="Arial" w:cs="Arial" w:hint="eastAsia"/>
          <w:sz w:val="20"/>
          <w:szCs w:val="20"/>
        </w:rPr>
        <w:t>могат</w:t>
      </w:r>
      <w:r w:rsidRPr="00A50F24">
        <w:rPr>
          <w:rFonts w:ascii="Arial" w:hAnsi="Arial" w:cs="Arial"/>
          <w:sz w:val="20"/>
          <w:szCs w:val="20"/>
        </w:rPr>
        <w:t xml:space="preserve"> </w:t>
      </w:r>
      <w:r w:rsidRPr="00A50F24">
        <w:rPr>
          <w:rFonts w:ascii="Arial" w:hAnsi="Arial" w:cs="Arial" w:hint="eastAsia"/>
          <w:sz w:val="20"/>
          <w:szCs w:val="20"/>
        </w:rPr>
        <w:t>да</w:t>
      </w:r>
      <w:r w:rsidRPr="00A50F24">
        <w:rPr>
          <w:rFonts w:ascii="Arial" w:hAnsi="Arial" w:cs="Arial"/>
          <w:sz w:val="20"/>
          <w:szCs w:val="20"/>
        </w:rPr>
        <w:t xml:space="preserve"> </w:t>
      </w:r>
      <w:r w:rsidRPr="00A50F24">
        <w:rPr>
          <w:rFonts w:ascii="Arial" w:hAnsi="Arial" w:cs="Arial" w:hint="eastAsia"/>
          <w:sz w:val="20"/>
          <w:szCs w:val="20"/>
        </w:rPr>
        <w:t>подават</w:t>
      </w:r>
      <w:r w:rsidRPr="00A50F24">
        <w:rPr>
          <w:rFonts w:ascii="Arial" w:hAnsi="Arial" w:cs="Arial"/>
          <w:sz w:val="20"/>
          <w:szCs w:val="20"/>
        </w:rPr>
        <w:t xml:space="preserve"> </w:t>
      </w:r>
      <w:r w:rsidRPr="00A50F24">
        <w:rPr>
          <w:rFonts w:ascii="Arial" w:hAnsi="Arial" w:cs="Arial" w:hint="eastAsia"/>
          <w:sz w:val="20"/>
          <w:szCs w:val="20"/>
        </w:rPr>
        <w:t>заявления</w:t>
      </w:r>
      <w:r w:rsidRPr="00A50F24">
        <w:rPr>
          <w:rFonts w:ascii="Arial" w:hAnsi="Arial" w:cs="Arial"/>
          <w:sz w:val="20"/>
          <w:szCs w:val="20"/>
        </w:rPr>
        <w:t xml:space="preserve"> </w:t>
      </w:r>
      <w:r w:rsidRPr="00A50F24">
        <w:rPr>
          <w:rFonts w:ascii="Arial" w:hAnsi="Arial" w:cs="Arial" w:hint="eastAsia"/>
          <w:sz w:val="20"/>
          <w:szCs w:val="20"/>
        </w:rPr>
        <w:t>със</w:t>
      </w:r>
      <w:r w:rsidRPr="00A50F24">
        <w:rPr>
          <w:rFonts w:ascii="Arial" w:hAnsi="Arial" w:cs="Arial"/>
          <w:sz w:val="20"/>
          <w:szCs w:val="20"/>
        </w:rPr>
        <w:t xml:space="preserve"> </w:t>
      </w:r>
      <w:r w:rsidRPr="00A50F24">
        <w:rPr>
          <w:rFonts w:ascii="Arial" w:hAnsi="Arial" w:cs="Arial" w:hint="eastAsia"/>
          <w:sz w:val="20"/>
          <w:szCs w:val="20"/>
        </w:rPr>
        <w:t>санкция</w:t>
      </w:r>
      <w:r w:rsidRPr="00A50F24">
        <w:rPr>
          <w:rFonts w:ascii="Arial" w:hAnsi="Arial" w:cs="Arial"/>
          <w:sz w:val="20"/>
          <w:szCs w:val="20"/>
        </w:rPr>
        <w:t xml:space="preserve"> </w:t>
      </w:r>
      <w:r w:rsidRPr="00A50F24">
        <w:rPr>
          <w:rFonts w:ascii="Arial" w:hAnsi="Arial" w:cs="Arial" w:hint="eastAsia"/>
          <w:sz w:val="20"/>
          <w:szCs w:val="20"/>
        </w:rPr>
        <w:t>от</w:t>
      </w:r>
      <w:r w:rsidRPr="00A50F24">
        <w:rPr>
          <w:rFonts w:ascii="Arial" w:hAnsi="Arial" w:cs="Arial"/>
          <w:sz w:val="20"/>
          <w:szCs w:val="20"/>
        </w:rPr>
        <w:t xml:space="preserve"> 1% </w:t>
      </w:r>
      <w:r w:rsidRPr="00A50F24">
        <w:rPr>
          <w:rFonts w:ascii="Arial" w:hAnsi="Arial" w:cs="Arial" w:hint="eastAsia"/>
          <w:sz w:val="20"/>
          <w:szCs w:val="20"/>
        </w:rPr>
        <w:t>за</w:t>
      </w:r>
      <w:r w:rsidRPr="00A50F24">
        <w:rPr>
          <w:rFonts w:ascii="Arial" w:hAnsi="Arial" w:cs="Arial"/>
          <w:sz w:val="20"/>
          <w:szCs w:val="20"/>
        </w:rPr>
        <w:t xml:space="preserve"> </w:t>
      </w:r>
      <w:r w:rsidRPr="00A50F24">
        <w:rPr>
          <w:rFonts w:ascii="Arial" w:hAnsi="Arial" w:cs="Arial" w:hint="eastAsia"/>
          <w:sz w:val="20"/>
          <w:szCs w:val="20"/>
        </w:rPr>
        <w:t>всеки</w:t>
      </w:r>
      <w:r w:rsidRPr="00A50F24">
        <w:rPr>
          <w:rFonts w:ascii="Arial" w:hAnsi="Arial" w:cs="Arial"/>
          <w:sz w:val="20"/>
          <w:szCs w:val="20"/>
        </w:rPr>
        <w:t xml:space="preserve"> </w:t>
      </w:r>
      <w:r w:rsidRPr="00A50F24">
        <w:rPr>
          <w:rFonts w:ascii="Arial" w:hAnsi="Arial" w:cs="Arial" w:hint="eastAsia"/>
          <w:sz w:val="20"/>
          <w:szCs w:val="20"/>
        </w:rPr>
        <w:t>работен</w:t>
      </w:r>
      <w:r w:rsidRPr="00A50F24">
        <w:rPr>
          <w:rFonts w:ascii="Arial" w:hAnsi="Arial" w:cs="Arial"/>
          <w:sz w:val="20"/>
          <w:szCs w:val="20"/>
        </w:rPr>
        <w:t xml:space="preserve"> </w:t>
      </w:r>
      <w:r w:rsidRPr="00A50F24">
        <w:rPr>
          <w:rFonts w:ascii="Arial" w:hAnsi="Arial" w:cs="Arial" w:hint="eastAsia"/>
          <w:sz w:val="20"/>
          <w:szCs w:val="20"/>
        </w:rPr>
        <w:t>ден</w:t>
      </w:r>
      <w:r w:rsidRPr="00A50F24">
        <w:rPr>
          <w:rFonts w:ascii="Arial" w:hAnsi="Arial" w:cs="Arial"/>
          <w:sz w:val="20"/>
          <w:szCs w:val="20"/>
        </w:rPr>
        <w:t xml:space="preserve"> </w:t>
      </w:r>
      <w:r w:rsidRPr="00A50F24">
        <w:rPr>
          <w:rFonts w:ascii="Arial" w:hAnsi="Arial" w:cs="Arial" w:hint="eastAsia"/>
          <w:sz w:val="20"/>
          <w:szCs w:val="20"/>
        </w:rPr>
        <w:t>закъснение</w:t>
      </w:r>
      <w:r>
        <w:rPr>
          <w:rFonts w:ascii="Arial" w:hAnsi="Arial" w:cs="Arial"/>
          <w:sz w:val="20"/>
          <w:szCs w:val="20"/>
        </w:rPr>
        <w:t>.</w:t>
      </w:r>
      <w:r w:rsidR="006769DE">
        <w:rPr>
          <w:rFonts w:ascii="Arial" w:hAnsi="Arial" w:cs="Arial"/>
          <w:sz w:val="20"/>
          <w:szCs w:val="20"/>
        </w:rPr>
        <w:t xml:space="preserve"> </w:t>
      </w:r>
      <w:r w:rsidRPr="00A50F24">
        <w:rPr>
          <w:rFonts w:ascii="Arial" w:hAnsi="Arial" w:cs="Arial" w:hint="eastAsia"/>
          <w:sz w:val="20"/>
          <w:szCs w:val="20"/>
        </w:rPr>
        <w:t>Към</w:t>
      </w:r>
      <w:r w:rsidRPr="00A50F24">
        <w:rPr>
          <w:rFonts w:ascii="Arial" w:hAnsi="Arial" w:cs="Arial"/>
          <w:sz w:val="20"/>
          <w:szCs w:val="20"/>
        </w:rPr>
        <w:t xml:space="preserve"> 15 </w:t>
      </w:r>
      <w:r w:rsidRPr="00A50F24">
        <w:rPr>
          <w:rFonts w:ascii="Arial" w:hAnsi="Arial" w:cs="Arial" w:hint="eastAsia"/>
          <w:sz w:val="20"/>
          <w:szCs w:val="20"/>
        </w:rPr>
        <w:t>май</w:t>
      </w:r>
      <w:r w:rsidRPr="00A50F24">
        <w:rPr>
          <w:rFonts w:ascii="Arial" w:hAnsi="Arial" w:cs="Arial"/>
          <w:sz w:val="20"/>
          <w:szCs w:val="20"/>
        </w:rPr>
        <w:t xml:space="preserve"> 2020 </w:t>
      </w:r>
      <w:r w:rsidRPr="00A50F24">
        <w:rPr>
          <w:rFonts w:ascii="Arial" w:hAnsi="Arial" w:cs="Arial" w:hint="eastAsia"/>
          <w:sz w:val="20"/>
          <w:szCs w:val="20"/>
        </w:rPr>
        <w:t>г</w:t>
      </w:r>
      <w:r w:rsidRPr="00A50F24">
        <w:rPr>
          <w:rFonts w:ascii="Arial" w:hAnsi="Arial" w:cs="Arial"/>
          <w:sz w:val="20"/>
          <w:szCs w:val="20"/>
        </w:rPr>
        <w:t xml:space="preserve">. </w:t>
      </w:r>
      <w:r w:rsidRPr="00A50F24">
        <w:rPr>
          <w:rFonts w:ascii="Arial" w:hAnsi="Arial" w:cs="Arial" w:hint="eastAsia"/>
          <w:sz w:val="20"/>
          <w:szCs w:val="20"/>
        </w:rPr>
        <w:t>са</w:t>
      </w:r>
      <w:r w:rsidRPr="00A50F24">
        <w:rPr>
          <w:rFonts w:ascii="Arial" w:hAnsi="Arial" w:cs="Arial"/>
          <w:sz w:val="20"/>
          <w:szCs w:val="20"/>
        </w:rPr>
        <w:t xml:space="preserve"> </w:t>
      </w:r>
      <w:r w:rsidRPr="00A50F24">
        <w:rPr>
          <w:rFonts w:ascii="Arial" w:hAnsi="Arial" w:cs="Arial" w:hint="eastAsia"/>
          <w:sz w:val="20"/>
          <w:szCs w:val="20"/>
        </w:rPr>
        <w:t>подадени</w:t>
      </w:r>
      <w:r w:rsidRPr="00A50F24">
        <w:rPr>
          <w:rFonts w:ascii="Arial" w:hAnsi="Arial" w:cs="Arial"/>
          <w:sz w:val="20"/>
          <w:szCs w:val="20"/>
        </w:rPr>
        <w:t xml:space="preserve">  97 886 </w:t>
      </w:r>
      <w:r w:rsidRPr="00A50F24">
        <w:rPr>
          <w:rFonts w:ascii="Arial" w:hAnsi="Arial" w:cs="Arial" w:hint="eastAsia"/>
          <w:sz w:val="20"/>
          <w:szCs w:val="20"/>
        </w:rPr>
        <w:t>заявления</w:t>
      </w:r>
      <w:r w:rsidRPr="00A50F24">
        <w:rPr>
          <w:rFonts w:ascii="Arial" w:hAnsi="Arial" w:cs="Arial"/>
          <w:sz w:val="20"/>
          <w:szCs w:val="20"/>
        </w:rPr>
        <w:t>.</w:t>
      </w:r>
    </w:p>
    <w:p w14:paraId="0AB2BC24" w14:textId="77777777" w:rsidR="00A854AB" w:rsidRDefault="00A50F24" w:rsidP="001B1430">
      <w:pPr>
        <w:jc w:val="both"/>
        <w:rPr>
          <w:rFonts w:ascii="Arial" w:eastAsia="Calibri" w:hAnsi="Arial" w:cs="Arial"/>
          <w:sz w:val="20"/>
        </w:rPr>
      </w:pPr>
      <w:r>
        <w:rPr>
          <w:rStyle w:val="longtext"/>
          <w:rFonts w:ascii="Arial" w:hAnsi="Arial" w:cs="Arial"/>
          <w:b/>
          <w:sz w:val="20"/>
        </w:rPr>
        <w:t>3</w:t>
      </w:r>
      <w:r w:rsidR="00A854AB" w:rsidRPr="006769DE">
        <w:rPr>
          <w:rStyle w:val="longtext"/>
          <w:rFonts w:ascii="Arial" w:hAnsi="Arial" w:cs="Arial"/>
          <w:b/>
          <w:sz w:val="20"/>
          <w:lang w:val="ru-RU"/>
        </w:rPr>
        <w:t>.</w:t>
      </w:r>
      <w:r w:rsidR="00A854AB">
        <w:rPr>
          <w:rStyle w:val="longtext"/>
          <w:rFonts w:ascii="Arial" w:hAnsi="Arial" w:cs="Arial"/>
          <w:b/>
          <w:sz w:val="20"/>
        </w:rPr>
        <w:t xml:space="preserve"> </w:t>
      </w:r>
      <w:r w:rsidR="00A854AB" w:rsidRPr="004C16F3">
        <w:rPr>
          <w:rFonts w:ascii="Arial" w:eastAsia="Calibri" w:hAnsi="Arial" w:cs="Arial"/>
          <w:b/>
          <w:sz w:val="20"/>
        </w:rPr>
        <w:t>Допълнителни близо 140 милиона лева ще получат земеделските стопани по схемите за директни плащания и обвързана подкрепа за кампания 2020 г.</w:t>
      </w:r>
      <w:r w:rsidR="00A854AB">
        <w:rPr>
          <w:rFonts w:ascii="Arial" w:hAnsi="Arial" w:cs="Arial"/>
          <w:color w:val="5E5E5E"/>
          <w:sz w:val="21"/>
          <w:szCs w:val="21"/>
          <w:shd w:val="clear" w:color="auto" w:fill="FFFFFF"/>
        </w:rPr>
        <w:t> </w:t>
      </w:r>
      <w:r w:rsidR="004C16F3">
        <w:rPr>
          <w:rFonts w:ascii="Arial" w:hAnsi="Arial" w:cs="Arial"/>
          <w:color w:val="5E5E5E"/>
          <w:sz w:val="21"/>
          <w:szCs w:val="21"/>
          <w:shd w:val="clear" w:color="auto" w:fill="FFFFFF"/>
        </w:rPr>
        <w:t> </w:t>
      </w:r>
      <w:r w:rsidR="004C16F3" w:rsidRPr="004C16F3">
        <w:rPr>
          <w:rFonts w:ascii="Arial" w:eastAsia="Calibri" w:hAnsi="Arial" w:cs="Arial"/>
          <w:sz w:val="20"/>
        </w:rPr>
        <w:t>Съгласно Регламент  (ЕС) 2020/127 на Европейския парламент и на съвета, държавите членки  могат да прехвърлят средства между двата стълба на ОСП за Кампания 2020.</w:t>
      </w:r>
    </w:p>
    <w:p w14:paraId="05E8727F" w14:textId="77777777" w:rsidR="004C16F3" w:rsidRPr="004C16F3" w:rsidRDefault="004C16F3" w:rsidP="001B1430">
      <w:pPr>
        <w:jc w:val="both"/>
        <w:rPr>
          <w:rFonts w:ascii="Arial" w:eastAsia="Calibri" w:hAnsi="Arial" w:cs="Arial"/>
          <w:sz w:val="20"/>
        </w:rPr>
      </w:pPr>
    </w:p>
    <w:p w14:paraId="417D1534" w14:textId="77777777" w:rsidR="004C16F3" w:rsidRPr="004C16F3" w:rsidRDefault="00A50F24" w:rsidP="001B1430">
      <w:pPr>
        <w:jc w:val="both"/>
        <w:rPr>
          <w:rFonts w:ascii="Arial" w:eastAsia="Calibri" w:hAnsi="Arial" w:cs="Arial"/>
        </w:rPr>
      </w:pPr>
      <w:r>
        <w:rPr>
          <w:rFonts w:ascii="Arial" w:hAnsi="Arial" w:cs="Arial"/>
          <w:b/>
          <w:sz w:val="21"/>
          <w:szCs w:val="21"/>
          <w:shd w:val="clear" w:color="auto" w:fill="FFFFFF"/>
        </w:rPr>
        <w:t>4</w:t>
      </w:r>
      <w:r w:rsidR="004C16F3" w:rsidRPr="00BD7D84">
        <w:rPr>
          <w:rFonts w:ascii="Arial" w:hAnsi="Arial" w:cs="Arial"/>
          <w:b/>
          <w:sz w:val="21"/>
          <w:szCs w:val="21"/>
          <w:shd w:val="clear" w:color="auto" w:fill="FFFFFF"/>
        </w:rPr>
        <w:t xml:space="preserve">. </w:t>
      </w:r>
      <w:r w:rsidR="005C7B05">
        <w:rPr>
          <w:rFonts w:ascii="Arial" w:eastAsia="Calibri" w:hAnsi="Arial" w:cs="Arial"/>
          <w:b/>
          <w:sz w:val="20"/>
        </w:rPr>
        <w:t>Предлага се</w:t>
      </w:r>
      <w:r w:rsidR="004C16F3" w:rsidRPr="004C16F3">
        <w:rPr>
          <w:rFonts w:ascii="Arial" w:eastAsia="Calibri" w:hAnsi="Arial" w:cs="Arial"/>
          <w:b/>
          <w:sz w:val="20"/>
        </w:rPr>
        <w:t xml:space="preserve"> промяна </w:t>
      </w:r>
      <w:r w:rsidR="005C7B05">
        <w:rPr>
          <w:rFonts w:ascii="Arial" w:eastAsia="Calibri" w:hAnsi="Arial" w:cs="Arial"/>
          <w:b/>
          <w:sz w:val="20"/>
        </w:rPr>
        <w:t>на</w:t>
      </w:r>
      <w:r w:rsidR="004C16F3" w:rsidRPr="004C16F3">
        <w:rPr>
          <w:rFonts w:ascii="Arial" w:eastAsia="Calibri" w:hAnsi="Arial" w:cs="Arial"/>
          <w:b/>
          <w:sz w:val="20"/>
        </w:rPr>
        <w:t xml:space="preserve"> </w:t>
      </w:r>
      <w:r w:rsidR="005C7B05">
        <w:rPr>
          <w:rFonts w:ascii="Arial" w:eastAsia="Calibri" w:hAnsi="Arial" w:cs="Arial"/>
          <w:b/>
          <w:sz w:val="20"/>
        </w:rPr>
        <w:t>срока</w:t>
      </w:r>
      <w:r w:rsidR="004C16F3" w:rsidRPr="004C16F3">
        <w:rPr>
          <w:rFonts w:ascii="Arial" w:eastAsia="Calibri" w:hAnsi="Arial" w:cs="Arial"/>
          <w:b/>
          <w:sz w:val="20"/>
        </w:rPr>
        <w:t xml:space="preserve">, в който </w:t>
      </w:r>
      <w:r w:rsidR="005C7B05">
        <w:rPr>
          <w:rFonts w:ascii="Arial" w:eastAsia="Calibri" w:hAnsi="Arial" w:cs="Arial"/>
          <w:b/>
          <w:sz w:val="20"/>
        </w:rPr>
        <w:t>земеделските стопани</w:t>
      </w:r>
      <w:r w:rsidR="004C16F3" w:rsidRPr="004C16F3">
        <w:rPr>
          <w:rFonts w:ascii="Arial" w:eastAsia="Calibri" w:hAnsi="Arial" w:cs="Arial"/>
          <w:b/>
          <w:sz w:val="20"/>
        </w:rPr>
        <w:t xml:space="preserve"> предоставят документи за доказване на реализация за сектор „Плодове и зеленчуци“.</w:t>
      </w:r>
      <w:r w:rsidR="004C16F3" w:rsidRPr="004C16F3">
        <w:rPr>
          <w:rFonts w:ascii="Arial" w:hAnsi="Arial" w:cs="Arial"/>
          <w:b/>
          <w:color w:val="5E5E5E"/>
          <w:sz w:val="21"/>
          <w:szCs w:val="21"/>
          <w:shd w:val="clear" w:color="auto" w:fill="FFFFFF"/>
        </w:rPr>
        <w:t xml:space="preserve"> </w:t>
      </w:r>
      <w:r w:rsidR="004C16F3" w:rsidRPr="004C16F3">
        <w:rPr>
          <w:rFonts w:ascii="Arial" w:eastAsia="Calibri" w:hAnsi="Arial" w:cs="Arial"/>
          <w:sz w:val="20"/>
        </w:rPr>
        <w:t>Промяната на срока на 31 декември 2020</w:t>
      </w:r>
      <w:r w:rsidR="005C7B05">
        <w:rPr>
          <w:rFonts w:ascii="Arial" w:eastAsia="Calibri" w:hAnsi="Arial" w:cs="Arial"/>
          <w:sz w:val="20"/>
        </w:rPr>
        <w:t xml:space="preserve"> </w:t>
      </w:r>
      <w:r w:rsidR="004C16F3" w:rsidRPr="004C16F3">
        <w:rPr>
          <w:rFonts w:ascii="Arial" w:eastAsia="Calibri" w:hAnsi="Arial" w:cs="Arial"/>
          <w:sz w:val="20"/>
        </w:rPr>
        <w:t>г.</w:t>
      </w:r>
      <w:r w:rsidR="005C7B05">
        <w:rPr>
          <w:rFonts w:ascii="Arial" w:eastAsia="Calibri" w:hAnsi="Arial" w:cs="Arial"/>
          <w:sz w:val="20"/>
        </w:rPr>
        <w:t>,</w:t>
      </w:r>
      <w:r w:rsidR="004C16F3" w:rsidRPr="004C16F3">
        <w:rPr>
          <w:rFonts w:ascii="Arial" w:eastAsia="Calibri" w:hAnsi="Arial" w:cs="Arial"/>
          <w:sz w:val="20"/>
        </w:rPr>
        <w:t xml:space="preserve"> вместо 31 януари 2021 г., ще даде възможност плащането по схемата да бъде изтеглено с един месец по рано. Предстои заинтересованите браншови организации да изпратят становище.</w:t>
      </w:r>
    </w:p>
    <w:p w14:paraId="70C26816" w14:textId="77777777" w:rsidR="002A2C5F" w:rsidRPr="00210721" w:rsidRDefault="002A2C5F" w:rsidP="002A2C5F">
      <w:pPr>
        <w:tabs>
          <w:tab w:val="left" w:pos="4177"/>
        </w:tabs>
        <w:jc w:val="both"/>
        <w:rPr>
          <w:rFonts w:ascii="Arial" w:hAnsi="Arial" w:cs="Arial"/>
          <w:bCs/>
          <w:color w:val="666666"/>
          <w:sz w:val="20"/>
        </w:rPr>
      </w:pPr>
    </w:p>
    <w:tbl>
      <w:tblPr>
        <w:tblW w:w="10159" w:type="dxa"/>
        <w:tblInd w:w="108" w:type="dxa"/>
        <w:tblLook w:val="01E0" w:firstRow="1" w:lastRow="1" w:firstColumn="1" w:lastColumn="1" w:noHBand="0" w:noVBand="0"/>
      </w:tblPr>
      <w:tblGrid>
        <w:gridCol w:w="9923"/>
        <w:gridCol w:w="236"/>
      </w:tblGrid>
      <w:tr w:rsidR="001B1430" w:rsidRPr="006E7A46" w14:paraId="40A18A92" w14:textId="77777777" w:rsidTr="00F73636">
        <w:tc>
          <w:tcPr>
            <w:tcW w:w="9923" w:type="dxa"/>
            <w:shd w:val="clear" w:color="auto" w:fill="C0C0C0"/>
            <w:hideMark/>
          </w:tcPr>
          <w:p w14:paraId="6D200368" w14:textId="77777777" w:rsidR="001B1430" w:rsidRPr="006E7A46" w:rsidRDefault="001B1430" w:rsidP="00F73636">
            <w:pPr>
              <w:jc w:val="both"/>
              <w:rPr>
                <w:rFonts w:ascii="Arial" w:hAnsi="Arial" w:cs="Arial"/>
                <w:b/>
                <w:i/>
                <w:sz w:val="20"/>
              </w:rPr>
            </w:pPr>
            <w:r w:rsidRPr="006E7A46">
              <w:rPr>
                <w:rFonts w:ascii="Arial" w:hAnsi="Arial" w:cs="Arial"/>
                <w:b/>
                <w:i/>
                <w:sz w:val="20"/>
              </w:rPr>
              <w:t>Пазарна подкрепа</w:t>
            </w:r>
          </w:p>
        </w:tc>
        <w:tc>
          <w:tcPr>
            <w:tcW w:w="236" w:type="dxa"/>
          </w:tcPr>
          <w:p w14:paraId="002FB0E2" w14:textId="77777777" w:rsidR="001B1430" w:rsidRPr="006E7A46" w:rsidRDefault="001B1430" w:rsidP="00F73636">
            <w:pPr>
              <w:jc w:val="both"/>
              <w:rPr>
                <w:rFonts w:ascii="Arial" w:hAnsi="Arial" w:cs="Arial"/>
                <w:b/>
                <w:i/>
                <w:sz w:val="20"/>
              </w:rPr>
            </w:pPr>
          </w:p>
        </w:tc>
      </w:tr>
    </w:tbl>
    <w:p w14:paraId="104DCCEC" w14:textId="77777777" w:rsidR="001B1430" w:rsidRPr="006E7A46" w:rsidRDefault="001B1430" w:rsidP="001B1430">
      <w:pPr>
        <w:jc w:val="both"/>
        <w:rPr>
          <w:rFonts w:ascii="Arial" w:eastAsia="SimSun" w:hAnsi="Arial" w:cs="Arial"/>
          <w:b/>
          <w:bCs/>
          <w:color w:val="000000"/>
          <w:sz w:val="20"/>
          <w:lang w:val="en-US" w:eastAsia="bg-BG"/>
        </w:rPr>
      </w:pPr>
    </w:p>
    <w:p w14:paraId="13BB3F59" w14:textId="77777777" w:rsidR="00DA17DF" w:rsidRPr="00812DB5" w:rsidRDefault="00552FB8" w:rsidP="00DA17DF">
      <w:pPr>
        <w:jc w:val="both"/>
        <w:rPr>
          <w:rFonts w:ascii="Arial" w:eastAsia="Calibri" w:hAnsi="Arial" w:cs="Arial"/>
          <w:noProof/>
          <w:sz w:val="20"/>
        </w:rPr>
      </w:pPr>
      <w:r w:rsidRPr="00812DB5">
        <w:rPr>
          <w:rFonts w:ascii="Arial" w:eastAsia="Calibri" w:hAnsi="Arial" w:cs="Arial"/>
          <w:b/>
          <w:noProof/>
          <w:sz w:val="20"/>
        </w:rPr>
        <w:t>5</w:t>
      </w:r>
      <w:r w:rsidR="00BD7D84" w:rsidRPr="00812DB5">
        <w:rPr>
          <w:rFonts w:ascii="Arial" w:eastAsia="Calibri" w:hAnsi="Arial" w:cs="Arial"/>
          <w:b/>
          <w:noProof/>
          <w:sz w:val="20"/>
        </w:rPr>
        <w:t xml:space="preserve">. </w:t>
      </w:r>
      <w:r w:rsidR="00DA17DF" w:rsidRPr="00812DB5">
        <w:rPr>
          <w:rFonts w:ascii="Arial" w:eastAsia="Calibri" w:hAnsi="Arial" w:cs="Arial"/>
          <w:b/>
          <w:noProof/>
          <w:sz w:val="20"/>
        </w:rPr>
        <w:t>Извънредна мярка „Събиране на реколтата на зелено“</w:t>
      </w:r>
      <w:r w:rsidR="00E762E2" w:rsidRPr="00812DB5">
        <w:rPr>
          <w:rFonts w:ascii="Arial" w:eastAsia="Calibri" w:hAnsi="Arial" w:cs="Arial"/>
          <w:b/>
          <w:noProof/>
          <w:sz w:val="20"/>
        </w:rPr>
        <w:t xml:space="preserve"> в лозаро-винарския сектор. </w:t>
      </w:r>
      <w:r w:rsidR="00E762E2" w:rsidRPr="00812DB5">
        <w:rPr>
          <w:rFonts w:ascii="Arial" w:eastAsia="Calibri" w:hAnsi="Arial" w:cs="Arial"/>
          <w:noProof/>
          <w:sz w:val="20"/>
        </w:rPr>
        <w:t xml:space="preserve">Прилагането на извънредната мярка </w:t>
      </w:r>
      <w:r w:rsidR="00DA17DF" w:rsidRPr="00812DB5">
        <w:rPr>
          <w:rFonts w:ascii="Arial" w:eastAsia="Calibri" w:hAnsi="Arial" w:cs="Arial"/>
          <w:noProof/>
          <w:sz w:val="20"/>
        </w:rPr>
        <w:t>е в сила от 15 май</w:t>
      </w:r>
      <w:r w:rsidR="00E762E2" w:rsidRPr="00812DB5">
        <w:rPr>
          <w:rFonts w:ascii="Arial" w:eastAsia="Calibri" w:hAnsi="Arial" w:cs="Arial"/>
          <w:noProof/>
          <w:sz w:val="20"/>
        </w:rPr>
        <w:t xml:space="preserve"> – деня на</w:t>
      </w:r>
      <w:r w:rsidR="00DA17DF" w:rsidRPr="00812DB5">
        <w:rPr>
          <w:rFonts w:ascii="Arial" w:eastAsia="Calibri" w:hAnsi="Arial" w:cs="Arial"/>
          <w:noProof/>
          <w:sz w:val="20"/>
        </w:rPr>
        <w:t xml:space="preserve"> обнародване </w:t>
      </w:r>
      <w:r w:rsidR="00D25425" w:rsidRPr="00812DB5">
        <w:rPr>
          <w:rFonts w:ascii="Arial" w:eastAsia="Calibri" w:hAnsi="Arial" w:cs="Arial"/>
          <w:noProof/>
          <w:sz w:val="20"/>
        </w:rPr>
        <w:t>в ДВ бр.</w:t>
      </w:r>
      <w:r w:rsidR="00E762E2" w:rsidRPr="00812DB5">
        <w:rPr>
          <w:rFonts w:ascii="Arial" w:eastAsia="Calibri" w:hAnsi="Arial" w:cs="Arial"/>
          <w:noProof/>
          <w:sz w:val="20"/>
        </w:rPr>
        <w:t xml:space="preserve"> </w:t>
      </w:r>
      <w:r w:rsidR="00D25425" w:rsidRPr="00812DB5">
        <w:rPr>
          <w:rFonts w:ascii="Arial" w:eastAsia="Calibri" w:hAnsi="Arial" w:cs="Arial"/>
          <w:noProof/>
          <w:sz w:val="20"/>
        </w:rPr>
        <w:t xml:space="preserve">45 </w:t>
      </w:r>
      <w:r w:rsidR="00E815D6" w:rsidRPr="00812DB5">
        <w:rPr>
          <w:rFonts w:ascii="Arial" w:eastAsia="Calibri" w:hAnsi="Arial" w:cs="Arial"/>
          <w:noProof/>
          <w:sz w:val="20"/>
        </w:rPr>
        <w:t xml:space="preserve">от 15.05.2020 г. </w:t>
      </w:r>
      <w:r w:rsidR="00DA17DF" w:rsidRPr="00812DB5">
        <w:rPr>
          <w:rFonts w:ascii="Arial" w:eastAsia="Calibri" w:hAnsi="Arial" w:cs="Arial"/>
          <w:noProof/>
          <w:sz w:val="20"/>
        </w:rPr>
        <w:t xml:space="preserve">на </w:t>
      </w:r>
      <w:r w:rsidR="00DA17DF" w:rsidRPr="00812DB5">
        <w:rPr>
          <w:rFonts w:ascii="Arial" w:hAnsi="Arial" w:cs="Arial"/>
          <w:noProof/>
          <w:sz w:val="20"/>
        </w:rPr>
        <w:t xml:space="preserve">изменение </w:t>
      </w:r>
      <w:r w:rsidR="00E815D6" w:rsidRPr="00812DB5">
        <w:rPr>
          <w:rFonts w:ascii="Arial" w:hAnsi="Arial" w:cs="Arial"/>
          <w:noProof/>
          <w:sz w:val="20"/>
        </w:rPr>
        <w:t xml:space="preserve">и допълнение </w:t>
      </w:r>
      <w:r w:rsidR="00DA17DF" w:rsidRPr="00812DB5">
        <w:rPr>
          <w:rFonts w:ascii="Arial" w:hAnsi="Arial" w:cs="Arial"/>
          <w:noProof/>
          <w:sz w:val="20"/>
        </w:rPr>
        <w:t>на Наредба № 6 от 26.10.2018 г. за условията и реда за предоставяне на финансова помощ по Национална програма за подпомагане на лозаро-винарския сектор за периода 2019 – 2023 г.</w:t>
      </w:r>
      <w:r w:rsidR="00DA17DF" w:rsidRPr="00812DB5">
        <w:rPr>
          <w:rFonts w:ascii="Arial" w:hAnsi="Arial" w:cs="Arial"/>
          <w:b/>
          <w:noProof/>
          <w:sz w:val="20"/>
        </w:rPr>
        <w:t xml:space="preserve"> </w:t>
      </w:r>
      <w:r w:rsidR="00DA17DF" w:rsidRPr="00812DB5">
        <w:rPr>
          <w:rFonts w:ascii="Arial" w:hAnsi="Arial" w:cs="Arial"/>
          <w:noProof/>
          <w:sz w:val="20"/>
        </w:rPr>
        <w:t>(</w:t>
      </w:r>
      <w:r w:rsidR="00DA17DF" w:rsidRPr="00812DB5">
        <w:rPr>
          <w:rFonts w:ascii="Arial" w:eastAsia="Calibri" w:hAnsi="Arial" w:cs="Arial"/>
          <w:noProof/>
          <w:sz w:val="20"/>
        </w:rPr>
        <w:t>Наредба № 6 от 2018 г.). На 04 май 2020 година влезе в сила Делегиран регламент (ЕС) 2020/592 с цел преодоляване на смущенията на пазара в сектора на плодовете и зеленчуците и лозаро-винарския сектор, породени от пандемията от COVID-19</w:t>
      </w:r>
      <w:r w:rsidR="007A0F00" w:rsidRPr="00812DB5">
        <w:rPr>
          <w:rFonts w:ascii="Arial" w:eastAsia="Calibri" w:hAnsi="Arial" w:cs="Arial"/>
          <w:noProof/>
          <w:sz w:val="20"/>
        </w:rPr>
        <w:t xml:space="preserve">. С регламента </w:t>
      </w:r>
      <w:r w:rsidR="00DA17DF" w:rsidRPr="00812DB5">
        <w:rPr>
          <w:rFonts w:ascii="Arial" w:eastAsia="Calibri" w:hAnsi="Arial" w:cs="Arial"/>
          <w:noProof/>
          <w:sz w:val="20"/>
        </w:rPr>
        <w:t>са предвидени промени в част от мерките в лозаро-винарския сектор, прилагани от държавите членки. Това наложи извършване на промени в Наредба № 6 от 2018 г</w:t>
      </w:r>
      <w:r w:rsidR="00A14513" w:rsidRPr="00812DB5">
        <w:rPr>
          <w:rFonts w:ascii="Arial" w:eastAsia="Calibri" w:hAnsi="Arial" w:cs="Arial"/>
          <w:noProof/>
          <w:sz w:val="20"/>
        </w:rPr>
        <w:t>., свързани с п</w:t>
      </w:r>
      <w:r w:rsidR="00DA17DF" w:rsidRPr="00812DB5">
        <w:rPr>
          <w:rFonts w:ascii="Arial" w:eastAsia="Calibri" w:hAnsi="Arial" w:cs="Arial"/>
          <w:noProof/>
          <w:sz w:val="20"/>
        </w:rPr>
        <w:t>рилагането на мярка „Събиране на реколтата на зелено“</w:t>
      </w:r>
      <w:r w:rsidR="00A14513" w:rsidRPr="00812DB5">
        <w:rPr>
          <w:rFonts w:ascii="Arial" w:eastAsia="Calibri" w:hAnsi="Arial" w:cs="Arial"/>
          <w:noProof/>
          <w:sz w:val="20"/>
        </w:rPr>
        <w:t>, която</w:t>
      </w:r>
      <w:r w:rsidR="00DA17DF" w:rsidRPr="00812DB5">
        <w:rPr>
          <w:rFonts w:ascii="Arial" w:eastAsia="Calibri" w:hAnsi="Arial" w:cs="Arial"/>
          <w:noProof/>
          <w:sz w:val="20"/>
        </w:rPr>
        <w:t xml:space="preserve"> може да се осъществи при облекчен режим и с промяна в някои </w:t>
      </w:r>
      <w:r w:rsidR="00A14513" w:rsidRPr="00812DB5">
        <w:rPr>
          <w:rFonts w:ascii="Arial" w:eastAsia="Calibri" w:hAnsi="Arial" w:cs="Arial"/>
          <w:noProof/>
          <w:sz w:val="20"/>
        </w:rPr>
        <w:t>специфични</w:t>
      </w:r>
      <w:r w:rsidR="00DA17DF" w:rsidRPr="00812DB5">
        <w:rPr>
          <w:rFonts w:ascii="Arial" w:eastAsia="Calibri" w:hAnsi="Arial" w:cs="Arial"/>
          <w:noProof/>
          <w:sz w:val="20"/>
        </w:rPr>
        <w:t xml:space="preserve"> изисквания. </w:t>
      </w:r>
      <w:r w:rsidR="00A14513" w:rsidRPr="00812DB5">
        <w:rPr>
          <w:rFonts w:ascii="Arial" w:eastAsia="Calibri" w:hAnsi="Arial" w:cs="Arial"/>
          <w:noProof/>
          <w:sz w:val="20"/>
        </w:rPr>
        <w:t>Запазва се о</w:t>
      </w:r>
      <w:r w:rsidR="00DA17DF" w:rsidRPr="00812DB5">
        <w:rPr>
          <w:rFonts w:ascii="Arial" w:eastAsia="Calibri" w:hAnsi="Arial" w:cs="Arial"/>
          <w:noProof/>
          <w:sz w:val="20"/>
        </w:rPr>
        <w:t>сновната цел</w:t>
      </w:r>
      <w:r w:rsidR="00A14513" w:rsidRPr="00812DB5">
        <w:rPr>
          <w:rFonts w:ascii="Arial" w:eastAsia="Calibri" w:hAnsi="Arial" w:cs="Arial"/>
          <w:noProof/>
          <w:sz w:val="20"/>
        </w:rPr>
        <w:t xml:space="preserve"> за</w:t>
      </w:r>
      <w:r w:rsidR="00DA17DF" w:rsidRPr="00812DB5">
        <w:rPr>
          <w:rFonts w:ascii="Arial" w:eastAsia="Calibri" w:hAnsi="Arial" w:cs="Arial"/>
          <w:noProof/>
          <w:sz w:val="20"/>
        </w:rPr>
        <w:t xml:space="preserve"> подпомага</w:t>
      </w:r>
      <w:r w:rsidR="00A14513" w:rsidRPr="00812DB5">
        <w:rPr>
          <w:rFonts w:ascii="Arial" w:eastAsia="Calibri" w:hAnsi="Arial" w:cs="Arial"/>
          <w:noProof/>
          <w:sz w:val="20"/>
        </w:rPr>
        <w:t>не на</w:t>
      </w:r>
      <w:r w:rsidR="00DA17DF" w:rsidRPr="00812DB5">
        <w:rPr>
          <w:rFonts w:ascii="Arial" w:eastAsia="Calibri" w:hAnsi="Arial" w:cs="Arial"/>
          <w:noProof/>
          <w:sz w:val="20"/>
        </w:rPr>
        <w:t xml:space="preserve"> пълното ръчно отстраняване на гроздовете, докато все още не са узрели, като по този начин добивът от съответната заявена площ се намалява до нула. Крайният срок за подаване на заявления за издаване на удостоверение за право на участие по мярката в Изпълнителната агенция по лозата и виното е 5 юни 2020 г. </w:t>
      </w:r>
      <w:r w:rsidR="00A14513" w:rsidRPr="00812DB5">
        <w:rPr>
          <w:rFonts w:ascii="Arial" w:eastAsia="Calibri" w:hAnsi="Arial" w:cs="Arial"/>
          <w:noProof/>
          <w:sz w:val="20"/>
        </w:rPr>
        <w:t>Одобрените к</w:t>
      </w:r>
      <w:r w:rsidR="00DA17DF" w:rsidRPr="00812DB5">
        <w:rPr>
          <w:rFonts w:ascii="Arial" w:eastAsia="Calibri" w:hAnsi="Arial" w:cs="Arial"/>
          <w:noProof/>
          <w:sz w:val="20"/>
        </w:rPr>
        <w:t>андидатите пода</w:t>
      </w:r>
      <w:r w:rsidR="00A14513" w:rsidRPr="00812DB5">
        <w:rPr>
          <w:rFonts w:ascii="Arial" w:eastAsia="Calibri" w:hAnsi="Arial" w:cs="Arial"/>
          <w:noProof/>
          <w:sz w:val="20"/>
        </w:rPr>
        <w:t>в</w:t>
      </w:r>
      <w:r w:rsidR="00DA17DF" w:rsidRPr="00812DB5">
        <w:rPr>
          <w:rFonts w:ascii="Arial" w:eastAsia="Calibri" w:hAnsi="Arial" w:cs="Arial"/>
          <w:noProof/>
          <w:sz w:val="20"/>
        </w:rPr>
        <w:t xml:space="preserve">ат заявление за подпомагане в ДФ „Земеделие“ от 15 до 19 юни 2020 г., а срокът за извършване на операциите по ръчно отстраняване на гроздовете е до 20 юли 2020 г. </w:t>
      </w:r>
      <w:r w:rsidR="00A14513" w:rsidRPr="00812DB5">
        <w:rPr>
          <w:rFonts w:ascii="Arial" w:eastAsia="Calibri" w:hAnsi="Arial" w:cs="Arial"/>
          <w:noProof/>
          <w:sz w:val="20"/>
        </w:rPr>
        <w:t>За операциите е о</w:t>
      </w:r>
      <w:r w:rsidR="00DA17DF" w:rsidRPr="00812DB5">
        <w:rPr>
          <w:rFonts w:ascii="Arial" w:eastAsia="Calibri" w:hAnsi="Arial" w:cs="Arial"/>
          <w:noProof/>
          <w:sz w:val="20"/>
        </w:rPr>
        <w:t>пределена фиксирана цена за 2020 г.</w:t>
      </w:r>
      <w:r w:rsidR="007A0F00" w:rsidRPr="00812DB5">
        <w:rPr>
          <w:rFonts w:ascii="Arial" w:eastAsia="Calibri" w:hAnsi="Arial" w:cs="Arial"/>
          <w:noProof/>
          <w:sz w:val="20"/>
        </w:rPr>
        <w:t xml:space="preserve"> от</w:t>
      </w:r>
      <w:r w:rsidR="00DA17DF" w:rsidRPr="00812DB5">
        <w:rPr>
          <w:rFonts w:ascii="Arial" w:eastAsia="Calibri" w:hAnsi="Arial" w:cs="Arial"/>
          <w:noProof/>
          <w:sz w:val="20"/>
        </w:rPr>
        <w:t xml:space="preserve"> 3036,86 лв./ха. В Наредба № 6 от 2018 г. е предвиден и текст по отношение на мярка „Застраховане на реколтата“, съгласно който за финансова 2020 г. подпомагане се предоставя на всички заявители по мярката. В случай на недостиг на определения бюджет се допуска увеличен</w:t>
      </w:r>
      <w:r w:rsidR="00A75732" w:rsidRPr="00812DB5">
        <w:rPr>
          <w:rFonts w:ascii="Arial" w:eastAsia="Calibri" w:hAnsi="Arial" w:cs="Arial"/>
          <w:noProof/>
          <w:sz w:val="20"/>
        </w:rPr>
        <w:t>ието му</w:t>
      </w:r>
      <w:r w:rsidR="00DA17DF" w:rsidRPr="00812DB5">
        <w:rPr>
          <w:rFonts w:ascii="Arial" w:eastAsia="Calibri" w:hAnsi="Arial" w:cs="Arial"/>
          <w:noProof/>
          <w:sz w:val="20"/>
        </w:rPr>
        <w:t xml:space="preserve"> след решение на постоянната работа група в сектор „Вино“, създадена със заповед на министъра на земеделието, храните и горите.</w:t>
      </w:r>
    </w:p>
    <w:p w14:paraId="1179E2FF" w14:textId="77777777" w:rsidR="001B1430" w:rsidRPr="00812DB5" w:rsidRDefault="001B1430" w:rsidP="001B1430">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812DB5" w14:paraId="21208915" w14:textId="77777777" w:rsidTr="00F73636">
        <w:tc>
          <w:tcPr>
            <w:tcW w:w="9900" w:type="dxa"/>
            <w:shd w:val="clear" w:color="auto" w:fill="C0C0C0"/>
            <w:hideMark/>
          </w:tcPr>
          <w:p w14:paraId="0C0603D1" w14:textId="77777777" w:rsidR="001B1430" w:rsidRPr="00812DB5" w:rsidRDefault="001B1430" w:rsidP="00F73636">
            <w:pPr>
              <w:tabs>
                <w:tab w:val="left" w:pos="1020"/>
              </w:tabs>
              <w:autoSpaceDE w:val="0"/>
              <w:autoSpaceDN w:val="0"/>
              <w:adjustRightInd w:val="0"/>
              <w:jc w:val="both"/>
              <w:rPr>
                <w:rFonts w:ascii="Arial" w:hAnsi="Arial" w:cs="Arial"/>
                <w:b/>
                <w:i/>
                <w:iCs/>
                <w:noProof/>
                <w:sz w:val="20"/>
              </w:rPr>
            </w:pPr>
            <w:r w:rsidRPr="00812DB5">
              <w:rPr>
                <w:rFonts w:ascii="Arial" w:hAnsi="Arial" w:cs="Arial"/>
                <w:b/>
                <w:i/>
                <w:noProof/>
                <w:sz w:val="20"/>
              </w:rPr>
              <w:t>Визия за ОСП след 2020 г.</w:t>
            </w:r>
          </w:p>
        </w:tc>
        <w:tc>
          <w:tcPr>
            <w:tcW w:w="256" w:type="dxa"/>
          </w:tcPr>
          <w:p w14:paraId="5DCD1EB9" w14:textId="77777777" w:rsidR="001B1430" w:rsidRPr="00812DB5" w:rsidRDefault="001B1430" w:rsidP="00F73636">
            <w:pPr>
              <w:jc w:val="both"/>
              <w:rPr>
                <w:rFonts w:ascii="Arial" w:hAnsi="Arial" w:cs="Arial"/>
                <w:b/>
                <w:noProof/>
                <w:sz w:val="20"/>
              </w:rPr>
            </w:pPr>
          </w:p>
        </w:tc>
      </w:tr>
    </w:tbl>
    <w:p w14:paraId="7837B75A" w14:textId="77777777" w:rsidR="001B1430" w:rsidRPr="00812DB5" w:rsidRDefault="002A2BBE" w:rsidP="001B1430">
      <w:pPr>
        <w:jc w:val="both"/>
        <w:rPr>
          <w:rFonts w:ascii="Arial" w:hAnsi="Arial" w:cs="Arial"/>
          <w:b/>
          <w:noProof/>
          <w:sz w:val="20"/>
        </w:rPr>
      </w:pPr>
      <w:r w:rsidRPr="00812DB5">
        <w:rPr>
          <w:rFonts w:ascii="Arial" w:hAnsi="Arial" w:cs="Arial"/>
          <w:b/>
          <w:noProof/>
          <w:sz w:val="20"/>
        </w:rPr>
        <w:t xml:space="preserve"> </w:t>
      </w:r>
    </w:p>
    <w:p w14:paraId="0C81F7E7" w14:textId="77777777" w:rsidR="002A2BBE" w:rsidRPr="00812DB5" w:rsidRDefault="00F578AC" w:rsidP="001B1430">
      <w:pPr>
        <w:jc w:val="both"/>
        <w:rPr>
          <w:rFonts w:ascii="Arial" w:hAnsi="Arial" w:cs="Arial"/>
          <w:noProof/>
          <w:sz w:val="20"/>
        </w:rPr>
      </w:pPr>
      <w:r w:rsidRPr="00812DB5">
        <w:rPr>
          <w:rFonts w:ascii="Arial" w:hAnsi="Arial" w:cs="Arial"/>
          <w:b/>
          <w:noProof/>
          <w:sz w:val="20"/>
        </w:rPr>
        <w:t>6</w:t>
      </w:r>
      <w:r w:rsidR="002A2BBE" w:rsidRPr="00812DB5">
        <w:rPr>
          <w:rFonts w:ascii="Arial" w:hAnsi="Arial" w:cs="Arial"/>
          <w:b/>
          <w:noProof/>
          <w:sz w:val="20"/>
        </w:rPr>
        <w:t>.</w:t>
      </w:r>
      <w:r w:rsidR="00143CA8" w:rsidRPr="00812DB5">
        <w:rPr>
          <w:rFonts w:ascii="Arial" w:hAnsi="Arial" w:cs="Arial"/>
          <w:b/>
          <w:noProof/>
          <w:sz w:val="20"/>
        </w:rPr>
        <w:t xml:space="preserve"> По време на видеоконферентна среща в сряда, на 13 май, министрите на земеделието и рибарството и техни представители обмениха мнения относно въздействието на кризата с коронавируса върху селското стопанство на ЕС, предприетите мерки на европейско ниво, </w:t>
      </w:r>
      <w:r w:rsidR="00143CA8" w:rsidRPr="00812DB5">
        <w:rPr>
          <w:rFonts w:ascii="Arial" w:hAnsi="Arial" w:cs="Arial"/>
          <w:b/>
          <w:noProof/>
          <w:sz w:val="20"/>
        </w:rPr>
        <w:lastRenderedPageBreak/>
        <w:t xml:space="preserve">евентуална необходимост от по-нататъшни действия и предложение за източник на тяхното финансиране. </w:t>
      </w:r>
      <w:r w:rsidR="00143CA8" w:rsidRPr="00812DB5">
        <w:rPr>
          <w:rFonts w:ascii="Arial" w:hAnsi="Arial" w:cs="Arial"/>
          <w:noProof/>
          <w:sz w:val="20"/>
        </w:rPr>
        <w:t>Мнозинството министри приветстваха предприетите навременни мерки. Редица делегации, които имат оставащи средства и са заинтересовани, приветстваха последната предложена мярка, която дава възможност за извънредна подкрепа на засегнати сектори с оставащи средства от Програмите за развитие на селските райони. България, заедно с други държави-членки поиска увеличение на бюджета на хоризонталната мярка COVID-19 с повече от 1 %. „Чрез извънредната мярка страната ни може да подкрепи най-пострадалите в земеделския сектор след приключване на реколтната година и анализ“, каза българският министър. „Към момента в страната ни се прилагат мерки за стимулиране на преработвателните предприятия за изкупуване на вече реколтиращата се земеделска продукция“, допълни българският министър.  По отношение на източника на средства за допълнителните мерки, министрите нямат консенсус. Някои делегации призоваха за активиране на резерва за селскостопански кризи в контекста на Covid-19, но повечето министри бяха против. Други делегации настояват за ползване на целевите приходи и маржовете от бюджета на ЕС за 2020 г. Мнозинството от делегациите призоваха за разширяване на предприетите мерки и допълнителни такива на европейско ниво за подкрепа на частното складиране за говеждо месо, млечни продукти, както и за подкрепа в още засегнати сектори като свинско, телешко и пилешко месо и мляко. Няколко министри на земеделието на ЕС призоваха за допълнителни мерки, по-специално в сектора на виното. Българският министър заяви, че България подкрепя предложението за допълнителна подкрепа в секторите „Животновъдство“ и „Мляко“ и предложи допълнителни мерки за директна подкрепа на производители в сектор „Плодове и зеленчуци“. В лозаро-винарския сектор България има намерения и готовност да предостави средства на гроздопроизводителите и ще настоява за предложението си да бъде програмирана подобна мярка на Covid-19 и в тази Програма. България подчерта необходимостта от контретни мерки и за дребно-мащабния риболов. Мнозинството министри призоваха за силен бюджет за ОСП, като поне да се запази бюджета на ОСП на сегашното му ниво и за периода 2021-2027 г. Комисарят по земеделие Януш Войчеховски също защити силен бюджет за ОСП след 2020 г.</w:t>
      </w:r>
    </w:p>
    <w:p w14:paraId="7110044C" w14:textId="77777777" w:rsidR="00C35717" w:rsidRPr="00812DB5" w:rsidRDefault="00C35717" w:rsidP="001B1430">
      <w:pPr>
        <w:jc w:val="both"/>
        <w:rPr>
          <w:rFonts w:ascii="Arial" w:hAnsi="Arial" w:cs="Arial"/>
          <w:noProof/>
          <w:sz w:val="20"/>
        </w:rPr>
      </w:pPr>
    </w:p>
    <w:p w14:paraId="0E81DE55" w14:textId="77777777" w:rsidR="00C35717" w:rsidRPr="00812DB5" w:rsidRDefault="00C35717" w:rsidP="00C35717">
      <w:pPr>
        <w:spacing w:after="160"/>
        <w:jc w:val="both"/>
        <w:rPr>
          <w:rFonts w:ascii="Arial" w:eastAsia="Calibri" w:hAnsi="Arial" w:cs="Arial"/>
          <w:noProof/>
          <w:sz w:val="20"/>
        </w:rPr>
      </w:pPr>
      <w:r w:rsidRPr="00812DB5">
        <w:rPr>
          <w:rFonts w:ascii="Arial" w:eastAsia="Calibri" w:hAnsi="Arial" w:cs="Arial"/>
          <w:b/>
          <w:noProof/>
          <w:sz w:val="20"/>
        </w:rPr>
        <w:t xml:space="preserve">7. Проектопланът </w:t>
      </w:r>
      <w:r w:rsidR="003627C7" w:rsidRPr="00812DB5">
        <w:rPr>
          <w:rFonts w:ascii="Arial" w:eastAsia="Calibri" w:hAnsi="Arial" w:cs="Arial"/>
          <w:b/>
          <w:noProof/>
          <w:sz w:val="20"/>
        </w:rPr>
        <w:t>„Зелена с</w:t>
      </w:r>
      <w:r w:rsidRPr="00812DB5">
        <w:rPr>
          <w:rFonts w:ascii="Arial" w:eastAsia="Calibri" w:hAnsi="Arial" w:cs="Arial"/>
          <w:b/>
          <w:noProof/>
          <w:sz w:val="20"/>
        </w:rPr>
        <w:t>делка</w:t>
      </w:r>
      <w:r w:rsidR="003627C7" w:rsidRPr="00812DB5">
        <w:rPr>
          <w:rFonts w:ascii="Arial" w:eastAsia="Calibri" w:hAnsi="Arial" w:cs="Arial"/>
          <w:b/>
          <w:noProof/>
          <w:sz w:val="20"/>
        </w:rPr>
        <w:t xml:space="preserve"> п</w:t>
      </w:r>
      <w:r w:rsidRPr="00812DB5">
        <w:rPr>
          <w:rFonts w:ascii="Arial" w:eastAsia="Calibri" w:hAnsi="Arial" w:cs="Arial"/>
          <w:b/>
          <w:noProof/>
          <w:sz w:val="20"/>
        </w:rPr>
        <w:t xml:space="preserve">акет за </w:t>
      </w:r>
      <w:r w:rsidR="003627C7" w:rsidRPr="00812DB5">
        <w:rPr>
          <w:rFonts w:ascii="Arial" w:eastAsia="Calibri" w:hAnsi="Arial" w:cs="Arial"/>
          <w:b/>
          <w:noProof/>
          <w:sz w:val="20"/>
        </w:rPr>
        <w:t>в</w:t>
      </w:r>
      <w:r w:rsidRPr="00812DB5">
        <w:rPr>
          <w:rFonts w:ascii="Arial" w:eastAsia="Calibri" w:hAnsi="Arial" w:cs="Arial"/>
          <w:b/>
          <w:noProof/>
          <w:sz w:val="20"/>
        </w:rPr>
        <w:t>ъзстановяване"</w:t>
      </w:r>
      <w:r w:rsidR="003627C7" w:rsidRPr="00812DB5">
        <w:rPr>
          <w:rFonts w:ascii="Arial" w:eastAsia="Calibri" w:hAnsi="Arial" w:cs="Arial"/>
          <w:b/>
          <w:noProof/>
          <w:sz w:val="20"/>
        </w:rPr>
        <w:t xml:space="preserve">, който все още подлежи на промяна преди публикуването му, </w:t>
      </w:r>
      <w:r w:rsidRPr="00812DB5">
        <w:rPr>
          <w:rFonts w:ascii="Arial" w:eastAsia="Calibri" w:hAnsi="Arial" w:cs="Arial"/>
          <w:b/>
          <w:noProof/>
          <w:sz w:val="20"/>
        </w:rPr>
        <w:t>се фокусира върху цифровизация</w:t>
      </w:r>
      <w:r w:rsidR="003627C7" w:rsidRPr="00812DB5">
        <w:rPr>
          <w:rFonts w:ascii="Arial" w:eastAsia="Calibri" w:hAnsi="Arial" w:cs="Arial"/>
          <w:b/>
          <w:noProof/>
          <w:sz w:val="20"/>
        </w:rPr>
        <w:t>та</w:t>
      </w:r>
      <w:r w:rsidRPr="00812DB5">
        <w:rPr>
          <w:rFonts w:ascii="Arial" w:eastAsia="Calibri" w:hAnsi="Arial" w:cs="Arial"/>
          <w:b/>
          <w:noProof/>
          <w:sz w:val="20"/>
        </w:rPr>
        <w:t>, намаляване</w:t>
      </w:r>
      <w:r w:rsidR="003627C7" w:rsidRPr="00812DB5">
        <w:rPr>
          <w:rFonts w:ascii="Arial" w:eastAsia="Calibri" w:hAnsi="Arial" w:cs="Arial"/>
          <w:b/>
          <w:noProof/>
          <w:sz w:val="20"/>
        </w:rPr>
        <w:t>то</w:t>
      </w:r>
      <w:r w:rsidRPr="00812DB5">
        <w:rPr>
          <w:rFonts w:ascii="Arial" w:eastAsia="Calibri" w:hAnsi="Arial" w:cs="Arial"/>
          <w:b/>
          <w:noProof/>
          <w:sz w:val="20"/>
        </w:rPr>
        <w:t xml:space="preserve"> на въглеродните емисии</w:t>
      </w:r>
      <w:r w:rsidR="003627C7" w:rsidRPr="00812DB5">
        <w:rPr>
          <w:rFonts w:ascii="Arial" w:eastAsia="Calibri" w:hAnsi="Arial" w:cs="Arial"/>
          <w:b/>
          <w:noProof/>
          <w:sz w:val="20"/>
        </w:rPr>
        <w:t xml:space="preserve"> и биоенергията. </w:t>
      </w:r>
      <w:r w:rsidRPr="00812DB5">
        <w:rPr>
          <w:rFonts w:ascii="Arial" w:eastAsia="Calibri" w:hAnsi="Arial" w:cs="Arial"/>
          <w:noProof/>
          <w:sz w:val="20"/>
        </w:rPr>
        <w:t>Неофициалният вариант</w:t>
      </w:r>
      <w:r w:rsidR="003627C7" w:rsidRPr="00812DB5">
        <w:rPr>
          <w:rFonts w:ascii="Arial" w:eastAsia="Calibri" w:hAnsi="Arial" w:cs="Arial"/>
          <w:noProof/>
          <w:sz w:val="20"/>
        </w:rPr>
        <w:t>,</w:t>
      </w:r>
      <w:r w:rsidRPr="00812DB5">
        <w:rPr>
          <w:rFonts w:ascii="Arial" w:eastAsia="Calibri" w:hAnsi="Arial" w:cs="Arial"/>
          <w:noProof/>
          <w:sz w:val="20"/>
        </w:rPr>
        <w:t xml:space="preserve"> който се разпространява</w:t>
      </w:r>
      <w:r w:rsidR="003627C7" w:rsidRPr="00812DB5">
        <w:rPr>
          <w:rFonts w:ascii="Arial" w:eastAsia="Calibri" w:hAnsi="Arial" w:cs="Arial"/>
          <w:noProof/>
          <w:sz w:val="20"/>
        </w:rPr>
        <w:t>,</w:t>
      </w:r>
      <w:r w:rsidRPr="00812DB5">
        <w:rPr>
          <w:rFonts w:ascii="Arial" w:eastAsia="Calibri" w:hAnsi="Arial" w:cs="Arial"/>
          <w:noProof/>
          <w:sz w:val="20"/>
        </w:rPr>
        <w:t xml:space="preserve"> предлага огромни инвестиции в бърз интернет в селското стопанство и селските райони, намаляване на емисиите от парникови газове и биоенергия, произведена от отпадъци или култури</w:t>
      </w:r>
      <w:r w:rsidR="003627C7" w:rsidRPr="00812DB5">
        <w:rPr>
          <w:rFonts w:ascii="Arial" w:eastAsia="Calibri" w:hAnsi="Arial" w:cs="Arial"/>
          <w:noProof/>
          <w:sz w:val="20"/>
        </w:rPr>
        <w:t>,</w:t>
      </w:r>
      <w:r w:rsidRPr="00812DB5">
        <w:rPr>
          <w:rFonts w:ascii="Arial" w:eastAsia="Calibri" w:hAnsi="Arial" w:cs="Arial"/>
          <w:noProof/>
          <w:sz w:val="20"/>
        </w:rPr>
        <w:t xml:space="preserve"> за да се изгради устойчиво земеделие. Европейската комисия подчертава, че селското стопанство и хранителната верига са засегнати от кризата COVID-19 в различни аспекти и по</w:t>
      </w:r>
      <w:r w:rsidR="003627C7" w:rsidRPr="00812DB5">
        <w:rPr>
          <w:rFonts w:ascii="Arial" w:eastAsia="Calibri" w:hAnsi="Arial" w:cs="Arial"/>
          <w:noProof/>
          <w:sz w:val="20"/>
        </w:rPr>
        <w:t xml:space="preserve"> р</w:t>
      </w:r>
      <w:r w:rsidRPr="00812DB5">
        <w:rPr>
          <w:rFonts w:ascii="Arial" w:eastAsia="Calibri" w:hAnsi="Arial" w:cs="Arial"/>
          <w:noProof/>
          <w:sz w:val="20"/>
        </w:rPr>
        <w:t xml:space="preserve">азличен начин от другите отрасли. Последиците от пандемията показват, че сега повече от всякога, трябва да </w:t>
      </w:r>
      <w:r w:rsidR="00382419" w:rsidRPr="00812DB5">
        <w:rPr>
          <w:rFonts w:ascii="Arial" w:eastAsia="Calibri" w:hAnsi="Arial" w:cs="Arial"/>
          <w:noProof/>
          <w:sz w:val="20"/>
        </w:rPr>
        <w:t xml:space="preserve">се </w:t>
      </w:r>
      <w:r w:rsidRPr="00812DB5">
        <w:rPr>
          <w:rFonts w:ascii="Arial" w:eastAsia="Calibri" w:hAnsi="Arial" w:cs="Arial"/>
          <w:noProof/>
          <w:sz w:val="20"/>
        </w:rPr>
        <w:t>поддържа устойчиво</w:t>
      </w:r>
      <w:r w:rsidR="00382419" w:rsidRPr="00812DB5">
        <w:rPr>
          <w:rFonts w:ascii="Arial" w:eastAsia="Calibri" w:hAnsi="Arial" w:cs="Arial"/>
          <w:noProof/>
          <w:sz w:val="20"/>
        </w:rPr>
        <w:t>то земеделие и</w:t>
      </w:r>
      <w:r w:rsidRPr="00812DB5">
        <w:rPr>
          <w:rFonts w:ascii="Arial" w:eastAsia="Calibri" w:hAnsi="Arial" w:cs="Arial"/>
          <w:noProof/>
          <w:sz w:val="20"/>
        </w:rPr>
        <w:t xml:space="preserve"> по-специално диверсификация на доходите на земеделските стопани и земеделската дейност. В проектоплана се посочва, че предстоящата стратегия “От фермата до трапезата“, която трябва да бъде публикувана на 20 май, ще установи по-доброто хранене и ще превърне европейската храна в "световен стандарт за устойчивост"</w:t>
      </w:r>
      <w:r w:rsidR="00382419" w:rsidRPr="00812DB5">
        <w:rPr>
          <w:rFonts w:ascii="Arial" w:eastAsia="Calibri" w:hAnsi="Arial" w:cs="Arial"/>
          <w:noProof/>
          <w:sz w:val="20"/>
        </w:rPr>
        <w:t xml:space="preserve">. </w:t>
      </w:r>
      <w:r w:rsidRPr="00812DB5">
        <w:rPr>
          <w:rFonts w:ascii="Arial" w:eastAsia="Calibri" w:hAnsi="Arial" w:cs="Arial"/>
          <w:noProof/>
          <w:sz w:val="20"/>
        </w:rPr>
        <w:t>Пакетът за възстановяване се очаква да насърчи дейности, свързани с опазване на околната среда и благоприятни за климата инвестиции и практики. Бързият интернет се определя като ключова област за създаване на работни места и бизнес,</w:t>
      </w:r>
      <w:r w:rsidR="00382419" w:rsidRPr="00812DB5">
        <w:rPr>
          <w:rFonts w:ascii="Arial" w:eastAsia="Calibri" w:hAnsi="Arial" w:cs="Arial"/>
          <w:noProof/>
          <w:sz w:val="20"/>
        </w:rPr>
        <w:t xml:space="preserve"> </w:t>
      </w:r>
      <w:r w:rsidRPr="00812DB5">
        <w:rPr>
          <w:rFonts w:ascii="Arial" w:eastAsia="Calibri" w:hAnsi="Arial" w:cs="Arial"/>
          <w:noProof/>
          <w:sz w:val="20"/>
        </w:rPr>
        <w:t xml:space="preserve">както и за подобряване </w:t>
      </w:r>
      <w:r w:rsidR="00382419" w:rsidRPr="00812DB5">
        <w:rPr>
          <w:rFonts w:ascii="Arial" w:eastAsia="Calibri" w:hAnsi="Arial" w:cs="Arial"/>
          <w:noProof/>
          <w:sz w:val="20"/>
        </w:rPr>
        <w:t xml:space="preserve">на </w:t>
      </w:r>
      <w:r w:rsidRPr="00812DB5">
        <w:rPr>
          <w:rFonts w:ascii="Arial" w:eastAsia="Calibri" w:hAnsi="Arial" w:cs="Arial"/>
          <w:noProof/>
          <w:sz w:val="20"/>
        </w:rPr>
        <w:t xml:space="preserve">качеството на живот в селските райони. </w:t>
      </w:r>
      <w:r w:rsidR="00337379" w:rsidRPr="00812DB5">
        <w:rPr>
          <w:rFonts w:ascii="Arial" w:eastAsia="Calibri" w:hAnsi="Arial" w:cs="Arial"/>
          <w:noProof/>
          <w:sz w:val="20"/>
        </w:rPr>
        <w:t>Необходими са</w:t>
      </w:r>
      <w:r w:rsidRPr="00812DB5">
        <w:rPr>
          <w:rFonts w:ascii="Arial" w:eastAsia="Calibri" w:hAnsi="Arial" w:cs="Arial"/>
          <w:noProof/>
          <w:sz w:val="20"/>
        </w:rPr>
        <w:t xml:space="preserve"> инвестиции, за да се въведе широколентов достъп в селските райони. През 2018 г. малко под половината от домакинствата в селските райони са имали достъп до услугата. </w:t>
      </w:r>
      <w:r w:rsidR="001A56E8" w:rsidRPr="00812DB5">
        <w:rPr>
          <w:rFonts w:ascii="Arial" w:eastAsia="Calibri" w:hAnsi="Arial" w:cs="Arial"/>
          <w:noProof/>
          <w:sz w:val="20"/>
        </w:rPr>
        <w:t>Ин</w:t>
      </w:r>
      <w:r w:rsidRPr="00812DB5">
        <w:rPr>
          <w:rFonts w:ascii="Arial" w:eastAsia="Calibri" w:hAnsi="Arial" w:cs="Arial"/>
          <w:noProof/>
          <w:sz w:val="20"/>
        </w:rPr>
        <w:t>вестиция</w:t>
      </w:r>
      <w:r w:rsidR="001A56E8" w:rsidRPr="00812DB5">
        <w:rPr>
          <w:rFonts w:ascii="Arial" w:eastAsia="Calibri" w:hAnsi="Arial" w:cs="Arial"/>
          <w:noProof/>
          <w:sz w:val="20"/>
        </w:rPr>
        <w:t>та</w:t>
      </w:r>
      <w:r w:rsidRPr="00812DB5">
        <w:rPr>
          <w:rFonts w:ascii="Arial" w:eastAsia="Calibri" w:hAnsi="Arial" w:cs="Arial"/>
          <w:noProof/>
          <w:sz w:val="20"/>
        </w:rPr>
        <w:t xml:space="preserve"> в бърз интернет ще доведе до по-добър достъп до консултантски услуги и онлайн курсове. Модернизацията на селското стопанство, чрез иновации и цифровизация в прецизно земеделие ще </w:t>
      </w:r>
      <w:r w:rsidR="00B31C85" w:rsidRPr="00812DB5">
        <w:rPr>
          <w:rFonts w:ascii="Arial" w:eastAsia="Calibri" w:hAnsi="Arial" w:cs="Arial"/>
          <w:noProof/>
          <w:sz w:val="20"/>
        </w:rPr>
        <w:t>намали</w:t>
      </w:r>
      <w:r w:rsidRPr="00812DB5">
        <w:rPr>
          <w:rFonts w:ascii="Arial" w:eastAsia="Calibri" w:hAnsi="Arial" w:cs="Arial"/>
          <w:noProof/>
          <w:sz w:val="20"/>
        </w:rPr>
        <w:t xml:space="preserve"> разходите и </w:t>
      </w:r>
      <w:r w:rsidR="00B31C85" w:rsidRPr="00812DB5">
        <w:rPr>
          <w:rFonts w:ascii="Arial" w:eastAsia="Calibri" w:hAnsi="Arial" w:cs="Arial"/>
          <w:noProof/>
          <w:sz w:val="20"/>
        </w:rPr>
        <w:t xml:space="preserve"> ще </w:t>
      </w:r>
      <w:r w:rsidRPr="00812DB5">
        <w:rPr>
          <w:rFonts w:ascii="Arial" w:eastAsia="Calibri" w:hAnsi="Arial" w:cs="Arial"/>
          <w:noProof/>
          <w:sz w:val="20"/>
        </w:rPr>
        <w:t>подобр</w:t>
      </w:r>
      <w:r w:rsidR="00B31C85" w:rsidRPr="00812DB5">
        <w:rPr>
          <w:rFonts w:ascii="Arial" w:eastAsia="Calibri" w:hAnsi="Arial" w:cs="Arial"/>
          <w:noProof/>
          <w:sz w:val="20"/>
        </w:rPr>
        <w:t>и</w:t>
      </w:r>
      <w:r w:rsidRPr="00812DB5">
        <w:rPr>
          <w:rFonts w:ascii="Arial" w:eastAsia="Calibri" w:hAnsi="Arial" w:cs="Arial"/>
          <w:noProof/>
          <w:sz w:val="20"/>
        </w:rPr>
        <w:t xml:space="preserve"> управлението на почвите и качеството на водите, както и </w:t>
      </w:r>
      <w:r w:rsidR="00B31C85" w:rsidRPr="00812DB5">
        <w:rPr>
          <w:rFonts w:ascii="Arial" w:eastAsia="Calibri" w:hAnsi="Arial" w:cs="Arial"/>
          <w:noProof/>
          <w:sz w:val="20"/>
        </w:rPr>
        <w:t xml:space="preserve">ще </w:t>
      </w:r>
      <w:r w:rsidRPr="00812DB5">
        <w:rPr>
          <w:rFonts w:ascii="Arial" w:eastAsia="Calibri" w:hAnsi="Arial" w:cs="Arial"/>
          <w:noProof/>
          <w:sz w:val="20"/>
        </w:rPr>
        <w:t>намал</w:t>
      </w:r>
      <w:r w:rsidR="00B31C85" w:rsidRPr="00812DB5">
        <w:rPr>
          <w:rFonts w:ascii="Arial" w:eastAsia="Calibri" w:hAnsi="Arial" w:cs="Arial"/>
          <w:noProof/>
          <w:sz w:val="20"/>
        </w:rPr>
        <w:t>и</w:t>
      </w:r>
      <w:r w:rsidRPr="00812DB5">
        <w:rPr>
          <w:rFonts w:ascii="Arial" w:eastAsia="Calibri" w:hAnsi="Arial" w:cs="Arial"/>
          <w:noProof/>
          <w:sz w:val="20"/>
        </w:rPr>
        <w:t xml:space="preserve"> използването на торове и пестициди, заедно с емисиите на парниковите газове. Инвестицията за въвеждане на широколентов достъп в селските райони възлиза общо на 130 милиарда евро, със съпътстващи 35 милиарда евро за цифровизация на хранително-вкусовия сектор през следващите две години. Проектопланът включва  приоритизиране на инфраструктура, особено в селските райони, намаляване</w:t>
      </w:r>
      <w:r w:rsidR="002058EF" w:rsidRPr="00812DB5">
        <w:rPr>
          <w:rFonts w:ascii="Arial" w:eastAsia="Calibri" w:hAnsi="Arial" w:cs="Arial"/>
          <w:noProof/>
          <w:sz w:val="20"/>
        </w:rPr>
        <w:t xml:space="preserve"> </w:t>
      </w:r>
      <w:r w:rsidRPr="00812DB5">
        <w:rPr>
          <w:rFonts w:ascii="Arial" w:eastAsia="Calibri" w:hAnsi="Arial" w:cs="Arial"/>
          <w:noProof/>
          <w:sz w:val="20"/>
        </w:rPr>
        <w:t>на несигурността на пазара, както и издигане на лидерството на ЕС в областта на сателитните технологии и инвестиц</w:t>
      </w:r>
      <w:r w:rsidR="002058EF" w:rsidRPr="00812DB5">
        <w:rPr>
          <w:rFonts w:ascii="Arial" w:eastAsia="Calibri" w:hAnsi="Arial" w:cs="Arial"/>
          <w:noProof/>
          <w:sz w:val="20"/>
        </w:rPr>
        <w:t>и</w:t>
      </w:r>
      <w:r w:rsidRPr="00812DB5">
        <w:rPr>
          <w:rFonts w:ascii="Arial" w:eastAsia="Calibri" w:hAnsi="Arial" w:cs="Arial"/>
          <w:noProof/>
          <w:sz w:val="20"/>
        </w:rPr>
        <w:t xml:space="preserve"> в диверсификация</w:t>
      </w:r>
      <w:r w:rsidR="002058EF" w:rsidRPr="00812DB5">
        <w:rPr>
          <w:rFonts w:ascii="Arial" w:eastAsia="Calibri" w:hAnsi="Arial" w:cs="Arial"/>
          <w:noProof/>
          <w:sz w:val="20"/>
        </w:rPr>
        <w:t>та</w:t>
      </w:r>
      <w:r w:rsidRPr="00812DB5">
        <w:rPr>
          <w:rFonts w:ascii="Arial" w:eastAsia="Calibri" w:hAnsi="Arial" w:cs="Arial"/>
          <w:noProof/>
          <w:sz w:val="20"/>
        </w:rPr>
        <w:t xml:space="preserve"> на земеделието. Проектът предвижда също </w:t>
      </w:r>
      <w:r w:rsidR="00563D27" w:rsidRPr="00812DB5">
        <w:rPr>
          <w:rFonts w:ascii="Arial" w:eastAsia="Calibri" w:hAnsi="Arial" w:cs="Arial"/>
          <w:noProof/>
          <w:sz w:val="20"/>
        </w:rPr>
        <w:t xml:space="preserve">така </w:t>
      </w:r>
      <w:r w:rsidRPr="00812DB5">
        <w:rPr>
          <w:rFonts w:ascii="Arial" w:eastAsia="Calibri" w:hAnsi="Arial" w:cs="Arial"/>
          <w:noProof/>
          <w:sz w:val="20"/>
        </w:rPr>
        <w:t>инвестиции в намаляване</w:t>
      </w:r>
      <w:r w:rsidR="00563D27" w:rsidRPr="00812DB5">
        <w:rPr>
          <w:rFonts w:ascii="Arial" w:eastAsia="Calibri" w:hAnsi="Arial" w:cs="Arial"/>
          <w:noProof/>
          <w:sz w:val="20"/>
        </w:rPr>
        <w:t>то</w:t>
      </w:r>
      <w:r w:rsidRPr="00812DB5">
        <w:rPr>
          <w:rFonts w:ascii="Arial" w:eastAsia="Calibri" w:hAnsi="Arial" w:cs="Arial"/>
          <w:noProof/>
          <w:sz w:val="20"/>
        </w:rPr>
        <w:t xml:space="preserve"> на емисиите на парникови газове </w:t>
      </w:r>
      <w:r w:rsidR="00841561" w:rsidRPr="00812DB5">
        <w:rPr>
          <w:rFonts w:ascii="Arial" w:eastAsia="Calibri" w:hAnsi="Arial" w:cs="Arial"/>
          <w:noProof/>
          <w:sz w:val="20"/>
        </w:rPr>
        <w:t>в</w:t>
      </w:r>
      <w:r w:rsidR="00563D27" w:rsidRPr="00812DB5">
        <w:rPr>
          <w:rFonts w:ascii="Arial" w:eastAsia="Calibri" w:hAnsi="Arial" w:cs="Arial"/>
          <w:noProof/>
          <w:sz w:val="20"/>
        </w:rPr>
        <w:t xml:space="preserve"> </w:t>
      </w:r>
      <w:r w:rsidRPr="00812DB5">
        <w:rPr>
          <w:rFonts w:ascii="Arial" w:eastAsia="Calibri" w:hAnsi="Arial" w:cs="Arial"/>
          <w:noProof/>
          <w:sz w:val="20"/>
        </w:rPr>
        <w:t>размер на 14 млрд.евро, които ще се насочат към горите, торфищата и почвите през следващите две години. Целта е да се</w:t>
      </w:r>
      <w:r w:rsidR="00A31DFF" w:rsidRPr="00812DB5">
        <w:rPr>
          <w:rFonts w:ascii="Arial" w:eastAsia="Calibri" w:hAnsi="Arial" w:cs="Arial"/>
          <w:noProof/>
          <w:sz w:val="20"/>
        </w:rPr>
        <w:t xml:space="preserve"> заса</w:t>
      </w:r>
      <w:r w:rsidRPr="00812DB5">
        <w:rPr>
          <w:rFonts w:ascii="Arial" w:eastAsia="Calibri" w:hAnsi="Arial" w:cs="Arial"/>
          <w:noProof/>
          <w:sz w:val="20"/>
        </w:rPr>
        <w:t xml:space="preserve">дят 3 милиарда дървета до 2030 г., </w:t>
      </w:r>
      <w:r w:rsidR="00A31DFF" w:rsidRPr="00812DB5">
        <w:rPr>
          <w:rFonts w:ascii="Arial" w:eastAsia="Calibri" w:hAnsi="Arial" w:cs="Arial"/>
          <w:noProof/>
          <w:sz w:val="20"/>
        </w:rPr>
        <w:t xml:space="preserve">да се възстановят достатъчно торфища </w:t>
      </w:r>
      <w:r w:rsidRPr="00812DB5">
        <w:rPr>
          <w:rFonts w:ascii="Arial" w:eastAsia="Calibri" w:hAnsi="Arial" w:cs="Arial"/>
          <w:noProof/>
          <w:sz w:val="20"/>
        </w:rPr>
        <w:t>и да се подобри управлението на почвите. В проекта се предлага инвестиция в размер на 4 милиарда евро, като се дава приоритет на производство</w:t>
      </w:r>
      <w:r w:rsidR="00A31DFF" w:rsidRPr="00812DB5">
        <w:rPr>
          <w:rFonts w:ascii="Arial" w:eastAsia="Calibri" w:hAnsi="Arial" w:cs="Arial"/>
          <w:noProof/>
          <w:sz w:val="20"/>
        </w:rPr>
        <w:t>то</w:t>
      </w:r>
      <w:r w:rsidRPr="00812DB5">
        <w:rPr>
          <w:rFonts w:ascii="Arial" w:eastAsia="Calibri" w:hAnsi="Arial" w:cs="Arial"/>
          <w:noProof/>
          <w:sz w:val="20"/>
        </w:rPr>
        <w:t xml:space="preserve"> на биоенергия и енергийни култури.</w:t>
      </w:r>
      <w:r w:rsidRPr="00812DB5">
        <w:rPr>
          <w:rFonts w:ascii="Arial" w:hAnsi="Arial" w:cs="Arial"/>
          <w:noProof/>
          <w:sz w:val="20"/>
        </w:rPr>
        <w:t xml:space="preserve"> </w:t>
      </w:r>
      <w:r w:rsidRPr="00812DB5">
        <w:rPr>
          <w:rFonts w:ascii="Arial" w:eastAsia="Calibri" w:hAnsi="Arial" w:cs="Arial"/>
          <w:noProof/>
          <w:sz w:val="20"/>
        </w:rPr>
        <w:t xml:space="preserve">Европейските земеделски стопани имат потенциал да произвеждат енергия от възобновяеми </w:t>
      </w:r>
      <w:r w:rsidRPr="00812DB5">
        <w:rPr>
          <w:rFonts w:ascii="Arial" w:eastAsia="Calibri" w:hAnsi="Arial" w:cs="Arial"/>
          <w:noProof/>
          <w:sz w:val="20"/>
        </w:rPr>
        <w:lastRenderedPageBreak/>
        <w:t xml:space="preserve">източници, стига тези инвестиции да се извършват в устойчива среда, без да се застрашава продоволствената сигурност. </w:t>
      </w:r>
    </w:p>
    <w:p w14:paraId="273B2D22" w14:textId="4AC2A508" w:rsidR="002476F1" w:rsidRDefault="002476F1" w:rsidP="002476F1">
      <w:pPr>
        <w:spacing w:after="160"/>
        <w:jc w:val="both"/>
        <w:rPr>
          <w:rFonts w:ascii="Arial" w:eastAsia="Calibri" w:hAnsi="Arial" w:cs="Arial"/>
          <w:noProof/>
          <w:sz w:val="20"/>
        </w:rPr>
      </w:pPr>
      <w:r w:rsidRPr="00812DB5">
        <w:rPr>
          <w:rStyle w:val="longtext"/>
          <w:rFonts w:ascii="Arial" w:hAnsi="Arial" w:cs="Arial"/>
          <w:b/>
          <w:noProof/>
          <w:sz w:val="20"/>
        </w:rPr>
        <w:t xml:space="preserve">8. </w:t>
      </w:r>
      <w:r w:rsidRPr="00812DB5">
        <w:rPr>
          <w:rFonts w:ascii="Arial" w:eastAsia="Calibri" w:hAnsi="Arial" w:cs="Arial"/>
          <w:b/>
          <w:noProof/>
          <w:sz w:val="20"/>
        </w:rPr>
        <w:t>На 11 май, европейският комисар по безопасност на храните Стела Кириакидес направи преглед на стратегията „От Фермата до трапезата“, която се очаква да бъде приета от ЕК през следващата седмица.</w:t>
      </w:r>
      <w:r w:rsidRPr="00812DB5">
        <w:rPr>
          <w:rFonts w:ascii="Arial" w:eastAsia="Calibri" w:hAnsi="Arial" w:cs="Arial"/>
          <w:noProof/>
          <w:sz w:val="20"/>
        </w:rPr>
        <w:t xml:space="preserve"> Без да предоставя </w:t>
      </w:r>
      <w:r w:rsidR="00491405">
        <w:rPr>
          <w:rFonts w:ascii="Arial" w:eastAsia="Calibri" w:hAnsi="Arial" w:cs="Arial"/>
          <w:noProof/>
          <w:sz w:val="20"/>
        </w:rPr>
        <w:t xml:space="preserve">конкретни </w:t>
      </w:r>
      <w:r w:rsidRPr="00812DB5">
        <w:rPr>
          <w:rFonts w:ascii="Arial" w:eastAsia="Calibri" w:hAnsi="Arial" w:cs="Arial"/>
          <w:noProof/>
          <w:sz w:val="20"/>
        </w:rPr>
        <w:t>данни тя призова за намаляване на употребата на пестициди, торове и антибиотици в животновъдството. Стела Кириакидес подчерта че стратегията „ От фермата до трапезата“, е един от основните компоненти на Европейската Зелена сделка, която ще помогне за установяването на „нов курс“. Това от своя страна ще допринесе за възстановяване на ЕС след пандемията от коронавирус. Европейският комисар по безопасност на храните</w:t>
      </w:r>
      <w:r w:rsidRPr="00812DB5">
        <w:rPr>
          <w:rFonts w:ascii="Arial" w:eastAsia="Calibri" w:hAnsi="Arial" w:cs="Arial"/>
          <w:b/>
          <w:noProof/>
          <w:sz w:val="20"/>
        </w:rPr>
        <w:t xml:space="preserve"> </w:t>
      </w:r>
      <w:r w:rsidRPr="00812DB5">
        <w:rPr>
          <w:rFonts w:ascii="Arial" w:eastAsia="Calibri" w:hAnsi="Arial" w:cs="Arial"/>
          <w:noProof/>
          <w:sz w:val="20"/>
        </w:rPr>
        <w:t>заяви пред членове на Комисията по земеделие към Европейския парламент, че не е достатъчно да има модел, основан единствено на производството. Трябва всички икономически, екологични и обществени проблеми да бъдат взети под внимание. Бъдещата стратегия ще адресира приоритетите, произтичащи от изменението на климата и защитата на биологичното разнообразие. Стела Кириакидес призова за преглед на моделите на потребление, намаляване на хранителните отпадъци и по-здравословни диети. „Разглеждаме законодателни и незаконодателни инициативи, за да подобрим устойчивостта на всички връзки в хранителната верига“, добави тя. „Целта е да се намалят рисковете и използването на пестициди, да се намали използването на торове и антибиотици.“ Сред 26-те ключови инициативи за веригата на доставки на храни, в последната версия, озаглавена „Към справедлива, здравословна и екологично чиста хранителна система“, се включват препоръки за всяка държава-членка относно деветте специфични цели на предстоящата обща селскостопанска политика. Останалите инициативи в дневния ред малко са променени спрямо предишните версии на текста. Наред с преразглеждане на директивите за пестицидите (през 2022 г.), хармонизиране на задължителното етикетиране на хранителните вещества върху опаковките (през 2023 г.) и цялостен план за интегрирано управление на хранителните вещества за намаляване на замърсяването, особено от торовете в селското стопанство (очаквани през 2022-2023 г.), се появява и един нов елемент, свързан с коронавируса. Създава се  Обсерватория за безопасност на храните в ЕС, която да наблюдава и докладва за способността на ЕС да гарантира наличност на доставките, да обхваща производството на храни и инфраструктура, като гарантира прозрачност и координация по време на предизвикателствато. Новият орган трябва да гарантира, че търговията със селскостопански продукти ще продължава да играе своята важна роля, допринасяйки за глобалната продоволствена сигурност.</w:t>
      </w:r>
      <w:r w:rsidR="00491405">
        <w:rPr>
          <w:rFonts w:ascii="Arial" w:eastAsia="Calibri" w:hAnsi="Arial" w:cs="Arial"/>
          <w:noProof/>
          <w:sz w:val="20"/>
        </w:rPr>
        <w:t xml:space="preserve"> </w:t>
      </w:r>
      <w:r w:rsidRPr="00812DB5">
        <w:rPr>
          <w:rFonts w:ascii="Arial" w:eastAsia="Calibri" w:hAnsi="Arial" w:cs="Arial"/>
          <w:noProof/>
          <w:sz w:val="20"/>
        </w:rPr>
        <w:t>Съществува и план за действие в извънредни ситуации, за да се осигури снабдяване с храна и сигурност, в случай на криза от всякакъв вид. Другата стратегия за Биоразнообразието 2030 на ЕС предполага повече данни за постигане на целите.</w:t>
      </w:r>
    </w:p>
    <w:p w14:paraId="243F4B6B" w14:textId="77777777" w:rsidR="00814AE7" w:rsidRPr="00CF72FC" w:rsidRDefault="00814AE7" w:rsidP="00814AE7">
      <w:pPr>
        <w:pStyle w:val="Default"/>
        <w:jc w:val="both"/>
        <w:rPr>
          <w:noProof/>
          <w:sz w:val="20"/>
          <w:szCs w:val="20"/>
          <w:lang w:val="bg-BG"/>
        </w:rPr>
      </w:pPr>
      <w:r w:rsidRPr="00814AE7">
        <w:rPr>
          <w:b/>
          <w:noProof/>
          <w:sz w:val="20"/>
          <w:szCs w:val="20"/>
          <w:lang w:val="bg-BG"/>
        </w:rPr>
        <w:t>9.</w:t>
      </w:r>
      <w:r>
        <w:rPr>
          <w:b/>
          <w:noProof/>
          <w:sz w:val="20"/>
          <w:szCs w:val="20"/>
          <w:lang w:val="bg-BG"/>
        </w:rPr>
        <w:t xml:space="preserve"> По време на</w:t>
      </w:r>
      <w:r w:rsidRPr="00814AE7">
        <w:rPr>
          <w:b/>
          <w:noProof/>
          <w:sz w:val="20"/>
          <w:szCs w:val="20"/>
          <w:lang w:val="bg-BG"/>
        </w:rPr>
        <w:t xml:space="preserve"> виртуалната пленарна сесия на</w:t>
      </w:r>
      <w:r w:rsidRPr="00CF72FC">
        <w:rPr>
          <w:b/>
          <w:noProof/>
          <w:sz w:val="20"/>
          <w:szCs w:val="20"/>
          <w:lang w:val="bg-BG"/>
        </w:rPr>
        <w:t xml:space="preserve"> 15 май Европейския</w:t>
      </w:r>
      <w:r>
        <w:rPr>
          <w:b/>
          <w:noProof/>
          <w:sz w:val="20"/>
          <w:szCs w:val="20"/>
          <w:lang w:val="bg-BG"/>
        </w:rPr>
        <w:t>т</w:t>
      </w:r>
      <w:r w:rsidRPr="00CF72FC">
        <w:rPr>
          <w:b/>
          <w:noProof/>
          <w:sz w:val="20"/>
          <w:szCs w:val="20"/>
          <w:lang w:val="bg-BG"/>
        </w:rPr>
        <w:t xml:space="preserve"> парламент</w:t>
      </w:r>
      <w:r>
        <w:rPr>
          <w:b/>
          <w:noProof/>
          <w:sz w:val="20"/>
          <w:szCs w:val="20"/>
          <w:lang w:val="bg-BG"/>
        </w:rPr>
        <w:t xml:space="preserve"> (ЕП)</w:t>
      </w:r>
      <w:r w:rsidRPr="00CF72FC">
        <w:rPr>
          <w:b/>
          <w:noProof/>
          <w:sz w:val="20"/>
          <w:szCs w:val="20"/>
          <w:lang w:val="bg-BG"/>
        </w:rPr>
        <w:t xml:space="preserve"> подкрепи мандата за преходния регламент на ОСП, основан на доклад на Елси Катайнен, проправяйки пътя към началото на тристранните преговори на 20 май. </w:t>
      </w:r>
      <w:r w:rsidRPr="00CF72FC">
        <w:rPr>
          <w:noProof/>
          <w:sz w:val="20"/>
          <w:szCs w:val="20"/>
          <w:lang w:val="bg-BG"/>
        </w:rPr>
        <w:t xml:space="preserve">В коментар по този повод </w:t>
      </w:r>
      <w:r>
        <w:rPr>
          <w:noProof/>
          <w:sz w:val="20"/>
          <w:szCs w:val="20"/>
          <w:lang w:val="bg-BG"/>
        </w:rPr>
        <w:t>т</w:t>
      </w:r>
      <w:r w:rsidR="00C61FD9">
        <w:rPr>
          <w:noProof/>
          <w:sz w:val="20"/>
          <w:szCs w:val="20"/>
          <w:lang w:val="bg-BG"/>
        </w:rPr>
        <w:t>я</w:t>
      </w:r>
      <w:r>
        <w:rPr>
          <w:noProof/>
          <w:sz w:val="20"/>
          <w:szCs w:val="20"/>
          <w:lang w:val="bg-BG"/>
        </w:rPr>
        <w:t xml:space="preserve"> заяви, че </w:t>
      </w:r>
      <w:r w:rsidRPr="00CF72FC">
        <w:rPr>
          <w:noProof/>
          <w:sz w:val="20"/>
          <w:szCs w:val="20"/>
          <w:lang w:val="bg-BG"/>
        </w:rPr>
        <w:t xml:space="preserve">силната подкрепа </w:t>
      </w:r>
      <w:r w:rsidR="00C61FD9">
        <w:rPr>
          <w:noProof/>
          <w:sz w:val="20"/>
          <w:szCs w:val="20"/>
          <w:lang w:val="bg-BG"/>
        </w:rPr>
        <w:t>в</w:t>
      </w:r>
      <w:r w:rsidRPr="00CF72FC">
        <w:rPr>
          <w:noProof/>
          <w:sz w:val="20"/>
          <w:szCs w:val="20"/>
          <w:lang w:val="bg-BG"/>
        </w:rPr>
        <w:t xml:space="preserve"> залата </w:t>
      </w:r>
      <w:r>
        <w:rPr>
          <w:noProof/>
          <w:sz w:val="20"/>
          <w:szCs w:val="20"/>
          <w:lang w:val="bg-BG"/>
        </w:rPr>
        <w:t xml:space="preserve">е </w:t>
      </w:r>
      <w:r w:rsidRPr="00CF72FC">
        <w:rPr>
          <w:noProof/>
          <w:sz w:val="20"/>
          <w:szCs w:val="20"/>
          <w:lang w:val="bg-BG"/>
        </w:rPr>
        <w:t>показ</w:t>
      </w:r>
      <w:r>
        <w:rPr>
          <w:noProof/>
          <w:sz w:val="20"/>
          <w:szCs w:val="20"/>
          <w:lang w:val="bg-BG"/>
        </w:rPr>
        <w:t>ала</w:t>
      </w:r>
      <w:r w:rsidRPr="00CF72FC">
        <w:rPr>
          <w:noProof/>
          <w:sz w:val="20"/>
          <w:szCs w:val="20"/>
          <w:lang w:val="bg-BG"/>
        </w:rPr>
        <w:t xml:space="preserve">, че </w:t>
      </w:r>
      <w:r>
        <w:rPr>
          <w:noProof/>
          <w:sz w:val="20"/>
          <w:szCs w:val="20"/>
          <w:lang w:val="bg-BG"/>
        </w:rPr>
        <w:t xml:space="preserve">земеделието </w:t>
      </w:r>
      <w:r w:rsidRPr="00CF72FC">
        <w:rPr>
          <w:noProof/>
          <w:sz w:val="20"/>
          <w:szCs w:val="20"/>
          <w:lang w:val="bg-BG"/>
        </w:rPr>
        <w:t>и стабилността на хранителния сектор са ценени, което е особено важно сега в условията на криза</w:t>
      </w:r>
      <w:r>
        <w:rPr>
          <w:noProof/>
          <w:sz w:val="20"/>
          <w:szCs w:val="20"/>
          <w:lang w:val="bg-BG"/>
        </w:rPr>
        <w:t>, а з</w:t>
      </w:r>
      <w:r w:rsidRPr="00CF72FC">
        <w:rPr>
          <w:noProof/>
          <w:sz w:val="20"/>
          <w:szCs w:val="20"/>
          <w:lang w:val="bg-BG"/>
        </w:rPr>
        <w:t>емеделските производители се нуждаят от сигурност за бъдещето</w:t>
      </w:r>
      <w:r>
        <w:rPr>
          <w:noProof/>
          <w:sz w:val="20"/>
          <w:szCs w:val="20"/>
          <w:lang w:val="bg-BG"/>
        </w:rPr>
        <w:t xml:space="preserve">. </w:t>
      </w:r>
      <w:r w:rsidRPr="00CF72FC">
        <w:rPr>
          <w:noProof/>
          <w:sz w:val="20"/>
          <w:szCs w:val="20"/>
          <w:lang w:val="bg-BG"/>
        </w:rPr>
        <w:t>В отговор</w:t>
      </w:r>
      <w:r>
        <w:rPr>
          <w:noProof/>
          <w:sz w:val="20"/>
          <w:szCs w:val="20"/>
          <w:lang w:val="bg-BG"/>
        </w:rPr>
        <w:t>,</w:t>
      </w:r>
      <w:r w:rsidRPr="00CF72FC">
        <w:rPr>
          <w:noProof/>
          <w:sz w:val="20"/>
          <w:szCs w:val="20"/>
          <w:lang w:val="bg-BG"/>
        </w:rPr>
        <w:t xml:space="preserve"> Хариет Брадли, служител по селскостопанската политика на Европейския съюз в BirdLife Europe,</w:t>
      </w:r>
      <w:r>
        <w:rPr>
          <w:noProof/>
          <w:sz w:val="20"/>
          <w:szCs w:val="20"/>
          <w:lang w:val="bg-BG"/>
        </w:rPr>
        <w:t xml:space="preserve"> заяви, че ЕП </w:t>
      </w:r>
      <w:r w:rsidRPr="00CF72FC">
        <w:rPr>
          <w:noProof/>
          <w:sz w:val="20"/>
          <w:szCs w:val="20"/>
          <w:lang w:val="bg-BG"/>
        </w:rPr>
        <w:t>ефективно е гласувал за още две години бездействие по отношение на загубата на биологично разнообразие и климатичния разпад</w:t>
      </w:r>
      <w:r>
        <w:rPr>
          <w:noProof/>
          <w:sz w:val="20"/>
          <w:szCs w:val="20"/>
          <w:lang w:val="bg-BG"/>
        </w:rPr>
        <w:t>, тъй като п</w:t>
      </w:r>
      <w:r w:rsidRPr="00CF72FC">
        <w:rPr>
          <w:noProof/>
          <w:sz w:val="20"/>
          <w:szCs w:val="20"/>
          <w:lang w:val="bg-BG"/>
        </w:rPr>
        <w:t xml:space="preserve">родължаването на настоящата </w:t>
      </w:r>
      <w:r w:rsidR="00C61FD9">
        <w:rPr>
          <w:noProof/>
          <w:sz w:val="20"/>
          <w:szCs w:val="20"/>
          <w:lang w:val="bg-BG"/>
        </w:rPr>
        <w:t xml:space="preserve">ОСП ще </w:t>
      </w:r>
      <w:r w:rsidRPr="00CF72FC">
        <w:rPr>
          <w:noProof/>
          <w:sz w:val="20"/>
          <w:szCs w:val="20"/>
          <w:lang w:val="bg-BG"/>
        </w:rPr>
        <w:t xml:space="preserve">облагодетелства само интензивни селскостопански интереси и малко получатели, които поглъщат по-голямата част от средствата. Тя подчерта, че бъдещата селскостопанска политика ще повлияе на ЕС и на неговите граждани като цяло, призовавайки залата да поеме управлението на Комисията по земеделие, която дава приоритет на частния интерес над благосъстоянието на европейците и на нашата планета в процеса на реформа на ОСП. </w:t>
      </w:r>
    </w:p>
    <w:p w14:paraId="2B3D0816" w14:textId="77777777" w:rsidR="00814AE7" w:rsidRPr="00CF72FC" w:rsidRDefault="00814AE7" w:rsidP="00814AE7">
      <w:pPr>
        <w:jc w:val="both"/>
        <w:rPr>
          <w:noProof/>
        </w:rPr>
      </w:pPr>
    </w:p>
    <w:p w14:paraId="5F6C0104" w14:textId="77777777" w:rsidR="00814AE7" w:rsidRDefault="00814AE7" w:rsidP="002476F1">
      <w:pPr>
        <w:spacing w:after="160"/>
        <w:jc w:val="both"/>
        <w:rPr>
          <w:rFonts w:ascii="Arial" w:eastAsia="Calibri" w:hAnsi="Arial" w:cs="Arial"/>
          <w:noProof/>
          <w:sz w:val="20"/>
        </w:rPr>
      </w:pPr>
    </w:p>
    <w:p w14:paraId="4D6FEC2A" w14:textId="77777777" w:rsidR="00FD6BB4" w:rsidRPr="00812DB5" w:rsidRDefault="00FD6BB4" w:rsidP="00FD6B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14:paraId="59C3EECF" w14:textId="77777777" w:rsidR="00FD6BB4" w:rsidRPr="00812DB5" w:rsidRDefault="00FD6BB4" w:rsidP="00FD6B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14:paraId="4CAD5616" w14:textId="77777777" w:rsidR="00FD6BB4" w:rsidRDefault="00FD6BB4" w:rsidP="00FD6B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rPr>
      </w:pPr>
    </w:p>
    <w:p w14:paraId="30CC707F" w14:textId="77777777" w:rsidR="00FD6BB4" w:rsidRPr="009203FA" w:rsidRDefault="00FD6BB4" w:rsidP="00FD6B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p>
    <w:p w14:paraId="2E047E32" w14:textId="77777777" w:rsidR="002A2BBE" w:rsidRPr="002A2BBE" w:rsidRDefault="002A2BBE"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rPr>
      </w:pPr>
    </w:p>
    <w:p w14:paraId="7D6A17A1" w14:textId="77777777" w:rsidR="001B1430" w:rsidRPr="009203FA" w:rsidRDefault="001173C3" w:rsidP="007C75B4">
      <w:pPr>
        <w:jc w:val="center"/>
        <w:rPr>
          <w:rStyle w:val="longtext"/>
          <w:rFonts w:ascii="Arial" w:hAnsi="Arial" w:cs="Arial"/>
          <w:noProof/>
          <w:sz w:val="20"/>
        </w:rPr>
      </w:pPr>
      <w:r w:rsidRPr="006769DE">
        <w:rPr>
          <w:rStyle w:val="longtext"/>
          <w:rFonts w:ascii="Arial" w:hAnsi="Arial" w:cs="Arial"/>
          <w:b/>
          <w:noProof/>
          <w:sz w:val="20"/>
          <w:lang w:val="ru-RU"/>
        </w:rPr>
        <w:tab/>
      </w:r>
      <w:r w:rsidRPr="006769DE">
        <w:rPr>
          <w:rStyle w:val="longtext"/>
          <w:rFonts w:ascii="Arial" w:hAnsi="Arial" w:cs="Arial"/>
          <w:b/>
          <w:noProof/>
          <w:sz w:val="20"/>
          <w:lang w:val="ru-RU"/>
        </w:rPr>
        <w:tab/>
      </w:r>
      <w:r w:rsidRPr="006769DE">
        <w:rPr>
          <w:rStyle w:val="longtext"/>
          <w:rFonts w:ascii="Arial" w:hAnsi="Arial" w:cs="Arial"/>
          <w:b/>
          <w:noProof/>
          <w:sz w:val="20"/>
          <w:lang w:val="ru-RU"/>
        </w:rPr>
        <w:tab/>
      </w:r>
      <w:r w:rsidRPr="006769DE">
        <w:rPr>
          <w:rStyle w:val="longtext"/>
          <w:rFonts w:ascii="Arial" w:hAnsi="Arial" w:cs="Arial"/>
          <w:b/>
          <w:noProof/>
          <w:sz w:val="20"/>
          <w:lang w:val="ru-RU"/>
        </w:rPr>
        <w:tab/>
      </w:r>
    </w:p>
    <w:p w14:paraId="6A198907" w14:textId="77777777" w:rsidR="0001496E" w:rsidRDefault="0001496E" w:rsidP="00120AD2">
      <w:pPr>
        <w:jc w:val="both"/>
        <w:rPr>
          <w:rStyle w:val="longtext"/>
          <w:rFonts w:asciiTheme="minorHAnsi" w:hAnsiTheme="minorHAnsi"/>
          <w:noProof/>
        </w:rPr>
      </w:pPr>
    </w:p>
    <w:p w14:paraId="70AAB006" w14:textId="77777777" w:rsidR="00692396" w:rsidRDefault="00692396" w:rsidP="00120AD2">
      <w:pPr>
        <w:jc w:val="both"/>
        <w:rPr>
          <w:rStyle w:val="longtext"/>
          <w:rFonts w:asciiTheme="minorHAnsi" w:hAnsiTheme="minorHAnsi"/>
          <w:noProof/>
        </w:rPr>
      </w:pPr>
    </w:p>
    <w:sectPr w:rsidR="00692396"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4B3D4" w14:textId="77777777" w:rsidR="00C71FBB" w:rsidRDefault="00C71FBB">
      <w:r>
        <w:separator/>
      </w:r>
    </w:p>
  </w:endnote>
  <w:endnote w:type="continuationSeparator" w:id="0">
    <w:p w14:paraId="06DAF36B" w14:textId="77777777" w:rsidR="00C71FBB" w:rsidRDefault="00C7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0E159" w14:textId="77777777"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2801D39F" w14:textId="77777777" w:rsidR="005618E1" w:rsidRDefault="00C71F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A33B5" w14:textId="77777777" w:rsidR="004B3CB3" w:rsidRPr="004B3CB3" w:rsidRDefault="00C71FBB" w:rsidP="004B3CB3">
    <w:pPr>
      <w:pStyle w:val="Footer"/>
      <w:pBdr>
        <w:bottom w:val="single" w:sz="4" w:space="1" w:color="7030A0"/>
      </w:pBdr>
      <w:ind w:right="-23"/>
      <w:rPr>
        <w:rFonts w:ascii="Arial" w:hAnsi="Arial"/>
        <w:i/>
        <w:iCs/>
        <w:color w:val="800080"/>
        <w:sz w:val="18"/>
        <w:szCs w:val="18"/>
        <w:lang w:val="en-US"/>
      </w:rPr>
    </w:pPr>
  </w:p>
  <w:p w14:paraId="461E6851" w14:textId="77777777"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14:paraId="1794C2CC" w14:textId="77777777"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276030">
      <w:rPr>
        <w:rFonts w:ascii="Arial" w:hAnsi="Arial"/>
        <w:i/>
        <w:iCs/>
        <w:noProof/>
        <w:color w:val="800080"/>
        <w:sz w:val="18"/>
        <w:szCs w:val="18"/>
      </w:rPr>
      <w:t>1</w:t>
    </w:r>
    <w:r w:rsidRPr="004B3CB3">
      <w:rPr>
        <w:rFonts w:ascii="Arial" w:hAnsi="Arial"/>
        <w:i/>
        <w:iCs/>
        <w:color w:val="800080"/>
        <w:sz w:val="18"/>
        <w:szCs w:val="18"/>
      </w:rPr>
      <w:fldChar w:fldCharType="end"/>
    </w:r>
  </w:p>
  <w:p w14:paraId="4101B7A5" w14:textId="77777777" w:rsidR="005618E1" w:rsidRPr="004B3CB3" w:rsidRDefault="00C71FBB">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EBA72" w14:textId="77777777" w:rsidR="00C71FBB" w:rsidRDefault="00C71FBB">
      <w:r>
        <w:separator/>
      </w:r>
    </w:p>
  </w:footnote>
  <w:footnote w:type="continuationSeparator" w:id="0">
    <w:p w14:paraId="4CF34BFC" w14:textId="77777777" w:rsidR="00C71FBB" w:rsidRDefault="00C71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14:paraId="7EB20650" w14:textId="77777777">
      <w:trPr>
        <w:trHeight w:val="495"/>
      </w:trPr>
      <w:tc>
        <w:tcPr>
          <w:tcW w:w="7379" w:type="dxa"/>
        </w:tcPr>
        <w:p w14:paraId="6F27B900" w14:textId="77777777" w:rsidR="005618E1" w:rsidRDefault="00403CB9">
          <w:r>
            <w:rPr>
              <w:rFonts w:ascii="Palatino Linotype" w:hAnsi="Palatino Linotype" w:cs="Palatino Linotype"/>
              <w:i/>
              <w:iCs/>
              <w:noProof/>
              <w:sz w:val="52"/>
              <w:szCs w:val="52"/>
              <w:lang w:eastAsia="bg-BG"/>
            </w:rPr>
            <w:drawing>
              <wp:inline distT="0" distB="0" distL="0" distR="0" wp14:anchorId="0BEBF41D" wp14:editId="7600C4EA">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14:paraId="61F12A69" w14:textId="77777777" w:rsidR="005618E1" w:rsidRDefault="00C71FBB" w:rsidP="00831EFF">
          <w:pPr>
            <w:jc w:val="right"/>
            <w:rPr>
              <w:rFonts w:ascii="Comic Sans MS" w:hAnsi="Comic Sans MS" w:cs="Arial"/>
              <w:b/>
              <w:color w:val="640064"/>
              <w:sz w:val="18"/>
              <w:szCs w:val="18"/>
            </w:rPr>
          </w:pPr>
        </w:p>
        <w:p w14:paraId="7BF4F042" w14:textId="77777777"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14:paraId="33BF4EA4" w14:textId="77777777">
      <w:trPr>
        <w:trHeight w:val="241"/>
      </w:trPr>
      <w:tc>
        <w:tcPr>
          <w:tcW w:w="7379" w:type="dxa"/>
          <w:tcBorders>
            <w:bottom w:val="single" w:sz="24" w:space="0" w:color="0000FF"/>
          </w:tcBorders>
        </w:tcPr>
        <w:p w14:paraId="0EA93276" w14:textId="77777777"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14:paraId="0C01950A" w14:textId="77777777" w:rsidR="005618E1" w:rsidRDefault="00C71FBB">
          <w:pPr>
            <w:rPr>
              <w:lang w:val="ru-RU"/>
            </w:rPr>
          </w:pPr>
        </w:p>
      </w:tc>
    </w:tr>
  </w:tbl>
  <w:p w14:paraId="4D38B149" w14:textId="2E0A0996"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276030">
      <w:rPr>
        <w:rFonts w:ascii="Arial" w:hAnsi="Arial"/>
        <w:b/>
        <w:bCs/>
        <w:color w:val="800080"/>
        <w:sz w:val="20"/>
        <w:lang w:val="en-US"/>
      </w:rPr>
      <w:t>20</w:t>
    </w:r>
    <w:r>
      <w:rPr>
        <w:rFonts w:ascii="Arial" w:hAnsi="Arial"/>
        <w:b/>
        <w:bCs/>
        <w:color w:val="800080"/>
        <w:sz w:val="20"/>
      </w:rPr>
      <w:t>/</w:t>
    </w:r>
    <w:r w:rsidR="00276030">
      <w:rPr>
        <w:rFonts w:ascii="Arial" w:hAnsi="Arial"/>
        <w:b/>
        <w:bCs/>
        <w:color w:val="800080"/>
        <w:sz w:val="20"/>
        <w:lang w:val="en-US"/>
      </w:rPr>
      <w:t>18</w:t>
    </w:r>
    <w:r w:rsidR="006E7A46">
      <w:rPr>
        <w:rFonts w:ascii="Arial" w:hAnsi="Arial"/>
        <w:b/>
        <w:bCs/>
        <w:color w:val="800080"/>
        <w:sz w:val="20"/>
        <w:lang w:val="en-US"/>
      </w:rPr>
      <w:t>.</w:t>
    </w:r>
    <w:r w:rsidR="002C512F">
      <w:rPr>
        <w:rFonts w:ascii="Arial" w:hAnsi="Arial"/>
        <w:b/>
        <w:bCs/>
        <w:color w:val="800080"/>
        <w:sz w:val="20"/>
        <w:lang w:val="en-US"/>
      </w:rPr>
      <w:t>0</w:t>
    </w:r>
    <w:r w:rsidR="00276030">
      <w:rPr>
        <w:rFonts w:ascii="Arial" w:hAnsi="Arial"/>
        <w:b/>
        <w:bCs/>
        <w:color w:val="800080"/>
        <w:sz w:val="20"/>
        <w:lang w:val="en-US"/>
      </w:rPr>
      <w:t>5</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0EF0"/>
    <w:rsid w:val="000023EA"/>
    <w:rsid w:val="00003D6F"/>
    <w:rsid w:val="000144D9"/>
    <w:rsid w:val="0001496E"/>
    <w:rsid w:val="00015D4A"/>
    <w:rsid w:val="0002497A"/>
    <w:rsid w:val="00024DB1"/>
    <w:rsid w:val="00032EDB"/>
    <w:rsid w:val="0004366B"/>
    <w:rsid w:val="00046BB0"/>
    <w:rsid w:val="00046D50"/>
    <w:rsid w:val="00050832"/>
    <w:rsid w:val="000518AE"/>
    <w:rsid w:val="0005714A"/>
    <w:rsid w:val="0006687D"/>
    <w:rsid w:val="000678FD"/>
    <w:rsid w:val="0007208A"/>
    <w:rsid w:val="00081DAE"/>
    <w:rsid w:val="00091CD4"/>
    <w:rsid w:val="000A31F0"/>
    <w:rsid w:val="000B1D43"/>
    <w:rsid w:val="000B2023"/>
    <w:rsid w:val="000B2026"/>
    <w:rsid w:val="000B3276"/>
    <w:rsid w:val="000B7B54"/>
    <w:rsid w:val="001164FC"/>
    <w:rsid w:val="001173C3"/>
    <w:rsid w:val="00117A81"/>
    <w:rsid w:val="00120AD2"/>
    <w:rsid w:val="00131A6D"/>
    <w:rsid w:val="00134872"/>
    <w:rsid w:val="0013606E"/>
    <w:rsid w:val="00143CA8"/>
    <w:rsid w:val="0014608C"/>
    <w:rsid w:val="001604EB"/>
    <w:rsid w:val="001639CC"/>
    <w:rsid w:val="001734A2"/>
    <w:rsid w:val="00173E25"/>
    <w:rsid w:val="00180311"/>
    <w:rsid w:val="00180441"/>
    <w:rsid w:val="00186654"/>
    <w:rsid w:val="00193EEE"/>
    <w:rsid w:val="001A56E8"/>
    <w:rsid w:val="001A6A7A"/>
    <w:rsid w:val="001B1430"/>
    <w:rsid w:val="001B4ABC"/>
    <w:rsid w:val="001B5399"/>
    <w:rsid w:val="001C3F62"/>
    <w:rsid w:val="001E1EAA"/>
    <w:rsid w:val="001E1F98"/>
    <w:rsid w:val="001E4050"/>
    <w:rsid w:val="001E4C01"/>
    <w:rsid w:val="001F01C7"/>
    <w:rsid w:val="001F2EC7"/>
    <w:rsid w:val="001F396B"/>
    <w:rsid w:val="001F76D3"/>
    <w:rsid w:val="002058EF"/>
    <w:rsid w:val="00210721"/>
    <w:rsid w:val="002118F6"/>
    <w:rsid w:val="00215B7E"/>
    <w:rsid w:val="002163C0"/>
    <w:rsid w:val="00221CDF"/>
    <w:rsid w:val="0024546F"/>
    <w:rsid w:val="002476F1"/>
    <w:rsid w:val="002521C1"/>
    <w:rsid w:val="00256781"/>
    <w:rsid w:val="002610A9"/>
    <w:rsid w:val="002653C2"/>
    <w:rsid w:val="00274F4E"/>
    <w:rsid w:val="00275471"/>
    <w:rsid w:val="00276030"/>
    <w:rsid w:val="00285183"/>
    <w:rsid w:val="0029075B"/>
    <w:rsid w:val="002918DE"/>
    <w:rsid w:val="0029220D"/>
    <w:rsid w:val="002A2BBE"/>
    <w:rsid w:val="002A2C5F"/>
    <w:rsid w:val="002A5150"/>
    <w:rsid w:val="002A6A4C"/>
    <w:rsid w:val="002B379D"/>
    <w:rsid w:val="002B44DA"/>
    <w:rsid w:val="002C21A3"/>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20AF0"/>
    <w:rsid w:val="003221B0"/>
    <w:rsid w:val="0033369E"/>
    <w:rsid w:val="00334ADE"/>
    <w:rsid w:val="00337379"/>
    <w:rsid w:val="00353203"/>
    <w:rsid w:val="00353ACF"/>
    <w:rsid w:val="003627C7"/>
    <w:rsid w:val="00381D2D"/>
    <w:rsid w:val="00382419"/>
    <w:rsid w:val="003875C3"/>
    <w:rsid w:val="003877CA"/>
    <w:rsid w:val="0039194A"/>
    <w:rsid w:val="00391C45"/>
    <w:rsid w:val="003952CE"/>
    <w:rsid w:val="003952EC"/>
    <w:rsid w:val="00396C28"/>
    <w:rsid w:val="003A56BA"/>
    <w:rsid w:val="003B7AAB"/>
    <w:rsid w:val="003C0E47"/>
    <w:rsid w:val="003C1BFF"/>
    <w:rsid w:val="003C3DEB"/>
    <w:rsid w:val="003D0C6C"/>
    <w:rsid w:val="003D4968"/>
    <w:rsid w:val="003D5B7F"/>
    <w:rsid w:val="003D6634"/>
    <w:rsid w:val="003E0404"/>
    <w:rsid w:val="003E118D"/>
    <w:rsid w:val="003E5CB2"/>
    <w:rsid w:val="00403CB9"/>
    <w:rsid w:val="00411829"/>
    <w:rsid w:val="004133A8"/>
    <w:rsid w:val="00422311"/>
    <w:rsid w:val="004317EA"/>
    <w:rsid w:val="0043388D"/>
    <w:rsid w:val="0044148C"/>
    <w:rsid w:val="00446398"/>
    <w:rsid w:val="0046415A"/>
    <w:rsid w:val="00490D9F"/>
    <w:rsid w:val="00491405"/>
    <w:rsid w:val="004923C1"/>
    <w:rsid w:val="00496775"/>
    <w:rsid w:val="004A0254"/>
    <w:rsid w:val="004A4C92"/>
    <w:rsid w:val="004B0326"/>
    <w:rsid w:val="004B46D9"/>
    <w:rsid w:val="004C16F3"/>
    <w:rsid w:val="004C2F6A"/>
    <w:rsid w:val="004F4705"/>
    <w:rsid w:val="004F5E4F"/>
    <w:rsid w:val="00502A0A"/>
    <w:rsid w:val="0051071D"/>
    <w:rsid w:val="005159B7"/>
    <w:rsid w:val="005179AD"/>
    <w:rsid w:val="005247A5"/>
    <w:rsid w:val="0052706F"/>
    <w:rsid w:val="00530C09"/>
    <w:rsid w:val="00537A32"/>
    <w:rsid w:val="00542DE9"/>
    <w:rsid w:val="00550360"/>
    <w:rsid w:val="00552FB8"/>
    <w:rsid w:val="00562C02"/>
    <w:rsid w:val="00563064"/>
    <w:rsid w:val="00563D27"/>
    <w:rsid w:val="00586FE4"/>
    <w:rsid w:val="00594324"/>
    <w:rsid w:val="00596313"/>
    <w:rsid w:val="005A0184"/>
    <w:rsid w:val="005A6165"/>
    <w:rsid w:val="005B1884"/>
    <w:rsid w:val="005B4574"/>
    <w:rsid w:val="005C1BB7"/>
    <w:rsid w:val="005C7B05"/>
    <w:rsid w:val="0060359A"/>
    <w:rsid w:val="006068B4"/>
    <w:rsid w:val="006164FE"/>
    <w:rsid w:val="00623765"/>
    <w:rsid w:val="006252A1"/>
    <w:rsid w:val="00626A3F"/>
    <w:rsid w:val="00627881"/>
    <w:rsid w:val="006367A9"/>
    <w:rsid w:val="00642BB6"/>
    <w:rsid w:val="006442AB"/>
    <w:rsid w:val="006533F1"/>
    <w:rsid w:val="0066444F"/>
    <w:rsid w:val="006769DE"/>
    <w:rsid w:val="00682667"/>
    <w:rsid w:val="00692396"/>
    <w:rsid w:val="006931F1"/>
    <w:rsid w:val="00694A2A"/>
    <w:rsid w:val="006961F0"/>
    <w:rsid w:val="006A094F"/>
    <w:rsid w:val="006A20BC"/>
    <w:rsid w:val="006A4B12"/>
    <w:rsid w:val="006A7391"/>
    <w:rsid w:val="006A739D"/>
    <w:rsid w:val="006C196D"/>
    <w:rsid w:val="006C502D"/>
    <w:rsid w:val="006D40B6"/>
    <w:rsid w:val="006E7A46"/>
    <w:rsid w:val="006F38F7"/>
    <w:rsid w:val="0070200F"/>
    <w:rsid w:val="00705B40"/>
    <w:rsid w:val="00712AC0"/>
    <w:rsid w:val="00713942"/>
    <w:rsid w:val="00714838"/>
    <w:rsid w:val="00726AB6"/>
    <w:rsid w:val="0073136C"/>
    <w:rsid w:val="00734448"/>
    <w:rsid w:val="00750FB4"/>
    <w:rsid w:val="00752C00"/>
    <w:rsid w:val="007712FE"/>
    <w:rsid w:val="00782D3D"/>
    <w:rsid w:val="00783A43"/>
    <w:rsid w:val="007846E5"/>
    <w:rsid w:val="00797D68"/>
    <w:rsid w:val="007A0F00"/>
    <w:rsid w:val="007A388B"/>
    <w:rsid w:val="007A70E6"/>
    <w:rsid w:val="007B03F2"/>
    <w:rsid w:val="007B0CB0"/>
    <w:rsid w:val="007C75B4"/>
    <w:rsid w:val="007C7BFA"/>
    <w:rsid w:val="007D7438"/>
    <w:rsid w:val="007E475C"/>
    <w:rsid w:val="007F4E89"/>
    <w:rsid w:val="008030C3"/>
    <w:rsid w:val="00811B89"/>
    <w:rsid w:val="00812DB5"/>
    <w:rsid w:val="00814AE7"/>
    <w:rsid w:val="00816686"/>
    <w:rsid w:val="0082007C"/>
    <w:rsid w:val="008206C1"/>
    <w:rsid w:val="0083184F"/>
    <w:rsid w:val="0083232B"/>
    <w:rsid w:val="00841561"/>
    <w:rsid w:val="00845489"/>
    <w:rsid w:val="00852DE4"/>
    <w:rsid w:val="008578CF"/>
    <w:rsid w:val="00861450"/>
    <w:rsid w:val="00865E24"/>
    <w:rsid w:val="0087702E"/>
    <w:rsid w:val="0087763E"/>
    <w:rsid w:val="008803A4"/>
    <w:rsid w:val="008836F2"/>
    <w:rsid w:val="008933AB"/>
    <w:rsid w:val="008A1360"/>
    <w:rsid w:val="008A2678"/>
    <w:rsid w:val="008B2118"/>
    <w:rsid w:val="008D0E78"/>
    <w:rsid w:val="008D2FF4"/>
    <w:rsid w:val="008E078B"/>
    <w:rsid w:val="008E0F81"/>
    <w:rsid w:val="008F1C90"/>
    <w:rsid w:val="008F5973"/>
    <w:rsid w:val="008F6508"/>
    <w:rsid w:val="008F7ECC"/>
    <w:rsid w:val="009063C7"/>
    <w:rsid w:val="0090678A"/>
    <w:rsid w:val="00910462"/>
    <w:rsid w:val="00913463"/>
    <w:rsid w:val="009203FA"/>
    <w:rsid w:val="00934FA6"/>
    <w:rsid w:val="009355BA"/>
    <w:rsid w:val="00955B0D"/>
    <w:rsid w:val="00956512"/>
    <w:rsid w:val="00960FD0"/>
    <w:rsid w:val="009704A2"/>
    <w:rsid w:val="00975F09"/>
    <w:rsid w:val="00977CA7"/>
    <w:rsid w:val="0099695D"/>
    <w:rsid w:val="009A2752"/>
    <w:rsid w:val="009A5D09"/>
    <w:rsid w:val="009A68E3"/>
    <w:rsid w:val="009B1042"/>
    <w:rsid w:val="009B1FAD"/>
    <w:rsid w:val="009D0924"/>
    <w:rsid w:val="009D39EA"/>
    <w:rsid w:val="009D6F1E"/>
    <w:rsid w:val="009E45D3"/>
    <w:rsid w:val="009E6BDB"/>
    <w:rsid w:val="009F3D98"/>
    <w:rsid w:val="009F4E95"/>
    <w:rsid w:val="009F7022"/>
    <w:rsid w:val="00A02393"/>
    <w:rsid w:val="00A0467D"/>
    <w:rsid w:val="00A1170C"/>
    <w:rsid w:val="00A14513"/>
    <w:rsid w:val="00A15D87"/>
    <w:rsid w:val="00A227FC"/>
    <w:rsid w:val="00A271F8"/>
    <w:rsid w:val="00A31DFF"/>
    <w:rsid w:val="00A3509F"/>
    <w:rsid w:val="00A406AE"/>
    <w:rsid w:val="00A447C0"/>
    <w:rsid w:val="00A50E2C"/>
    <w:rsid w:val="00A50F24"/>
    <w:rsid w:val="00A5214D"/>
    <w:rsid w:val="00A56825"/>
    <w:rsid w:val="00A673EB"/>
    <w:rsid w:val="00A74737"/>
    <w:rsid w:val="00A75732"/>
    <w:rsid w:val="00A77EC5"/>
    <w:rsid w:val="00A854AB"/>
    <w:rsid w:val="00AB140A"/>
    <w:rsid w:val="00AB1841"/>
    <w:rsid w:val="00AB2303"/>
    <w:rsid w:val="00AC4348"/>
    <w:rsid w:val="00AC73DE"/>
    <w:rsid w:val="00AD504F"/>
    <w:rsid w:val="00AE0D25"/>
    <w:rsid w:val="00AE14FF"/>
    <w:rsid w:val="00AE2417"/>
    <w:rsid w:val="00AE2FF4"/>
    <w:rsid w:val="00B03285"/>
    <w:rsid w:val="00B16835"/>
    <w:rsid w:val="00B200ED"/>
    <w:rsid w:val="00B31C85"/>
    <w:rsid w:val="00B3223C"/>
    <w:rsid w:val="00B34793"/>
    <w:rsid w:val="00B36E39"/>
    <w:rsid w:val="00B372C0"/>
    <w:rsid w:val="00B411AC"/>
    <w:rsid w:val="00B539A9"/>
    <w:rsid w:val="00B6207E"/>
    <w:rsid w:val="00B64F87"/>
    <w:rsid w:val="00B73DA3"/>
    <w:rsid w:val="00B76DFA"/>
    <w:rsid w:val="00B771FB"/>
    <w:rsid w:val="00B81125"/>
    <w:rsid w:val="00B8112B"/>
    <w:rsid w:val="00B83FE9"/>
    <w:rsid w:val="00B853D4"/>
    <w:rsid w:val="00B90317"/>
    <w:rsid w:val="00B920B7"/>
    <w:rsid w:val="00B93F21"/>
    <w:rsid w:val="00BA2A9E"/>
    <w:rsid w:val="00BC35B8"/>
    <w:rsid w:val="00BC70E2"/>
    <w:rsid w:val="00BD7D84"/>
    <w:rsid w:val="00BE55CA"/>
    <w:rsid w:val="00BF118B"/>
    <w:rsid w:val="00BF28EC"/>
    <w:rsid w:val="00BF2A4B"/>
    <w:rsid w:val="00C00F88"/>
    <w:rsid w:val="00C0159B"/>
    <w:rsid w:val="00C05E95"/>
    <w:rsid w:val="00C20809"/>
    <w:rsid w:val="00C35717"/>
    <w:rsid w:val="00C3643A"/>
    <w:rsid w:val="00C37B23"/>
    <w:rsid w:val="00C44608"/>
    <w:rsid w:val="00C574EE"/>
    <w:rsid w:val="00C60D17"/>
    <w:rsid w:val="00C61FD9"/>
    <w:rsid w:val="00C6312D"/>
    <w:rsid w:val="00C718EB"/>
    <w:rsid w:val="00C71FBB"/>
    <w:rsid w:val="00C7577F"/>
    <w:rsid w:val="00C801BF"/>
    <w:rsid w:val="00C962CC"/>
    <w:rsid w:val="00CA35A8"/>
    <w:rsid w:val="00CA7960"/>
    <w:rsid w:val="00CB196D"/>
    <w:rsid w:val="00CB2886"/>
    <w:rsid w:val="00CC52F2"/>
    <w:rsid w:val="00CC7CF0"/>
    <w:rsid w:val="00CE5E69"/>
    <w:rsid w:val="00CF0DEA"/>
    <w:rsid w:val="00D000AE"/>
    <w:rsid w:val="00D100BD"/>
    <w:rsid w:val="00D1195A"/>
    <w:rsid w:val="00D167B1"/>
    <w:rsid w:val="00D25425"/>
    <w:rsid w:val="00D25C9A"/>
    <w:rsid w:val="00D3159B"/>
    <w:rsid w:val="00D32B06"/>
    <w:rsid w:val="00D372D3"/>
    <w:rsid w:val="00D43BBD"/>
    <w:rsid w:val="00D52E17"/>
    <w:rsid w:val="00D579A1"/>
    <w:rsid w:val="00D61B59"/>
    <w:rsid w:val="00D6359C"/>
    <w:rsid w:val="00D63914"/>
    <w:rsid w:val="00D758EF"/>
    <w:rsid w:val="00D80D84"/>
    <w:rsid w:val="00D8519B"/>
    <w:rsid w:val="00D86732"/>
    <w:rsid w:val="00DA17DF"/>
    <w:rsid w:val="00DA44A9"/>
    <w:rsid w:val="00DA4860"/>
    <w:rsid w:val="00DC2DEA"/>
    <w:rsid w:val="00DC50DD"/>
    <w:rsid w:val="00DC5A8E"/>
    <w:rsid w:val="00DE2AE3"/>
    <w:rsid w:val="00DE752F"/>
    <w:rsid w:val="00DF7E91"/>
    <w:rsid w:val="00E00632"/>
    <w:rsid w:val="00E02B6A"/>
    <w:rsid w:val="00E15D94"/>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762E2"/>
    <w:rsid w:val="00E815D6"/>
    <w:rsid w:val="00EA4B29"/>
    <w:rsid w:val="00EA4B99"/>
    <w:rsid w:val="00EA5878"/>
    <w:rsid w:val="00EB0F17"/>
    <w:rsid w:val="00EB289B"/>
    <w:rsid w:val="00EB3003"/>
    <w:rsid w:val="00EB783C"/>
    <w:rsid w:val="00EC0DDC"/>
    <w:rsid w:val="00EC4213"/>
    <w:rsid w:val="00EC6BA3"/>
    <w:rsid w:val="00ED48F9"/>
    <w:rsid w:val="00EE03F3"/>
    <w:rsid w:val="00EE1065"/>
    <w:rsid w:val="00EE38E7"/>
    <w:rsid w:val="00EE7B1B"/>
    <w:rsid w:val="00F0360F"/>
    <w:rsid w:val="00F12C83"/>
    <w:rsid w:val="00F23EFD"/>
    <w:rsid w:val="00F30A91"/>
    <w:rsid w:val="00F30D26"/>
    <w:rsid w:val="00F40970"/>
    <w:rsid w:val="00F42FC8"/>
    <w:rsid w:val="00F43319"/>
    <w:rsid w:val="00F4416D"/>
    <w:rsid w:val="00F531AD"/>
    <w:rsid w:val="00F578AC"/>
    <w:rsid w:val="00F6008B"/>
    <w:rsid w:val="00F67B7A"/>
    <w:rsid w:val="00F70B6C"/>
    <w:rsid w:val="00F72B07"/>
    <w:rsid w:val="00F73C4B"/>
    <w:rsid w:val="00F74337"/>
    <w:rsid w:val="00F95033"/>
    <w:rsid w:val="00FA071E"/>
    <w:rsid w:val="00FA63F5"/>
    <w:rsid w:val="00FB2D75"/>
    <w:rsid w:val="00FD4196"/>
    <w:rsid w:val="00FD6BB4"/>
    <w:rsid w:val="00FE14C1"/>
    <w:rsid w:val="00FE4D8F"/>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B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AB"/>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AB"/>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89396984">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27607652">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242ED-2D78-4D80-BCEB-DF373C33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39</cp:revision>
  <dcterms:created xsi:type="dcterms:W3CDTF">2020-05-15T10:52:00Z</dcterms:created>
  <dcterms:modified xsi:type="dcterms:W3CDTF">2020-05-18T13:59:00Z</dcterms:modified>
</cp:coreProperties>
</file>