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1B1430" w:rsidRPr="0002016E" w:rsidTr="00F73636">
        <w:tc>
          <w:tcPr>
            <w:tcW w:w="9923" w:type="dxa"/>
            <w:shd w:val="clear" w:color="auto" w:fill="C0C0C0"/>
          </w:tcPr>
          <w:p w:rsidR="001B1430" w:rsidRPr="0002016E" w:rsidRDefault="001B1430" w:rsidP="00BB508E">
            <w:pPr>
              <w:jc w:val="both"/>
              <w:rPr>
                <w:rFonts w:ascii="Arial" w:hAnsi="Arial" w:cs="Arial"/>
                <w:b/>
                <w:i/>
                <w:sz w:val="20"/>
              </w:rPr>
            </w:pPr>
            <w:r w:rsidRPr="0002016E">
              <w:rPr>
                <w:rFonts w:ascii="Arial" w:hAnsi="Arial" w:cs="Arial"/>
                <w:b/>
                <w:i/>
                <w:sz w:val="20"/>
              </w:rPr>
              <w:t>Директни плащания</w:t>
            </w:r>
          </w:p>
        </w:tc>
      </w:tr>
    </w:tbl>
    <w:p w:rsidR="00FE4D8F" w:rsidRPr="0002016E" w:rsidRDefault="00FE4D8F" w:rsidP="00BB508E">
      <w:pPr>
        <w:jc w:val="both"/>
        <w:rPr>
          <w:rStyle w:val="longtext"/>
          <w:rFonts w:ascii="Arial" w:hAnsi="Arial" w:cs="Arial"/>
          <w:b/>
          <w:sz w:val="20"/>
        </w:rPr>
      </w:pPr>
    </w:p>
    <w:p w:rsidR="009A0025" w:rsidRPr="00D914C6" w:rsidRDefault="009A0025" w:rsidP="00BB508E">
      <w:pPr>
        <w:jc w:val="both"/>
        <w:rPr>
          <w:rStyle w:val="longtext"/>
          <w:rFonts w:ascii="Arial" w:hAnsi="Arial" w:cs="Arial"/>
          <w:noProof/>
          <w:sz w:val="20"/>
        </w:rPr>
      </w:pPr>
      <w:r w:rsidRPr="00D914C6">
        <w:rPr>
          <w:rStyle w:val="longtext"/>
          <w:rFonts w:ascii="Arial" w:hAnsi="Arial" w:cs="Arial"/>
          <w:b/>
          <w:noProof/>
          <w:sz w:val="20"/>
        </w:rPr>
        <w:t>1. На 1 септември 2020 г.</w:t>
      </w:r>
      <w:r w:rsidR="00F94477" w:rsidRPr="00D914C6">
        <w:rPr>
          <w:rStyle w:val="longtext"/>
          <w:rFonts w:ascii="Arial" w:hAnsi="Arial" w:cs="Arial"/>
          <w:b/>
          <w:noProof/>
          <w:sz w:val="20"/>
        </w:rPr>
        <w:t>,</w:t>
      </w:r>
      <w:r w:rsidRPr="00D914C6">
        <w:rPr>
          <w:rStyle w:val="longtext"/>
          <w:rFonts w:ascii="Arial" w:hAnsi="Arial" w:cs="Arial"/>
          <w:b/>
          <w:noProof/>
          <w:sz w:val="20"/>
        </w:rPr>
        <w:t xml:space="preserve"> в Държавен вестник</w:t>
      </w:r>
      <w:r w:rsidR="00F94477" w:rsidRPr="00D914C6">
        <w:rPr>
          <w:rStyle w:val="longtext"/>
          <w:rFonts w:ascii="Arial" w:hAnsi="Arial" w:cs="Arial"/>
          <w:b/>
          <w:noProof/>
          <w:sz w:val="20"/>
        </w:rPr>
        <w:t xml:space="preserve"> бр.77, беше публикувана</w:t>
      </w:r>
      <w:r w:rsidRPr="00D914C6">
        <w:rPr>
          <w:rStyle w:val="longtext"/>
          <w:rFonts w:ascii="Arial" w:hAnsi="Arial" w:cs="Arial"/>
          <w:b/>
          <w:noProof/>
          <w:sz w:val="20"/>
        </w:rPr>
        <w:t xml:space="preserve"> Наредба за изменение и допълнение на  Наредба № 3 от 2015 г. за условията и реда за прилагане на схемите за директни плащания. </w:t>
      </w:r>
      <w:r w:rsidRPr="00D914C6">
        <w:rPr>
          <w:rStyle w:val="longtext"/>
          <w:rFonts w:ascii="Arial" w:hAnsi="Arial" w:cs="Arial"/>
          <w:noProof/>
          <w:sz w:val="20"/>
        </w:rPr>
        <w:t xml:space="preserve">С изменението на наредбата се изтегля срока за подаване на документи за реализация на продукцията по схемите за обвързано подпомагане за плодове и зеленчуци в периода от 1 до 31 декември 2020 г., вместо от 1 до 31 януари на годината, следваща годината на подаване на заявлението, както беше </w:t>
      </w:r>
      <w:r w:rsidR="00BB508E">
        <w:rPr>
          <w:rStyle w:val="longtext"/>
          <w:rFonts w:ascii="Arial" w:hAnsi="Arial" w:cs="Arial"/>
          <w:noProof/>
          <w:sz w:val="20"/>
        </w:rPr>
        <w:t>до момента</w:t>
      </w:r>
      <w:r w:rsidRPr="00D914C6">
        <w:rPr>
          <w:rStyle w:val="longtext"/>
          <w:rFonts w:ascii="Arial" w:hAnsi="Arial" w:cs="Arial"/>
          <w:noProof/>
          <w:sz w:val="20"/>
        </w:rPr>
        <w:t>. Съответно представените документи за реализация на продукцията трябва да са издадени в периода от 1 февруари до 31 декември 2020 г., вместо от 1 февруари на годината на кандидатстване до 31 януари на следващата календарна година.</w:t>
      </w:r>
      <w:r w:rsidRPr="00D914C6">
        <w:rPr>
          <w:rFonts w:asciiTheme="minorHAnsi" w:hAnsiTheme="minorHAnsi"/>
          <w:noProof/>
        </w:rPr>
        <w:t xml:space="preserve"> </w:t>
      </w:r>
      <w:r w:rsidRPr="00D914C6">
        <w:rPr>
          <w:rStyle w:val="longtext"/>
          <w:rFonts w:ascii="Arial" w:hAnsi="Arial" w:cs="Arial"/>
          <w:noProof/>
          <w:sz w:val="20"/>
        </w:rPr>
        <w:t xml:space="preserve">Изключение от тези нови срокове се прави за документите по Схемата за обвързано подпомагане за зеленчуци (картофи лук и чесън), за която се запазват досега прилаганите срокове, поради затруднение с реализацията, възможностите за съхраняване на продукцията и нейната активна реализация през януари. С направеното изменение се създава възможност проверките по представените документи да бъдат извършени един месец по-рано и плащането на бенефициентите също да бъдат извършени по-рано, в период когато е много необходимо за планирането и подготовката на мероприятията за новия сезон. С цел </w:t>
      </w:r>
      <w:r w:rsidR="00BB508E">
        <w:rPr>
          <w:rStyle w:val="longtext"/>
          <w:rFonts w:ascii="Arial" w:hAnsi="Arial" w:cs="Arial"/>
          <w:noProof/>
          <w:sz w:val="20"/>
        </w:rPr>
        <w:t xml:space="preserve">постигане на прецизност в текста и </w:t>
      </w:r>
      <w:r w:rsidRPr="00D914C6">
        <w:rPr>
          <w:rStyle w:val="longtext"/>
          <w:rFonts w:ascii="Arial" w:hAnsi="Arial" w:cs="Arial"/>
          <w:noProof/>
          <w:sz w:val="20"/>
        </w:rPr>
        <w:t xml:space="preserve">и избягване на забавяне на оторизациите на плащанията, поради изчакване на данни от външни институции, е добавен текст, че Държавен фонд „Земеделие“-РА извършва служебна проверка в </w:t>
      </w:r>
      <w:r w:rsidR="00BB508E">
        <w:rPr>
          <w:rStyle w:val="longtext"/>
          <w:rFonts w:ascii="Arial" w:hAnsi="Arial" w:cs="Arial"/>
          <w:noProof/>
          <w:sz w:val="20"/>
        </w:rPr>
        <w:t xml:space="preserve">биологичния </w:t>
      </w:r>
      <w:r w:rsidRPr="00D914C6">
        <w:rPr>
          <w:rStyle w:val="longtext"/>
          <w:rFonts w:ascii="Arial" w:hAnsi="Arial" w:cs="Arial"/>
          <w:noProof/>
          <w:sz w:val="20"/>
        </w:rPr>
        <w:t>регистър по чл. 16а, ал. 1, т.1 от Закона за прилагане на Общата организация на пазарите на земеделски продукти на Европейския съюз, както по отношение на площите със сертифицирано биологично производство и площите в преход към биологично земеделие, така и по отношение на млечните крави в период на преход или преминали период на преход към биологично производство. В резултат на постъпило искане от бранша, в наредбата е добавен текст, с който се предоставя възможност на земеделски стопани</w:t>
      </w:r>
      <w:r w:rsidR="00BB508E">
        <w:rPr>
          <w:rStyle w:val="longtext"/>
          <w:rFonts w:ascii="Arial" w:hAnsi="Arial" w:cs="Arial"/>
          <w:noProof/>
          <w:sz w:val="20"/>
        </w:rPr>
        <w:t>, кандидати по новата марка Ковид,</w:t>
      </w:r>
      <w:r w:rsidRPr="00D914C6">
        <w:rPr>
          <w:rStyle w:val="longtext"/>
          <w:rFonts w:ascii="Arial" w:hAnsi="Arial" w:cs="Arial"/>
          <w:noProof/>
          <w:sz w:val="20"/>
        </w:rPr>
        <w:t xml:space="preserve"> с напълно пропаднали  площи</w:t>
      </w:r>
      <w:r w:rsidR="00BB508E">
        <w:rPr>
          <w:rStyle w:val="longtext"/>
          <w:rFonts w:ascii="Arial" w:hAnsi="Arial" w:cs="Arial"/>
          <w:noProof/>
          <w:sz w:val="20"/>
        </w:rPr>
        <w:t>,</w:t>
      </w:r>
      <w:r w:rsidRPr="00D914C6">
        <w:rPr>
          <w:rStyle w:val="longtext"/>
          <w:rFonts w:ascii="Arial" w:hAnsi="Arial" w:cs="Arial"/>
          <w:noProof/>
          <w:sz w:val="20"/>
        </w:rPr>
        <w:t xml:space="preserve"> да бъдат компенсирани в рамките на настоящата стопанска година от Програмата за развитие на селските райони за периода 2014 – 2020 г.,  като се отчитат събраните данни в МЗХГ от констативни протоколи за настъпилите неблагоприятни събития през 2020 г.</w:t>
      </w:r>
    </w:p>
    <w:p w:rsidR="009A0025" w:rsidRPr="00D914C6" w:rsidRDefault="009A0025" w:rsidP="00BB508E">
      <w:pPr>
        <w:jc w:val="both"/>
        <w:rPr>
          <w:rStyle w:val="longtext"/>
          <w:rFonts w:ascii="Arial" w:hAnsi="Arial" w:cs="Arial"/>
          <w:b/>
          <w:noProof/>
          <w:sz w:val="20"/>
        </w:rPr>
      </w:pPr>
    </w:p>
    <w:p w:rsidR="00AD3079" w:rsidRDefault="009A0025" w:rsidP="00BB508E">
      <w:pPr>
        <w:jc w:val="both"/>
        <w:rPr>
          <w:rFonts w:asciiTheme="minorHAnsi" w:hAnsiTheme="minorHAnsi"/>
        </w:rPr>
      </w:pPr>
      <w:r w:rsidRPr="00D914C6">
        <w:rPr>
          <w:rStyle w:val="longtext"/>
          <w:rFonts w:ascii="Arial" w:hAnsi="Arial" w:cs="Arial"/>
          <w:b/>
          <w:noProof/>
          <w:sz w:val="20"/>
        </w:rPr>
        <w:t>2</w:t>
      </w:r>
      <w:r w:rsidR="00AD3079" w:rsidRPr="00D914C6">
        <w:rPr>
          <w:rStyle w:val="longtext"/>
          <w:rFonts w:ascii="Arial" w:hAnsi="Arial" w:cs="Arial"/>
          <w:b/>
          <w:noProof/>
          <w:sz w:val="20"/>
        </w:rPr>
        <w:t>. На 12 август Държавен фонд „Земеделие” публикува на своята страница индикативен график за предстоящите оторизации по схемите и мерките за директни плащания за Кампания 2020, както и за държавните помощи</w:t>
      </w:r>
      <w:r w:rsidR="00AD3079" w:rsidRPr="00D914C6">
        <w:rPr>
          <w:rStyle w:val="longtext"/>
          <w:rFonts w:ascii="Arial" w:hAnsi="Arial" w:cs="Arial"/>
          <w:noProof/>
          <w:sz w:val="20"/>
        </w:rPr>
        <w:t xml:space="preserve">. По този начин фондът информира земеделските стопани кога да очакват </w:t>
      </w:r>
      <w:r w:rsidR="00F94477" w:rsidRPr="00D914C6">
        <w:rPr>
          <w:rStyle w:val="longtext"/>
          <w:rFonts w:ascii="Arial" w:hAnsi="Arial" w:cs="Arial"/>
          <w:noProof/>
          <w:sz w:val="20"/>
        </w:rPr>
        <w:t>плащанията</w:t>
      </w:r>
      <w:r w:rsidR="00AD3079" w:rsidRPr="00D914C6">
        <w:rPr>
          <w:rStyle w:val="longtext"/>
          <w:rFonts w:ascii="Arial" w:hAnsi="Arial" w:cs="Arial"/>
          <w:noProof/>
          <w:sz w:val="20"/>
        </w:rPr>
        <w:t xml:space="preserve"> по съответните схеми и мерки през следващите 5 месеца. Най-очакваните плащания по </w:t>
      </w:r>
      <w:r w:rsidR="00F94477" w:rsidRPr="00D914C6">
        <w:rPr>
          <w:rStyle w:val="longtext"/>
          <w:rFonts w:ascii="Arial" w:hAnsi="Arial" w:cs="Arial"/>
          <w:noProof/>
          <w:sz w:val="20"/>
        </w:rPr>
        <w:t>С</w:t>
      </w:r>
      <w:r w:rsidR="00AD3079" w:rsidRPr="00D914C6">
        <w:rPr>
          <w:rStyle w:val="longtext"/>
          <w:rFonts w:ascii="Arial" w:hAnsi="Arial" w:cs="Arial"/>
          <w:noProof/>
          <w:sz w:val="20"/>
        </w:rPr>
        <w:t xml:space="preserve">хемата за единно плащане на площ (СЕПП), се очаква </w:t>
      </w:r>
      <w:r w:rsidR="002C43AA">
        <w:rPr>
          <w:rStyle w:val="longtext"/>
          <w:rFonts w:ascii="Arial" w:hAnsi="Arial" w:cs="Arial"/>
          <w:noProof/>
          <w:sz w:val="20"/>
        </w:rPr>
        <w:t xml:space="preserve">да </w:t>
      </w:r>
      <w:r w:rsidR="00AD3079" w:rsidRPr="00D914C6">
        <w:rPr>
          <w:rStyle w:val="longtext"/>
          <w:rFonts w:ascii="Arial" w:hAnsi="Arial" w:cs="Arial"/>
          <w:noProof/>
          <w:sz w:val="20"/>
        </w:rPr>
        <w:t>бъдат наредени на 16 декември 2020 г.</w:t>
      </w:r>
      <w:r w:rsidR="002F2822">
        <w:rPr>
          <w:rStyle w:val="longtext"/>
          <w:rFonts w:ascii="Arial" w:hAnsi="Arial" w:cs="Arial"/>
          <w:noProof/>
          <w:sz w:val="20"/>
        </w:rPr>
        <w:t xml:space="preserve"> (</w:t>
      </w:r>
      <w:hyperlink r:id="rId9" w:history="1">
        <w:r w:rsidR="002F2822" w:rsidRPr="00C42E2E">
          <w:rPr>
            <w:rStyle w:val="Hyperlink"/>
            <w:rFonts w:ascii="Arial" w:hAnsi="Arial" w:cs="Arial"/>
            <w:noProof/>
            <w:sz w:val="20"/>
          </w:rPr>
          <w:t>https://www.dfz.bg/bg/prescentar/novini/dfz_izgotvi_indik</w:t>
        </w:r>
        <w:bookmarkStart w:id="0" w:name="_GoBack"/>
        <w:bookmarkEnd w:id="0"/>
        <w:r w:rsidR="002F2822" w:rsidRPr="00C42E2E">
          <w:rPr>
            <w:rStyle w:val="Hyperlink"/>
            <w:rFonts w:ascii="Arial" w:hAnsi="Arial" w:cs="Arial"/>
            <w:noProof/>
            <w:sz w:val="20"/>
          </w:rPr>
          <w:t>ativen_grafik_s_plashtaniata/</w:t>
        </w:r>
      </w:hyperlink>
      <w:r w:rsidR="002F2822">
        <w:rPr>
          <w:rStyle w:val="longtext"/>
          <w:rFonts w:ascii="Arial" w:hAnsi="Arial" w:cs="Arial"/>
          <w:noProof/>
          <w:sz w:val="20"/>
        </w:rPr>
        <w:t>)</w:t>
      </w:r>
    </w:p>
    <w:p w:rsidR="00AD3079" w:rsidRPr="00D914C6" w:rsidRDefault="00AD3079" w:rsidP="00BB508E">
      <w:pPr>
        <w:jc w:val="both"/>
        <w:rPr>
          <w:rStyle w:val="longtext"/>
          <w:rFonts w:ascii="Arial" w:hAnsi="Arial" w:cs="Arial"/>
          <w:b/>
          <w:noProof/>
          <w:sz w:val="20"/>
        </w:rPr>
      </w:pPr>
    </w:p>
    <w:tbl>
      <w:tblPr>
        <w:tblW w:w="10156" w:type="dxa"/>
        <w:tblInd w:w="108" w:type="dxa"/>
        <w:tblLook w:val="01E0" w:firstRow="1" w:lastRow="1" w:firstColumn="1" w:lastColumn="1" w:noHBand="0" w:noVBand="0"/>
      </w:tblPr>
      <w:tblGrid>
        <w:gridCol w:w="9900"/>
        <w:gridCol w:w="256"/>
      </w:tblGrid>
      <w:tr w:rsidR="001B1430" w:rsidRPr="00D914C6" w:rsidTr="00F73636">
        <w:tc>
          <w:tcPr>
            <w:tcW w:w="9900" w:type="dxa"/>
            <w:shd w:val="clear" w:color="auto" w:fill="C0C0C0"/>
            <w:hideMark/>
          </w:tcPr>
          <w:p w:rsidR="001B1430" w:rsidRPr="00D914C6" w:rsidRDefault="001B1430" w:rsidP="00BB508E">
            <w:pPr>
              <w:tabs>
                <w:tab w:val="left" w:pos="1020"/>
              </w:tabs>
              <w:autoSpaceDE w:val="0"/>
              <w:autoSpaceDN w:val="0"/>
              <w:adjustRightInd w:val="0"/>
              <w:jc w:val="both"/>
              <w:rPr>
                <w:rFonts w:ascii="Arial" w:hAnsi="Arial" w:cs="Arial"/>
                <w:b/>
                <w:i/>
                <w:iCs/>
                <w:noProof/>
                <w:sz w:val="20"/>
              </w:rPr>
            </w:pPr>
            <w:r w:rsidRPr="00D914C6">
              <w:rPr>
                <w:rFonts w:ascii="Arial" w:hAnsi="Arial" w:cs="Arial"/>
                <w:b/>
                <w:i/>
                <w:noProof/>
                <w:sz w:val="20"/>
              </w:rPr>
              <w:t>Визия за ОСП след 2020 г.</w:t>
            </w:r>
          </w:p>
        </w:tc>
        <w:tc>
          <w:tcPr>
            <w:tcW w:w="256" w:type="dxa"/>
          </w:tcPr>
          <w:p w:rsidR="001B1430" w:rsidRPr="00D914C6" w:rsidRDefault="001B1430" w:rsidP="00BB508E">
            <w:pPr>
              <w:jc w:val="both"/>
              <w:rPr>
                <w:rFonts w:ascii="Arial" w:hAnsi="Arial" w:cs="Arial"/>
                <w:b/>
                <w:noProof/>
                <w:sz w:val="20"/>
              </w:rPr>
            </w:pPr>
          </w:p>
        </w:tc>
      </w:tr>
    </w:tbl>
    <w:p w:rsidR="00CA40F5" w:rsidRPr="00D914C6" w:rsidRDefault="00CA40F5" w:rsidP="00BB508E">
      <w:pPr>
        <w:jc w:val="both"/>
        <w:rPr>
          <w:rFonts w:ascii="Arial" w:hAnsi="Arial" w:cs="Arial"/>
          <w:b/>
          <w:noProof/>
          <w:sz w:val="20"/>
        </w:rPr>
      </w:pPr>
    </w:p>
    <w:p w:rsidR="005050EE" w:rsidRPr="00D914C6" w:rsidRDefault="005050EE" w:rsidP="00BB508E">
      <w:pPr>
        <w:jc w:val="both"/>
        <w:rPr>
          <w:rFonts w:ascii="Arial" w:hAnsi="Arial" w:cs="Arial"/>
          <w:noProof/>
          <w:sz w:val="20"/>
        </w:rPr>
      </w:pPr>
      <w:r w:rsidRPr="00D914C6">
        <w:rPr>
          <w:rFonts w:ascii="Arial" w:hAnsi="Arial" w:cs="Arial"/>
          <w:b/>
          <w:noProof/>
          <w:sz w:val="20"/>
        </w:rPr>
        <w:t>3. На 29 юли 2020 г. се проведе първото заседание на Тематичната работна група за разработване на „Стратегическия план за развитие на земеделието и селските райони за периода 2021 - 2027 г.“ (СПРЗСР).</w:t>
      </w:r>
      <w:r w:rsidRPr="00D914C6">
        <w:rPr>
          <w:rFonts w:ascii="Arial" w:hAnsi="Arial" w:cs="Arial"/>
          <w:noProof/>
          <w:sz w:val="20"/>
        </w:rPr>
        <w:t xml:space="preserve"> Тематичната работна група се сформира в изпълнение на разпоредбите на Регламента</w:t>
      </w:r>
      <w:r w:rsidR="00F94477" w:rsidRPr="00D914C6">
        <w:rPr>
          <w:rFonts w:ascii="Arial" w:hAnsi="Arial" w:cs="Arial"/>
          <w:noProof/>
          <w:sz w:val="20"/>
        </w:rPr>
        <w:t xml:space="preserve"> за стратегическите планове на О</w:t>
      </w:r>
      <w:r w:rsidRPr="00D914C6">
        <w:rPr>
          <w:rFonts w:ascii="Arial" w:hAnsi="Arial" w:cs="Arial"/>
          <w:noProof/>
          <w:sz w:val="20"/>
        </w:rPr>
        <w:t xml:space="preserve">бщата селскостопанска политика, който изисква икономически и социални партньори и организации, представляващи гражданското общество, да бъдат включени в подготовката на Стратегическия план. На заседанието беше обсъден проект на Вътрешни правила за организацията и дейността на Тематичната работна група. В резултат на постъпилите </w:t>
      </w:r>
      <w:r w:rsidR="00BB508E">
        <w:rPr>
          <w:rFonts w:ascii="Arial" w:hAnsi="Arial" w:cs="Arial"/>
          <w:noProof/>
          <w:sz w:val="20"/>
        </w:rPr>
        <w:t xml:space="preserve">предложения </w:t>
      </w:r>
      <w:r w:rsidR="00F94477" w:rsidRPr="00D914C6">
        <w:rPr>
          <w:rFonts w:ascii="Arial" w:hAnsi="Arial" w:cs="Arial"/>
          <w:noProof/>
          <w:sz w:val="20"/>
        </w:rPr>
        <w:t xml:space="preserve">се прецизираха </w:t>
      </w:r>
      <w:r w:rsidRPr="00D914C6">
        <w:rPr>
          <w:rFonts w:ascii="Arial" w:hAnsi="Arial" w:cs="Arial"/>
          <w:noProof/>
          <w:sz w:val="20"/>
        </w:rPr>
        <w:t>определени членове в тях. Представителите на университетите, които изготвиха Анализа за социално-икономическо развитие на селските райони, Анализа на състоянието на селското стопанство и хранително-вкусовата промишленост и Анализ</w:t>
      </w:r>
      <w:r w:rsidR="00F94477" w:rsidRPr="00D914C6">
        <w:rPr>
          <w:rFonts w:ascii="Arial" w:hAnsi="Arial" w:cs="Arial"/>
          <w:noProof/>
          <w:sz w:val="20"/>
        </w:rPr>
        <w:t>а</w:t>
      </w:r>
      <w:r w:rsidRPr="00D914C6">
        <w:rPr>
          <w:rFonts w:ascii="Arial" w:hAnsi="Arial" w:cs="Arial"/>
          <w:noProof/>
          <w:sz w:val="20"/>
        </w:rPr>
        <w:t xml:space="preserve"> за околна среда и климат, направиха кратко представяне. В рамките на заседанието </w:t>
      </w:r>
      <w:r w:rsidR="00F94477" w:rsidRPr="00D914C6">
        <w:rPr>
          <w:rFonts w:ascii="Arial" w:hAnsi="Arial" w:cs="Arial"/>
          <w:noProof/>
          <w:sz w:val="20"/>
        </w:rPr>
        <w:t>участниците</w:t>
      </w:r>
      <w:r w:rsidRPr="00D914C6">
        <w:rPr>
          <w:rFonts w:ascii="Arial" w:hAnsi="Arial" w:cs="Arial"/>
          <w:noProof/>
          <w:sz w:val="20"/>
        </w:rPr>
        <w:t xml:space="preserve"> обсъди</w:t>
      </w:r>
      <w:r w:rsidR="00F94477" w:rsidRPr="00D914C6">
        <w:rPr>
          <w:rFonts w:ascii="Arial" w:hAnsi="Arial" w:cs="Arial"/>
          <w:noProof/>
          <w:sz w:val="20"/>
        </w:rPr>
        <w:t>ха</w:t>
      </w:r>
      <w:r w:rsidRPr="00D914C6">
        <w:rPr>
          <w:rFonts w:ascii="Arial" w:hAnsi="Arial" w:cs="Arial"/>
          <w:noProof/>
          <w:sz w:val="20"/>
        </w:rPr>
        <w:t xml:space="preserve"> трите SWOT анализа, както и проекта на идентифицирани потребности към всеки от SWOT анализите по съответните цели.</w:t>
      </w:r>
    </w:p>
    <w:p w:rsidR="005050EE" w:rsidRPr="00D914C6" w:rsidRDefault="005050EE" w:rsidP="00BB508E">
      <w:pPr>
        <w:jc w:val="both"/>
        <w:rPr>
          <w:rFonts w:ascii="Arial" w:hAnsi="Arial" w:cs="Arial"/>
          <w:b/>
          <w:noProof/>
          <w:sz w:val="20"/>
        </w:rPr>
      </w:pPr>
    </w:p>
    <w:p w:rsidR="005050EE" w:rsidRPr="00D914C6" w:rsidRDefault="005050EE" w:rsidP="00BB508E">
      <w:pPr>
        <w:jc w:val="both"/>
        <w:rPr>
          <w:rFonts w:ascii="Arial" w:hAnsi="Arial" w:cs="Arial"/>
          <w:b/>
          <w:noProof/>
          <w:sz w:val="20"/>
        </w:rPr>
      </w:pPr>
      <w:r w:rsidRPr="00D914C6">
        <w:rPr>
          <w:rFonts w:ascii="Arial" w:hAnsi="Arial" w:cs="Arial"/>
          <w:b/>
          <w:noProof/>
          <w:sz w:val="20"/>
        </w:rPr>
        <w:t xml:space="preserve">4. На 8 и 9 септември ще се проведе второ заседание на Тематична работна група за разработване на „Стратегически план за развитие на земеделието и селските райони за периода 2021 - 2027 г.“. </w:t>
      </w:r>
      <w:r w:rsidRPr="00D914C6">
        <w:rPr>
          <w:rFonts w:ascii="Arial" w:hAnsi="Arial" w:cs="Arial"/>
          <w:noProof/>
          <w:sz w:val="20"/>
        </w:rPr>
        <w:t xml:space="preserve">В първия ден от заседанието ще бъдат представени измененията в потребностите по Цели 1, 2, 3, 4, 5 и 6, в резултат на постъпили предложения и ще бъдат обсъдени някои коментари, направени преди и по време на първото заседание на ТРГ. През втория ден работата ще продължи с представяне на измененията и обсъждане на потребностите по Цели 7, 8, 9 и общата цел „Модернизиране на сектора чрез стимулиране и споделяне на знанията, иновациите и цифровизацията </w:t>
      </w:r>
      <w:r w:rsidRPr="00D914C6">
        <w:rPr>
          <w:rFonts w:ascii="Arial" w:hAnsi="Arial" w:cs="Arial"/>
          <w:noProof/>
          <w:sz w:val="20"/>
        </w:rPr>
        <w:lastRenderedPageBreak/>
        <w:t xml:space="preserve">в селското стопанство и селските райони и насърчаване на използването им в по-голяма степен“ и ще продължат дискусиите по тях. </w:t>
      </w:r>
      <w:r w:rsidRPr="00D914C6">
        <w:rPr>
          <w:rFonts w:ascii="Arial" w:hAnsi="Arial" w:cs="Arial"/>
          <w:b/>
          <w:noProof/>
          <w:sz w:val="20"/>
        </w:rPr>
        <w:t xml:space="preserve">  </w:t>
      </w:r>
    </w:p>
    <w:p w:rsidR="005050EE" w:rsidRPr="00D914C6" w:rsidRDefault="005050EE" w:rsidP="00BB508E">
      <w:pPr>
        <w:jc w:val="both"/>
        <w:rPr>
          <w:rFonts w:ascii="Arial" w:hAnsi="Arial" w:cs="Arial"/>
          <w:b/>
          <w:noProof/>
          <w:sz w:val="20"/>
        </w:rPr>
      </w:pPr>
    </w:p>
    <w:p w:rsidR="002A2BBE" w:rsidRPr="00D914C6" w:rsidRDefault="002A2BBE" w:rsidP="00BB508E">
      <w:pPr>
        <w:shd w:val="clear" w:color="auto" w:fill="FFFFFF"/>
        <w:jc w:val="both"/>
        <w:rPr>
          <w:rFonts w:ascii="Arial" w:hAnsi="Arial" w:cs="Arial"/>
          <w:b/>
          <w:noProof/>
          <w:sz w:val="20"/>
        </w:rPr>
      </w:pPr>
    </w:p>
    <w:tbl>
      <w:tblPr>
        <w:tblW w:w="10159" w:type="dxa"/>
        <w:tblInd w:w="108" w:type="dxa"/>
        <w:tblLook w:val="01E0" w:firstRow="1" w:lastRow="1" w:firstColumn="1" w:lastColumn="1" w:noHBand="0" w:noVBand="0"/>
      </w:tblPr>
      <w:tblGrid>
        <w:gridCol w:w="9923"/>
        <w:gridCol w:w="236"/>
      </w:tblGrid>
      <w:tr w:rsidR="001B1430" w:rsidRPr="00D914C6" w:rsidTr="00F73636">
        <w:tc>
          <w:tcPr>
            <w:tcW w:w="9923" w:type="dxa"/>
            <w:shd w:val="clear" w:color="auto" w:fill="C0C0C0"/>
            <w:hideMark/>
          </w:tcPr>
          <w:p w:rsidR="001B1430" w:rsidRPr="00D914C6" w:rsidRDefault="001B1430" w:rsidP="00BB508E">
            <w:pPr>
              <w:jc w:val="both"/>
              <w:rPr>
                <w:rStyle w:val="longtext"/>
                <w:rFonts w:ascii="Arial" w:hAnsi="Arial" w:cs="Arial"/>
                <w:b/>
                <w:i/>
                <w:noProof/>
                <w:sz w:val="20"/>
              </w:rPr>
            </w:pPr>
            <w:r w:rsidRPr="00D914C6">
              <w:rPr>
                <w:rStyle w:val="longtext"/>
                <w:rFonts w:ascii="Arial" w:hAnsi="Arial" w:cs="Arial"/>
                <w:b/>
                <w:i/>
                <w:noProof/>
                <w:sz w:val="20"/>
              </w:rPr>
              <w:t>Още от ЕС и света</w:t>
            </w:r>
          </w:p>
        </w:tc>
        <w:tc>
          <w:tcPr>
            <w:tcW w:w="236" w:type="dxa"/>
          </w:tcPr>
          <w:p w:rsidR="001B1430" w:rsidRPr="00D914C6" w:rsidRDefault="001B1430" w:rsidP="00BB508E">
            <w:pPr>
              <w:jc w:val="both"/>
              <w:rPr>
                <w:rStyle w:val="longtext"/>
                <w:rFonts w:ascii="Arial" w:hAnsi="Arial" w:cs="Arial"/>
                <w:b/>
                <w:noProof/>
                <w:sz w:val="20"/>
              </w:rPr>
            </w:pPr>
          </w:p>
        </w:tc>
      </w:tr>
    </w:tbl>
    <w:p w:rsidR="001B1430" w:rsidRPr="00D914C6" w:rsidRDefault="001B1430" w:rsidP="00BB50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0E2C95" w:rsidRPr="00D914C6" w:rsidRDefault="000E2C95" w:rsidP="00BB508E">
      <w:pPr>
        <w:jc w:val="both"/>
        <w:rPr>
          <w:rFonts w:ascii="Arial" w:hAnsi="Arial" w:cs="Arial"/>
          <w:noProof/>
          <w:sz w:val="20"/>
        </w:rPr>
      </w:pPr>
      <w:r w:rsidRPr="00D914C6">
        <w:rPr>
          <w:rStyle w:val="longtext"/>
          <w:rFonts w:ascii="Arial" w:hAnsi="Arial" w:cs="Arial"/>
          <w:b/>
          <w:noProof/>
          <w:sz w:val="20"/>
        </w:rPr>
        <w:t>5</w:t>
      </w:r>
      <w:r w:rsidRPr="00D914C6">
        <w:rPr>
          <w:rStyle w:val="longtext"/>
          <w:rFonts w:ascii="Arial" w:hAnsi="Arial" w:cs="Arial"/>
          <w:noProof/>
          <w:sz w:val="20"/>
        </w:rPr>
        <w:t xml:space="preserve">. </w:t>
      </w:r>
      <w:r w:rsidRPr="00D914C6">
        <w:rPr>
          <w:rFonts w:ascii="Arial" w:hAnsi="Arial" w:cs="Arial"/>
          <w:b/>
          <w:bCs/>
          <w:noProof/>
          <w:sz w:val="20"/>
        </w:rPr>
        <w:t xml:space="preserve">В периода </w:t>
      </w:r>
      <w:r w:rsidRPr="00D914C6">
        <w:rPr>
          <w:rFonts w:ascii="Arial" w:hAnsi="Arial" w:cs="Arial"/>
          <w:b/>
          <w:noProof/>
          <w:sz w:val="20"/>
        </w:rPr>
        <w:t xml:space="preserve">30 август- 1 септември 2020 </w:t>
      </w:r>
      <w:r w:rsidRPr="00D914C6">
        <w:rPr>
          <w:rFonts w:ascii="Arial" w:hAnsi="Arial" w:cs="Arial"/>
          <w:b/>
          <w:bCs/>
          <w:noProof/>
          <w:sz w:val="20"/>
        </w:rPr>
        <w:t xml:space="preserve">г. в гр. </w:t>
      </w:r>
      <w:r w:rsidRPr="00D914C6">
        <w:rPr>
          <w:rFonts w:ascii="Arial" w:hAnsi="Arial" w:cs="Arial"/>
          <w:b/>
          <w:noProof/>
          <w:sz w:val="20"/>
        </w:rPr>
        <w:t>Кобленц, Федерална република Германия</w:t>
      </w:r>
      <w:r w:rsidRPr="00D914C6">
        <w:rPr>
          <w:rFonts w:ascii="Arial" w:hAnsi="Arial" w:cs="Arial"/>
          <w:b/>
          <w:bCs/>
          <w:noProof/>
          <w:sz w:val="20"/>
        </w:rPr>
        <w:t xml:space="preserve">, се провежда </w:t>
      </w:r>
      <w:r w:rsidRPr="00D914C6">
        <w:rPr>
          <w:rFonts w:ascii="Arial" w:hAnsi="Arial" w:cs="Arial"/>
          <w:b/>
          <w:noProof/>
          <w:sz w:val="20"/>
        </w:rPr>
        <w:t xml:space="preserve">неформално заседание на Съвета на Европейския съюз по земеделие. </w:t>
      </w:r>
      <w:r w:rsidRPr="00D914C6">
        <w:rPr>
          <w:rFonts w:ascii="Arial" w:hAnsi="Arial" w:cs="Arial"/>
          <w:noProof/>
          <w:sz w:val="20"/>
        </w:rPr>
        <w:t>Предвидената тема за дискусия е „Научените уроци от кризата с коронавируса – устойчивост на земеделския и агрохранителния сектор, оценка на храните, земеделието и животните”. С цел структуриране на дискусията Германското председателство разпространи дискусионен документ. Министрите дискутират какво е необходимо да се промени с цел подобряване устойчивостта на веригата на предлагане на храни спрямо смущенията, причинени от кризи в бъдеще. Обсъжда се и необходимостта от действия за засилване на независимостта на снабдяването с храни в ЕС, обхващащи суровините, производството, преработването и пускането на пазара.</w:t>
      </w:r>
    </w:p>
    <w:p w:rsidR="00B071A0" w:rsidRPr="00D914C6" w:rsidRDefault="00B071A0" w:rsidP="00BB508E">
      <w:pPr>
        <w:jc w:val="both"/>
        <w:rPr>
          <w:rFonts w:ascii="Arial" w:hAnsi="Arial" w:cs="Arial"/>
          <w:noProof/>
          <w:sz w:val="20"/>
        </w:rPr>
      </w:pPr>
    </w:p>
    <w:p w:rsidR="00B071A0" w:rsidRPr="00D914C6" w:rsidRDefault="00B071A0" w:rsidP="00BB508E">
      <w:pPr>
        <w:jc w:val="both"/>
        <w:rPr>
          <w:rStyle w:val="longtext"/>
          <w:rFonts w:ascii="Arial" w:hAnsi="Arial" w:cs="Arial"/>
          <w:noProof/>
          <w:sz w:val="20"/>
        </w:rPr>
      </w:pPr>
      <w:r w:rsidRPr="00D914C6">
        <w:rPr>
          <w:rFonts w:ascii="Arial" w:hAnsi="Arial" w:cs="Arial"/>
          <w:b/>
          <w:noProof/>
          <w:sz w:val="20"/>
        </w:rPr>
        <w:t xml:space="preserve">6. </w:t>
      </w:r>
      <w:r w:rsidRPr="00D914C6">
        <w:rPr>
          <w:rStyle w:val="longtext"/>
          <w:rFonts w:ascii="Arial" w:hAnsi="Arial" w:cs="Arial"/>
          <w:b/>
          <w:noProof/>
          <w:sz w:val="20"/>
        </w:rPr>
        <w:t>Повече от 400 европейски организации на гражданското общество се обърнаха към германския министър на земеделието Юлия Кльокнер, преди неформалната среща на министрите на земеделието на ЕС в град Кобленц</w:t>
      </w:r>
      <w:r w:rsidRPr="00D914C6">
        <w:rPr>
          <w:rStyle w:val="longtext"/>
          <w:rFonts w:ascii="Arial" w:hAnsi="Arial" w:cs="Arial"/>
          <w:noProof/>
          <w:sz w:val="20"/>
        </w:rPr>
        <w:t xml:space="preserve">. В </w:t>
      </w:r>
      <w:r w:rsidR="00283565" w:rsidRPr="00D914C6">
        <w:rPr>
          <w:rStyle w:val="longtext"/>
          <w:rFonts w:ascii="Arial" w:hAnsi="Arial" w:cs="Arial"/>
          <w:noProof/>
          <w:sz w:val="20"/>
        </w:rPr>
        <w:t xml:space="preserve">2 страници </w:t>
      </w:r>
      <w:r w:rsidRPr="00D914C6">
        <w:rPr>
          <w:rStyle w:val="longtext"/>
          <w:rFonts w:ascii="Arial" w:hAnsi="Arial" w:cs="Arial"/>
          <w:noProof/>
          <w:sz w:val="20"/>
        </w:rPr>
        <w:t>отворено писмо  от 26 авгус</w:t>
      </w:r>
      <w:r w:rsidR="00283565">
        <w:rPr>
          <w:rStyle w:val="longtext"/>
          <w:rFonts w:ascii="Arial" w:hAnsi="Arial" w:cs="Arial"/>
          <w:noProof/>
          <w:sz w:val="20"/>
        </w:rPr>
        <w:t xml:space="preserve">т 2020 г. </w:t>
      </w:r>
      <w:r w:rsidRPr="00D914C6">
        <w:rPr>
          <w:rStyle w:val="longtext"/>
          <w:rFonts w:ascii="Arial" w:hAnsi="Arial" w:cs="Arial"/>
          <w:noProof/>
          <w:sz w:val="20"/>
        </w:rPr>
        <w:t xml:space="preserve">,  коалицията на организациите на гражданското общество призова делегациите да приведат реформата на ОСП в съответствие с европейската Зелен пакт, особено  целите на  Стратегията „От фермата до трапезата“ и Стратегиията за биологично разнообразие. Те подчертават, че продължаването или оптимизирането на настоящата система не е опция. Необходими са промени в селскостопанската политика на ЕС за осигуряване на приемственост на земеделското производство, от която зависи продоволствената сигурност. Те допълват, че е необходимо възстановяване на функциониращи екосистеми, привеждане на селското стопанство в съответствие със законовите задължения, съгласно Парижкото споразумение и  преминаване към здравословна диета. Европейски организации на гражданското общество също така искат да видят „много по-високо ниво на амбиция по отношение на условността на ОСП, хуманното отношение към животните, общественото здраве, устойчивото използване на водите, климата и опазването на околната среда“ и призовават за подобрения в „жизнеспособността на фермите, диверсификацията, обновяването на поколенията и по този начин устойчивостта в селския поминък. " „Слепите плащания на хектар“, казват те, трябва да бъдат заменени „с принципа„ публични пари за обществени услуги “(включително заетостта в селските райони), като се прехвърля подкрепата към мерки, които позволяват на земеделските стопани да инвестират в своя агроекологичен преход, съпроводен от пазарни механизми за подобряване на икономическата жизнеспособност." Новият модел </w:t>
      </w:r>
      <w:r w:rsidR="00D914C6" w:rsidRPr="00D914C6">
        <w:rPr>
          <w:rStyle w:val="longtext"/>
          <w:rFonts w:ascii="Arial" w:hAnsi="Arial" w:cs="Arial"/>
          <w:noProof/>
          <w:sz w:val="20"/>
        </w:rPr>
        <w:t>на прилагане</w:t>
      </w:r>
      <w:r w:rsidRPr="00D914C6">
        <w:rPr>
          <w:rStyle w:val="longtext"/>
          <w:rFonts w:ascii="Arial" w:hAnsi="Arial" w:cs="Arial"/>
          <w:noProof/>
          <w:sz w:val="20"/>
        </w:rPr>
        <w:t xml:space="preserve"> трябва да бъде заздравен, за да гарантира, че бюджетът ще се използва ефективно, чрез подобряване на индикаторите, базирани на резултати, както и мониторинг и чрез определяне на общи и амбициозни гаранции за целево изразходване на финансови средства. Европейски организации на гражданското общество нарекоха реформата на Общата селскостопанска политика след 2020 г. „основна възможност за сектора на храните и земеделието на ЕС да премине към устойчива система“ и предизвикаха „председателството да приведе реформата на ОСП в съответствие с целите за климата и биологичното разнообразие и да сложи край на спада в разнообразието и броя на фермите. </w:t>
      </w:r>
    </w:p>
    <w:p w:rsidR="00B071A0" w:rsidRPr="00D914C6" w:rsidRDefault="00B071A0" w:rsidP="00BB508E">
      <w:pPr>
        <w:jc w:val="both"/>
        <w:rPr>
          <w:rFonts w:ascii="Arial" w:hAnsi="Arial" w:cs="Arial"/>
          <w:noProof/>
          <w:sz w:val="20"/>
        </w:rPr>
      </w:pPr>
    </w:p>
    <w:p w:rsidR="00A82BB1" w:rsidRPr="00D914C6" w:rsidRDefault="00B071A0" w:rsidP="00BB508E">
      <w:pPr>
        <w:jc w:val="both"/>
        <w:rPr>
          <w:rFonts w:ascii="Arial" w:hAnsi="Arial" w:cs="Arial"/>
          <w:noProof/>
          <w:sz w:val="20"/>
        </w:rPr>
      </w:pPr>
      <w:r w:rsidRPr="00D914C6">
        <w:rPr>
          <w:rFonts w:ascii="Arial" w:hAnsi="Arial" w:cs="Arial"/>
          <w:b/>
          <w:noProof/>
          <w:sz w:val="20"/>
        </w:rPr>
        <w:t>7</w:t>
      </w:r>
      <w:r w:rsidR="00A82BB1" w:rsidRPr="00D914C6">
        <w:rPr>
          <w:rFonts w:ascii="Arial" w:hAnsi="Arial" w:cs="Arial"/>
          <w:b/>
          <w:noProof/>
          <w:sz w:val="20"/>
        </w:rPr>
        <w:t xml:space="preserve">. На 29 юли </w:t>
      </w:r>
      <w:r w:rsidR="00283565">
        <w:rPr>
          <w:rFonts w:ascii="Arial" w:hAnsi="Arial" w:cs="Arial"/>
          <w:b/>
          <w:noProof/>
          <w:sz w:val="20"/>
        </w:rPr>
        <w:t xml:space="preserve">2020 г. </w:t>
      </w:r>
      <w:r w:rsidR="00A82BB1" w:rsidRPr="00D914C6">
        <w:rPr>
          <w:rStyle w:val="longtext"/>
          <w:rFonts w:ascii="Arial" w:hAnsi="Arial" w:cs="Arial"/>
          <w:b/>
          <w:noProof/>
          <w:sz w:val="20"/>
        </w:rPr>
        <w:t>евродепутатите от Групата на консерваторите и реформистите, както и американски служители, включително американският държавен секретар по земеделие Сони Пердю, изразиха своите опасения относно Стратегията на ЕС „От фермата до трапезата“ (F2F) за устойчиви хранителни системи“</w:t>
      </w:r>
      <w:r w:rsidR="00A82BB1" w:rsidRPr="00D914C6">
        <w:rPr>
          <w:rStyle w:val="longtext"/>
          <w:rFonts w:ascii="Arial" w:hAnsi="Arial" w:cs="Arial"/>
          <w:noProof/>
          <w:sz w:val="20"/>
        </w:rPr>
        <w:t xml:space="preserve">. Те казаха „Да“ за продоволствената сигурност, иновативното и устойчиво земеделие и „Не“ </w:t>
      </w:r>
      <w:r w:rsidR="00D568FC" w:rsidRPr="00D914C6">
        <w:rPr>
          <w:rStyle w:val="longtext"/>
          <w:rFonts w:ascii="Arial" w:hAnsi="Arial" w:cs="Arial"/>
          <w:noProof/>
          <w:sz w:val="20"/>
        </w:rPr>
        <w:t>на</w:t>
      </w:r>
      <w:r w:rsidR="00A82BB1" w:rsidRPr="00D914C6">
        <w:rPr>
          <w:rStyle w:val="longtext"/>
          <w:rFonts w:ascii="Arial" w:hAnsi="Arial" w:cs="Arial"/>
          <w:noProof/>
          <w:sz w:val="20"/>
        </w:rPr>
        <w:t xml:space="preserve"> зелената „идеология“, която е вредна за европейските фермери и трансатлантическата търговия. </w:t>
      </w:r>
      <w:r w:rsidR="00A82BB1" w:rsidRPr="00D914C6">
        <w:rPr>
          <w:rFonts w:ascii="Arial" w:hAnsi="Arial" w:cs="Arial"/>
          <w:noProof/>
          <w:sz w:val="20"/>
        </w:rPr>
        <w:t>Сони Пердю предупреди, че Стратегията „От фермата до трапезата“ ще  затрудни световната търговия и ще отнеме от фермерите важни инструменти, с които да се конкурират на пазара. „Сякаш с тази Стратегия Европа е забравила фермата в F2F, казва Пердю и допълва, че има голям риск тази политика да направи европейските фермери неконкурентни</w:t>
      </w:r>
      <w:r w:rsidR="00962A8C" w:rsidRPr="00D914C6">
        <w:rPr>
          <w:rFonts w:ascii="Arial" w:hAnsi="Arial" w:cs="Arial"/>
          <w:noProof/>
          <w:sz w:val="20"/>
        </w:rPr>
        <w:t xml:space="preserve">, ще </w:t>
      </w:r>
      <w:r w:rsidR="00A82BB1" w:rsidRPr="00D914C6">
        <w:rPr>
          <w:rFonts w:ascii="Arial" w:hAnsi="Arial" w:cs="Arial"/>
          <w:noProof/>
          <w:sz w:val="20"/>
        </w:rPr>
        <w:t>наложи протекционизъм, което нем</w:t>
      </w:r>
      <w:r w:rsidR="00962A8C" w:rsidRPr="00D914C6">
        <w:rPr>
          <w:rFonts w:ascii="Arial" w:hAnsi="Arial" w:cs="Arial"/>
          <w:noProof/>
          <w:sz w:val="20"/>
        </w:rPr>
        <w:t xml:space="preserve">инуемо ще навреди на търговията </w:t>
      </w:r>
      <w:r w:rsidR="00A82BB1" w:rsidRPr="00D914C6">
        <w:rPr>
          <w:rFonts w:ascii="Arial" w:hAnsi="Arial" w:cs="Arial"/>
          <w:noProof/>
          <w:sz w:val="20"/>
        </w:rPr>
        <w:t xml:space="preserve">между двата континента. „Ако наложим протекционизъм в селското стопанство, казвайки, че нашите продукти са по-добри от вашите и вашите не могат да се внасят, защото не отговарят на нашите стандарти, ще стигнем до сериозни проблеми. Те могат да засегнат други сектори и да нанесат реални щети върху глобалната търговия“, опасява се </w:t>
      </w:r>
      <w:r w:rsidR="00962A8C" w:rsidRPr="00D914C6">
        <w:rPr>
          <w:rFonts w:ascii="Arial" w:hAnsi="Arial" w:cs="Arial"/>
          <w:noProof/>
          <w:sz w:val="20"/>
        </w:rPr>
        <w:t>държавният секретар по земеделие</w:t>
      </w:r>
      <w:r w:rsidR="00A82BB1" w:rsidRPr="00D914C6">
        <w:rPr>
          <w:rFonts w:ascii="Arial" w:hAnsi="Arial" w:cs="Arial"/>
          <w:noProof/>
          <w:sz w:val="20"/>
        </w:rPr>
        <w:t>. В отговор на неговите думи</w:t>
      </w:r>
      <w:r w:rsidR="00962A8C" w:rsidRPr="00D914C6">
        <w:rPr>
          <w:rFonts w:ascii="Arial" w:hAnsi="Arial" w:cs="Arial"/>
          <w:noProof/>
          <w:sz w:val="20"/>
        </w:rPr>
        <w:t xml:space="preserve"> </w:t>
      </w:r>
      <w:r w:rsidR="00A82BB1" w:rsidRPr="00D914C6">
        <w:rPr>
          <w:rFonts w:ascii="Arial" w:hAnsi="Arial" w:cs="Arial"/>
          <w:noProof/>
          <w:sz w:val="20"/>
        </w:rPr>
        <w:t>европейският комисар по земеделие Януш Войчеховски</w:t>
      </w:r>
      <w:r w:rsidR="00962A8C" w:rsidRPr="00D914C6">
        <w:rPr>
          <w:rFonts w:ascii="Arial" w:hAnsi="Arial" w:cs="Arial"/>
          <w:noProof/>
          <w:sz w:val="20"/>
        </w:rPr>
        <w:t xml:space="preserve"> </w:t>
      </w:r>
      <w:r w:rsidR="00A82BB1" w:rsidRPr="00D914C6">
        <w:rPr>
          <w:rFonts w:ascii="Arial" w:hAnsi="Arial" w:cs="Arial"/>
          <w:noProof/>
          <w:sz w:val="20"/>
        </w:rPr>
        <w:t xml:space="preserve">контрира със следното: „Това не е </w:t>
      </w:r>
      <w:r w:rsidR="000E2C95" w:rsidRPr="00D914C6">
        <w:rPr>
          <w:rFonts w:ascii="Arial" w:hAnsi="Arial" w:cs="Arial"/>
          <w:noProof/>
          <w:sz w:val="20"/>
        </w:rPr>
        <w:t>търговска бариера</w:t>
      </w:r>
      <w:r w:rsidR="00A82BB1" w:rsidRPr="00D914C6">
        <w:rPr>
          <w:rFonts w:ascii="Arial" w:hAnsi="Arial" w:cs="Arial"/>
          <w:noProof/>
          <w:sz w:val="20"/>
        </w:rPr>
        <w:t>. ЕС е най-големият производител на храни</w:t>
      </w:r>
      <w:r w:rsidR="000E2C95" w:rsidRPr="00D914C6">
        <w:rPr>
          <w:rFonts w:ascii="Arial" w:hAnsi="Arial" w:cs="Arial"/>
          <w:noProof/>
          <w:sz w:val="20"/>
        </w:rPr>
        <w:t xml:space="preserve"> и е заинтересован</w:t>
      </w:r>
      <w:r w:rsidR="00A82BB1" w:rsidRPr="00D914C6">
        <w:rPr>
          <w:rFonts w:ascii="Arial" w:hAnsi="Arial" w:cs="Arial"/>
          <w:noProof/>
          <w:sz w:val="20"/>
        </w:rPr>
        <w:t xml:space="preserve"> от търговия със САЩ и други страни. Зелената сделка не е </w:t>
      </w:r>
      <w:r w:rsidR="00A82BB1" w:rsidRPr="00D914C6">
        <w:rPr>
          <w:rFonts w:ascii="Arial" w:hAnsi="Arial" w:cs="Arial"/>
          <w:noProof/>
          <w:sz w:val="20"/>
        </w:rPr>
        <w:lastRenderedPageBreak/>
        <w:t>против международната търговия. Няма спорове. Трябва да действаме заедно, за да увеличим търговията. В САЩ земеделските производители не се нуждаят от притеснения. Никой фермер няма да бъде принуден да постигне най-високите стандарти. Те ще бъдат насърчавани само да осигурят по-добра защита на околната среда, да създадат алтернативи на интензивното земеделие“, каза Януш Войчеховски . Той също така добави, че няма да е лесно, но индустриалното земеделие е продуктивно в краткосрочен план, а не в дългосрочен план. Продоволствената сигурност остава основният приоритет на Общата селскостопанска политика. Той каза, че трябва да се следи прилагането на стратегиите „F2F“ и „Биоразнообразие“ и тяхното въздействие върху фермерите и конкурентоспособността. В дебата участва и американският журналист Джон Ентин, според когото предложенията в Зелената сделка си противоречат. За пример той даде намаляване на употребата на пестициди с 50%, като същевременно се призовава за 25-процентово увеличение на биологичното производство. Според Ентин логиката игнорира факта, че биоземеделието също използва пестициди и то в пъти повече от конвенционалните методи.</w:t>
      </w:r>
    </w:p>
    <w:p w:rsidR="00A82BB1" w:rsidRDefault="00A82BB1" w:rsidP="00BB508E">
      <w:pPr>
        <w:jc w:val="both"/>
        <w:outlineLvl w:val="0"/>
        <w:rPr>
          <w:rStyle w:val="longtext"/>
          <w:rFonts w:ascii="Arial" w:hAnsi="Arial" w:cs="Arial"/>
          <w:b/>
          <w:noProof/>
          <w:sz w:val="20"/>
        </w:rPr>
      </w:pPr>
    </w:p>
    <w:p w:rsidR="00204741" w:rsidRPr="002C43AA" w:rsidRDefault="00204741" w:rsidP="00BB508E">
      <w:pPr>
        <w:jc w:val="both"/>
        <w:rPr>
          <w:rFonts w:ascii="Arial" w:hAnsi="Arial" w:cs="Arial"/>
          <w:sz w:val="20"/>
          <w:lang w:val="ru-RU"/>
        </w:rPr>
      </w:pPr>
    </w:p>
    <w:p w:rsidR="0072576F" w:rsidRDefault="0072576F" w:rsidP="00BB508E">
      <w:pPr>
        <w:jc w:val="both"/>
        <w:rPr>
          <w:rFonts w:ascii="Arial" w:hAnsi="Arial" w:cs="Arial"/>
          <w:b/>
          <w:sz w:val="20"/>
        </w:rPr>
      </w:pPr>
    </w:p>
    <w:p w:rsidR="0072576F" w:rsidRDefault="0072576F" w:rsidP="00BB508E">
      <w:pPr>
        <w:jc w:val="both"/>
        <w:rPr>
          <w:rFonts w:ascii="Arial" w:hAnsi="Arial" w:cs="Arial"/>
          <w:b/>
          <w:sz w:val="20"/>
        </w:rPr>
      </w:pPr>
    </w:p>
    <w:p w:rsidR="0072576F" w:rsidRDefault="0072576F" w:rsidP="00BB508E">
      <w:pPr>
        <w:jc w:val="both"/>
        <w:rPr>
          <w:rFonts w:ascii="Arial" w:hAnsi="Arial" w:cs="Arial"/>
          <w:b/>
          <w:sz w:val="20"/>
        </w:rPr>
      </w:pPr>
    </w:p>
    <w:p w:rsidR="0072576F" w:rsidRPr="002C43AA" w:rsidRDefault="0072576F" w:rsidP="00BB508E">
      <w:pPr>
        <w:jc w:val="both"/>
        <w:rPr>
          <w:rFonts w:ascii="Arial" w:hAnsi="Arial" w:cs="Arial"/>
          <w:b/>
          <w:sz w:val="20"/>
          <w:lang w:val="ru-RU"/>
        </w:rPr>
      </w:pPr>
    </w:p>
    <w:p w:rsidR="009C11B2" w:rsidRPr="002C43AA" w:rsidRDefault="009C11B2" w:rsidP="00BB508E">
      <w:pPr>
        <w:jc w:val="both"/>
        <w:rPr>
          <w:rFonts w:ascii="Arial" w:hAnsi="Arial" w:cs="Arial"/>
          <w:b/>
          <w:sz w:val="20"/>
          <w:lang w:val="ru-RU"/>
        </w:rPr>
      </w:pPr>
    </w:p>
    <w:p w:rsidR="009C11B2" w:rsidRPr="002C43AA" w:rsidRDefault="009C11B2" w:rsidP="00BB508E">
      <w:pPr>
        <w:jc w:val="both"/>
        <w:rPr>
          <w:rFonts w:ascii="Arial" w:hAnsi="Arial" w:cs="Arial"/>
          <w:b/>
          <w:sz w:val="20"/>
          <w:lang w:val="ru-RU"/>
        </w:rPr>
      </w:pPr>
    </w:p>
    <w:p w:rsidR="009C11B2" w:rsidRPr="002C43AA" w:rsidRDefault="009C11B2" w:rsidP="00BB508E">
      <w:pPr>
        <w:jc w:val="both"/>
        <w:rPr>
          <w:rFonts w:ascii="Arial" w:hAnsi="Arial" w:cs="Arial"/>
          <w:b/>
          <w:sz w:val="20"/>
          <w:lang w:val="ru-RU"/>
        </w:rPr>
      </w:pPr>
    </w:p>
    <w:p w:rsidR="009C11B2" w:rsidRPr="002C43AA" w:rsidRDefault="009C11B2" w:rsidP="00BB508E">
      <w:pPr>
        <w:jc w:val="both"/>
        <w:rPr>
          <w:rFonts w:ascii="Arial" w:hAnsi="Arial" w:cs="Arial"/>
          <w:b/>
          <w:sz w:val="20"/>
          <w:lang w:val="ru-RU"/>
        </w:rPr>
      </w:pPr>
    </w:p>
    <w:p w:rsidR="0072576F" w:rsidRDefault="0072576F" w:rsidP="00BB508E">
      <w:pPr>
        <w:jc w:val="both"/>
        <w:rPr>
          <w:rFonts w:ascii="Arial" w:hAnsi="Arial" w:cs="Arial"/>
          <w:b/>
          <w:sz w:val="20"/>
        </w:rPr>
      </w:pPr>
    </w:p>
    <w:p w:rsidR="0072576F" w:rsidRDefault="0072576F" w:rsidP="00BB508E">
      <w:pPr>
        <w:jc w:val="both"/>
        <w:rPr>
          <w:rFonts w:ascii="Arial" w:hAnsi="Arial" w:cs="Arial"/>
          <w:b/>
          <w:sz w:val="20"/>
        </w:rPr>
      </w:pPr>
    </w:p>
    <w:p w:rsidR="0072576F" w:rsidRDefault="0072576F" w:rsidP="00BB508E">
      <w:pPr>
        <w:jc w:val="both"/>
        <w:rPr>
          <w:rFonts w:ascii="Arial" w:hAnsi="Arial" w:cs="Arial"/>
          <w:b/>
          <w:sz w:val="20"/>
        </w:rPr>
      </w:pPr>
    </w:p>
    <w:p w:rsidR="0072576F" w:rsidRDefault="0072576F" w:rsidP="00BB508E">
      <w:pPr>
        <w:jc w:val="both"/>
        <w:rPr>
          <w:rFonts w:ascii="Arial" w:hAnsi="Arial" w:cs="Arial"/>
          <w:b/>
          <w:sz w:val="20"/>
        </w:rPr>
      </w:pPr>
    </w:p>
    <w:p w:rsidR="0072576F" w:rsidRDefault="0072576F" w:rsidP="00BB508E">
      <w:pPr>
        <w:jc w:val="both"/>
        <w:rPr>
          <w:rFonts w:ascii="Arial" w:hAnsi="Arial" w:cs="Arial"/>
          <w:b/>
          <w:sz w:val="20"/>
        </w:rPr>
      </w:pPr>
    </w:p>
    <w:p w:rsidR="0072576F" w:rsidRDefault="0072576F" w:rsidP="00BB508E">
      <w:pPr>
        <w:jc w:val="both"/>
        <w:rPr>
          <w:rFonts w:ascii="Arial" w:hAnsi="Arial" w:cs="Arial"/>
          <w:b/>
          <w:sz w:val="20"/>
        </w:rPr>
      </w:pPr>
    </w:p>
    <w:p w:rsidR="0072576F" w:rsidRDefault="0072576F" w:rsidP="00BB508E">
      <w:pPr>
        <w:jc w:val="both"/>
        <w:rPr>
          <w:rFonts w:ascii="Arial" w:hAnsi="Arial" w:cs="Arial"/>
          <w:b/>
          <w:sz w:val="20"/>
        </w:rPr>
      </w:pPr>
    </w:p>
    <w:p w:rsidR="0072576F" w:rsidRDefault="0072576F" w:rsidP="00BB508E">
      <w:pPr>
        <w:jc w:val="both"/>
        <w:rPr>
          <w:rFonts w:ascii="Arial" w:hAnsi="Arial" w:cs="Arial"/>
          <w:b/>
          <w:sz w:val="20"/>
        </w:rPr>
      </w:pPr>
    </w:p>
    <w:p w:rsidR="0072576F" w:rsidRDefault="0072576F" w:rsidP="00BB508E">
      <w:pPr>
        <w:jc w:val="both"/>
        <w:rPr>
          <w:rFonts w:ascii="Arial" w:hAnsi="Arial" w:cs="Arial"/>
          <w:b/>
          <w:sz w:val="20"/>
        </w:rPr>
      </w:pPr>
    </w:p>
    <w:p w:rsidR="0072576F" w:rsidRDefault="0072576F" w:rsidP="00BB508E">
      <w:pPr>
        <w:jc w:val="both"/>
        <w:rPr>
          <w:rFonts w:ascii="Arial" w:hAnsi="Arial" w:cs="Arial"/>
          <w:b/>
          <w:sz w:val="20"/>
        </w:rPr>
      </w:pPr>
    </w:p>
    <w:p w:rsidR="0072576F" w:rsidRDefault="0072576F" w:rsidP="00BB508E">
      <w:pPr>
        <w:jc w:val="both"/>
        <w:rPr>
          <w:rFonts w:ascii="Arial" w:hAnsi="Arial" w:cs="Arial"/>
          <w:b/>
          <w:sz w:val="20"/>
        </w:rPr>
      </w:pPr>
    </w:p>
    <w:p w:rsidR="0072576F" w:rsidRDefault="0072576F" w:rsidP="00BB508E">
      <w:pPr>
        <w:jc w:val="both"/>
        <w:rPr>
          <w:rFonts w:ascii="Arial" w:hAnsi="Arial" w:cs="Arial"/>
          <w:b/>
          <w:sz w:val="20"/>
        </w:rPr>
      </w:pPr>
    </w:p>
    <w:p w:rsidR="0072576F" w:rsidRDefault="0072576F" w:rsidP="00BB508E">
      <w:pPr>
        <w:jc w:val="both"/>
        <w:rPr>
          <w:rFonts w:ascii="Arial" w:hAnsi="Arial" w:cs="Arial"/>
          <w:b/>
          <w:sz w:val="20"/>
        </w:rPr>
      </w:pPr>
    </w:p>
    <w:p w:rsidR="0072576F" w:rsidRDefault="0072576F" w:rsidP="00BB508E">
      <w:pPr>
        <w:jc w:val="both"/>
        <w:rPr>
          <w:rFonts w:ascii="Arial" w:hAnsi="Arial" w:cs="Arial"/>
          <w:b/>
          <w:sz w:val="20"/>
        </w:rPr>
      </w:pPr>
    </w:p>
    <w:p w:rsidR="0072576F" w:rsidRDefault="0072576F" w:rsidP="00BB508E">
      <w:pPr>
        <w:jc w:val="both"/>
        <w:rPr>
          <w:rFonts w:ascii="Arial" w:hAnsi="Arial" w:cs="Arial"/>
          <w:b/>
          <w:sz w:val="20"/>
        </w:rPr>
      </w:pPr>
    </w:p>
    <w:p w:rsidR="0072576F" w:rsidRDefault="0072576F" w:rsidP="00BB508E">
      <w:pPr>
        <w:jc w:val="both"/>
        <w:rPr>
          <w:rFonts w:ascii="Arial" w:hAnsi="Arial" w:cs="Arial"/>
          <w:b/>
          <w:sz w:val="20"/>
        </w:rPr>
      </w:pPr>
    </w:p>
    <w:p w:rsidR="0072576F" w:rsidRDefault="0072576F" w:rsidP="00BB508E">
      <w:pPr>
        <w:jc w:val="both"/>
        <w:rPr>
          <w:rFonts w:ascii="Arial" w:hAnsi="Arial" w:cs="Arial"/>
          <w:b/>
          <w:sz w:val="20"/>
        </w:rPr>
      </w:pPr>
    </w:p>
    <w:p w:rsidR="0072576F" w:rsidRDefault="0072576F" w:rsidP="00BB508E">
      <w:pPr>
        <w:jc w:val="both"/>
        <w:rPr>
          <w:rFonts w:ascii="Arial" w:hAnsi="Arial" w:cs="Arial"/>
          <w:b/>
          <w:sz w:val="20"/>
        </w:rPr>
      </w:pPr>
    </w:p>
    <w:sectPr w:rsidR="0072576F" w:rsidSect="00852688">
      <w:headerReference w:type="default" r:id="rId10"/>
      <w:footerReference w:type="even" r:id="rId11"/>
      <w:footerReference w:type="default" r:id="rId12"/>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64F" w:rsidRDefault="00F4264F">
      <w:r>
        <w:separator/>
      </w:r>
    </w:p>
  </w:endnote>
  <w:endnote w:type="continuationSeparator" w:id="0">
    <w:p w:rsidR="00F4264F" w:rsidRDefault="00F42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F4264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F4264F"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056235">
      <w:rPr>
        <w:rFonts w:ascii="Arial" w:hAnsi="Arial"/>
        <w:i/>
        <w:iCs/>
        <w:noProof/>
        <w:color w:val="800080"/>
        <w:sz w:val="18"/>
        <w:szCs w:val="18"/>
      </w:rPr>
      <w:t>1</w:t>
    </w:r>
    <w:r w:rsidRPr="004B3CB3">
      <w:rPr>
        <w:rFonts w:ascii="Arial" w:hAnsi="Arial"/>
        <w:i/>
        <w:iCs/>
        <w:color w:val="800080"/>
        <w:sz w:val="18"/>
        <w:szCs w:val="18"/>
      </w:rPr>
      <w:fldChar w:fldCharType="end"/>
    </w:r>
  </w:p>
  <w:p w:rsidR="005618E1" w:rsidRPr="004B3CB3" w:rsidRDefault="00F4264F">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64F" w:rsidRDefault="00F4264F">
      <w:r>
        <w:separator/>
      </w:r>
    </w:p>
  </w:footnote>
  <w:footnote w:type="continuationSeparator" w:id="0">
    <w:p w:rsidR="00F4264F" w:rsidRDefault="00F42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eastAsia="bg-BG"/>
            </w:rPr>
            <w:drawing>
              <wp:inline distT="0" distB="0" distL="0" distR="0" wp14:anchorId="41DD6C08" wp14:editId="66863569">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F4264F"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p>
      </w:tc>
      <w:tc>
        <w:tcPr>
          <w:tcW w:w="2535" w:type="dxa"/>
          <w:vMerge/>
          <w:tcBorders>
            <w:top w:val="single" w:sz="4" w:space="0" w:color="auto"/>
            <w:bottom w:val="single" w:sz="24" w:space="0" w:color="0000FF"/>
          </w:tcBorders>
        </w:tcPr>
        <w:p w:rsidR="005618E1" w:rsidRDefault="00F4264F">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CF15CD">
      <w:rPr>
        <w:rFonts w:ascii="Arial" w:hAnsi="Arial"/>
        <w:b/>
        <w:bCs/>
        <w:color w:val="800080"/>
        <w:sz w:val="20"/>
        <w:lang w:val="en-US"/>
      </w:rPr>
      <w:t>31</w:t>
    </w:r>
    <w:r>
      <w:rPr>
        <w:rFonts w:ascii="Arial" w:hAnsi="Arial"/>
        <w:b/>
        <w:bCs/>
        <w:color w:val="800080"/>
        <w:sz w:val="20"/>
      </w:rPr>
      <w:t>/</w:t>
    </w:r>
    <w:r w:rsidR="00CF15CD">
      <w:rPr>
        <w:rFonts w:ascii="Arial" w:hAnsi="Arial"/>
        <w:b/>
        <w:bCs/>
        <w:color w:val="800080"/>
        <w:sz w:val="20"/>
        <w:lang w:val="en-US"/>
      </w:rPr>
      <w:t>01</w:t>
    </w:r>
    <w:r w:rsidR="006E7A46">
      <w:rPr>
        <w:rFonts w:ascii="Arial" w:hAnsi="Arial"/>
        <w:b/>
        <w:bCs/>
        <w:color w:val="800080"/>
        <w:sz w:val="20"/>
        <w:lang w:val="en-US"/>
      </w:rPr>
      <w:t>.</w:t>
    </w:r>
    <w:r w:rsidR="002C512F">
      <w:rPr>
        <w:rFonts w:ascii="Arial" w:hAnsi="Arial"/>
        <w:b/>
        <w:bCs/>
        <w:color w:val="800080"/>
        <w:sz w:val="20"/>
        <w:lang w:val="en-US"/>
      </w:rPr>
      <w:t>0</w:t>
    </w:r>
    <w:r w:rsidR="00CF15CD">
      <w:rPr>
        <w:rFonts w:ascii="Arial" w:hAnsi="Arial"/>
        <w:b/>
        <w:bCs/>
        <w:color w:val="800080"/>
        <w:sz w:val="20"/>
        <w:lang w:val="en-US"/>
      </w:rPr>
      <w:t>9</w:t>
    </w:r>
    <w:r>
      <w:rPr>
        <w:rFonts w:ascii="Arial" w:hAnsi="Arial"/>
        <w:b/>
        <w:bCs/>
        <w:color w:val="800080"/>
        <w:sz w:val="20"/>
      </w:rPr>
      <w:t>.20</w:t>
    </w:r>
    <w:r w:rsidR="00B36E39">
      <w:rPr>
        <w:rFonts w:ascii="Arial" w:hAnsi="Arial"/>
        <w:b/>
        <w:bCs/>
        <w:color w:val="800080"/>
        <w:sz w:val="20"/>
        <w:lang w:val="en-US"/>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2"/>
  </w:num>
  <w:num w:numId="5">
    <w:abstractNumId w:val="0"/>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02852"/>
    <w:rsid w:val="000144D9"/>
    <w:rsid w:val="0001496E"/>
    <w:rsid w:val="0002016E"/>
    <w:rsid w:val="0002497A"/>
    <w:rsid w:val="00024DB1"/>
    <w:rsid w:val="00032EDB"/>
    <w:rsid w:val="0004366B"/>
    <w:rsid w:val="00046BB0"/>
    <w:rsid w:val="00046D50"/>
    <w:rsid w:val="00050832"/>
    <w:rsid w:val="000518AE"/>
    <w:rsid w:val="00056231"/>
    <w:rsid w:val="00056235"/>
    <w:rsid w:val="0005714A"/>
    <w:rsid w:val="000576D0"/>
    <w:rsid w:val="0006687D"/>
    <w:rsid w:val="000678FD"/>
    <w:rsid w:val="0007208A"/>
    <w:rsid w:val="00081DAE"/>
    <w:rsid w:val="0009101D"/>
    <w:rsid w:val="00091CD4"/>
    <w:rsid w:val="000A31F0"/>
    <w:rsid w:val="000A4C57"/>
    <w:rsid w:val="000A7CFB"/>
    <w:rsid w:val="000B2026"/>
    <w:rsid w:val="000B3B85"/>
    <w:rsid w:val="000B7B54"/>
    <w:rsid w:val="000B7F59"/>
    <w:rsid w:val="000C72E3"/>
    <w:rsid w:val="000C7E4D"/>
    <w:rsid w:val="000E2C95"/>
    <w:rsid w:val="000F3D2D"/>
    <w:rsid w:val="001164FC"/>
    <w:rsid w:val="001173C3"/>
    <w:rsid w:val="00117955"/>
    <w:rsid w:val="00117A81"/>
    <w:rsid w:val="00120AD2"/>
    <w:rsid w:val="00131A6D"/>
    <w:rsid w:val="00134872"/>
    <w:rsid w:val="0013606E"/>
    <w:rsid w:val="00141A95"/>
    <w:rsid w:val="0014608C"/>
    <w:rsid w:val="001639CC"/>
    <w:rsid w:val="00170DF4"/>
    <w:rsid w:val="00173E25"/>
    <w:rsid w:val="00180311"/>
    <w:rsid w:val="00180441"/>
    <w:rsid w:val="00186654"/>
    <w:rsid w:val="00193EEE"/>
    <w:rsid w:val="0019617C"/>
    <w:rsid w:val="001A6A7A"/>
    <w:rsid w:val="001B1430"/>
    <w:rsid w:val="001B2D6A"/>
    <w:rsid w:val="001B5399"/>
    <w:rsid w:val="001C3F62"/>
    <w:rsid w:val="001C5BC3"/>
    <w:rsid w:val="001E1EAA"/>
    <w:rsid w:val="001E1F98"/>
    <w:rsid w:val="001E4050"/>
    <w:rsid w:val="001E4C01"/>
    <w:rsid w:val="001F2EC7"/>
    <w:rsid w:val="001F396B"/>
    <w:rsid w:val="00204741"/>
    <w:rsid w:val="00210721"/>
    <w:rsid w:val="002118F6"/>
    <w:rsid w:val="00215B7E"/>
    <w:rsid w:val="002163C0"/>
    <w:rsid w:val="0021737F"/>
    <w:rsid w:val="00221CDF"/>
    <w:rsid w:val="0023339B"/>
    <w:rsid w:val="0024496F"/>
    <w:rsid w:val="0024546F"/>
    <w:rsid w:val="00251328"/>
    <w:rsid w:val="002521C1"/>
    <w:rsid w:val="002610A9"/>
    <w:rsid w:val="002653C2"/>
    <w:rsid w:val="00274F4E"/>
    <w:rsid w:val="00275471"/>
    <w:rsid w:val="00283565"/>
    <w:rsid w:val="00285183"/>
    <w:rsid w:val="0029075B"/>
    <w:rsid w:val="002918DE"/>
    <w:rsid w:val="00291A66"/>
    <w:rsid w:val="0029220D"/>
    <w:rsid w:val="002A2BBE"/>
    <w:rsid w:val="002A2C5F"/>
    <w:rsid w:val="002A5150"/>
    <w:rsid w:val="002A566C"/>
    <w:rsid w:val="002A6A4C"/>
    <w:rsid w:val="002B379D"/>
    <w:rsid w:val="002B44DA"/>
    <w:rsid w:val="002C21A3"/>
    <w:rsid w:val="002C43AA"/>
    <w:rsid w:val="002C512F"/>
    <w:rsid w:val="002C6EFE"/>
    <w:rsid w:val="002D0216"/>
    <w:rsid w:val="002D1A87"/>
    <w:rsid w:val="002D25F9"/>
    <w:rsid w:val="002D4BE9"/>
    <w:rsid w:val="002F1104"/>
    <w:rsid w:val="002F2822"/>
    <w:rsid w:val="002F3080"/>
    <w:rsid w:val="002F6211"/>
    <w:rsid w:val="002F7E40"/>
    <w:rsid w:val="00300FA3"/>
    <w:rsid w:val="00303C35"/>
    <w:rsid w:val="00304D05"/>
    <w:rsid w:val="00305C45"/>
    <w:rsid w:val="00312DA6"/>
    <w:rsid w:val="00313FBA"/>
    <w:rsid w:val="00320AF0"/>
    <w:rsid w:val="0033369E"/>
    <w:rsid w:val="00350E9F"/>
    <w:rsid w:val="00353ACF"/>
    <w:rsid w:val="00374E31"/>
    <w:rsid w:val="003877CA"/>
    <w:rsid w:val="003952CE"/>
    <w:rsid w:val="00396C28"/>
    <w:rsid w:val="003A50D9"/>
    <w:rsid w:val="003A56BA"/>
    <w:rsid w:val="003B7AAB"/>
    <w:rsid w:val="003C0E47"/>
    <w:rsid w:val="003C1BFF"/>
    <w:rsid w:val="003C3DEB"/>
    <w:rsid w:val="003D0C6C"/>
    <w:rsid w:val="003D4968"/>
    <w:rsid w:val="003D5B7F"/>
    <w:rsid w:val="003D6634"/>
    <w:rsid w:val="003E0404"/>
    <w:rsid w:val="003E118D"/>
    <w:rsid w:val="003E5CB2"/>
    <w:rsid w:val="003F562A"/>
    <w:rsid w:val="00403CB9"/>
    <w:rsid w:val="00407F6D"/>
    <w:rsid w:val="00411829"/>
    <w:rsid w:val="00412AFD"/>
    <w:rsid w:val="004133A8"/>
    <w:rsid w:val="00414784"/>
    <w:rsid w:val="00422311"/>
    <w:rsid w:val="00422CDC"/>
    <w:rsid w:val="004317EA"/>
    <w:rsid w:val="0043388D"/>
    <w:rsid w:val="0044148C"/>
    <w:rsid w:val="00446398"/>
    <w:rsid w:val="00452F9D"/>
    <w:rsid w:val="0046415A"/>
    <w:rsid w:val="004923C1"/>
    <w:rsid w:val="00496775"/>
    <w:rsid w:val="004A0254"/>
    <w:rsid w:val="004A4C92"/>
    <w:rsid w:val="004B46D9"/>
    <w:rsid w:val="004F4705"/>
    <w:rsid w:val="004F5E4F"/>
    <w:rsid w:val="00502A0A"/>
    <w:rsid w:val="00504E8D"/>
    <w:rsid w:val="005050EE"/>
    <w:rsid w:val="0051071D"/>
    <w:rsid w:val="005159B7"/>
    <w:rsid w:val="005179AD"/>
    <w:rsid w:val="00517F21"/>
    <w:rsid w:val="00523D20"/>
    <w:rsid w:val="005247A5"/>
    <w:rsid w:val="0052706F"/>
    <w:rsid w:val="005279E4"/>
    <w:rsid w:val="00527A50"/>
    <w:rsid w:val="00530C09"/>
    <w:rsid w:val="00537A32"/>
    <w:rsid w:val="00542DE9"/>
    <w:rsid w:val="00542E84"/>
    <w:rsid w:val="00550360"/>
    <w:rsid w:val="00562C02"/>
    <w:rsid w:val="00563064"/>
    <w:rsid w:val="00594324"/>
    <w:rsid w:val="00596313"/>
    <w:rsid w:val="005A0184"/>
    <w:rsid w:val="005B1884"/>
    <w:rsid w:val="005B4574"/>
    <w:rsid w:val="005C1BB7"/>
    <w:rsid w:val="005F3548"/>
    <w:rsid w:val="006068B4"/>
    <w:rsid w:val="00617956"/>
    <w:rsid w:val="00623765"/>
    <w:rsid w:val="00626A3F"/>
    <w:rsid w:val="00627881"/>
    <w:rsid w:val="006367A9"/>
    <w:rsid w:val="00637097"/>
    <w:rsid w:val="00642BB6"/>
    <w:rsid w:val="00647FA3"/>
    <w:rsid w:val="0066444F"/>
    <w:rsid w:val="00667C81"/>
    <w:rsid w:val="006809BC"/>
    <w:rsid w:val="00682667"/>
    <w:rsid w:val="006961F0"/>
    <w:rsid w:val="006A094F"/>
    <w:rsid w:val="006A7391"/>
    <w:rsid w:val="006A739D"/>
    <w:rsid w:val="006C196D"/>
    <w:rsid w:val="006E7A46"/>
    <w:rsid w:val="006F38F7"/>
    <w:rsid w:val="0070200F"/>
    <w:rsid w:val="00705B40"/>
    <w:rsid w:val="00713942"/>
    <w:rsid w:val="00714838"/>
    <w:rsid w:val="007178AB"/>
    <w:rsid w:val="00720E60"/>
    <w:rsid w:val="00723155"/>
    <w:rsid w:val="0072576F"/>
    <w:rsid w:val="00726AB6"/>
    <w:rsid w:val="00734448"/>
    <w:rsid w:val="00750FB4"/>
    <w:rsid w:val="00767AA8"/>
    <w:rsid w:val="007712FE"/>
    <w:rsid w:val="00782D3D"/>
    <w:rsid w:val="007846E5"/>
    <w:rsid w:val="007A388B"/>
    <w:rsid w:val="007A70E6"/>
    <w:rsid w:val="007B03F2"/>
    <w:rsid w:val="007B0CB0"/>
    <w:rsid w:val="007B2DB0"/>
    <w:rsid w:val="007C3F39"/>
    <w:rsid w:val="007C75B4"/>
    <w:rsid w:val="007D7438"/>
    <w:rsid w:val="007E2D2C"/>
    <w:rsid w:val="007E46F1"/>
    <w:rsid w:val="007E475C"/>
    <w:rsid w:val="007F4E89"/>
    <w:rsid w:val="008030C3"/>
    <w:rsid w:val="00811B89"/>
    <w:rsid w:val="00816686"/>
    <w:rsid w:val="0082007C"/>
    <w:rsid w:val="0082041E"/>
    <w:rsid w:val="008206C1"/>
    <w:rsid w:val="00821E30"/>
    <w:rsid w:val="0083184F"/>
    <w:rsid w:val="0083232B"/>
    <w:rsid w:val="00840898"/>
    <w:rsid w:val="00845489"/>
    <w:rsid w:val="008523EE"/>
    <w:rsid w:val="00852DE4"/>
    <w:rsid w:val="00861450"/>
    <w:rsid w:val="00865E24"/>
    <w:rsid w:val="0087702E"/>
    <w:rsid w:val="0087763E"/>
    <w:rsid w:val="008803A4"/>
    <w:rsid w:val="008836F2"/>
    <w:rsid w:val="008933AB"/>
    <w:rsid w:val="008A1360"/>
    <w:rsid w:val="008B2118"/>
    <w:rsid w:val="008B7A95"/>
    <w:rsid w:val="008C1A20"/>
    <w:rsid w:val="008D0E78"/>
    <w:rsid w:val="008D2FF4"/>
    <w:rsid w:val="008D58EC"/>
    <w:rsid w:val="008D7A9E"/>
    <w:rsid w:val="008E0F81"/>
    <w:rsid w:val="008E68B0"/>
    <w:rsid w:val="008F1C90"/>
    <w:rsid w:val="008F7ECC"/>
    <w:rsid w:val="009010C3"/>
    <w:rsid w:val="009063C7"/>
    <w:rsid w:val="0090678A"/>
    <w:rsid w:val="00910462"/>
    <w:rsid w:val="00912A06"/>
    <w:rsid w:val="00917F99"/>
    <w:rsid w:val="009203FA"/>
    <w:rsid w:val="00934FA6"/>
    <w:rsid w:val="009355BA"/>
    <w:rsid w:val="00936F1A"/>
    <w:rsid w:val="0094133F"/>
    <w:rsid w:val="00955B0D"/>
    <w:rsid w:val="00956512"/>
    <w:rsid w:val="00962A8C"/>
    <w:rsid w:val="009704A2"/>
    <w:rsid w:val="00975F09"/>
    <w:rsid w:val="00977CA7"/>
    <w:rsid w:val="0099695D"/>
    <w:rsid w:val="009A0025"/>
    <w:rsid w:val="009A2752"/>
    <w:rsid w:val="009A5D09"/>
    <w:rsid w:val="009B1FAD"/>
    <w:rsid w:val="009B6923"/>
    <w:rsid w:val="009C11B2"/>
    <w:rsid w:val="009D0924"/>
    <w:rsid w:val="009D6F1E"/>
    <w:rsid w:val="009E45D3"/>
    <w:rsid w:val="009E6BDB"/>
    <w:rsid w:val="009F4E95"/>
    <w:rsid w:val="009F7022"/>
    <w:rsid w:val="00A02393"/>
    <w:rsid w:val="00A1170C"/>
    <w:rsid w:val="00A15D87"/>
    <w:rsid w:val="00A227FC"/>
    <w:rsid w:val="00A25AAA"/>
    <w:rsid w:val="00A447C0"/>
    <w:rsid w:val="00A50E2C"/>
    <w:rsid w:val="00A5214D"/>
    <w:rsid w:val="00A56825"/>
    <w:rsid w:val="00A673EB"/>
    <w:rsid w:val="00A741E2"/>
    <w:rsid w:val="00A74737"/>
    <w:rsid w:val="00A77E07"/>
    <w:rsid w:val="00A77EC5"/>
    <w:rsid w:val="00A82BB1"/>
    <w:rsid w:val="00AA0722"/>
    <w:rsid w:val="00AB140A"/>
    <w:rsid w:val="00AB1841"/>
    <w:rsid w:val="00AB2303"/>
    <w:rsid w:val="00AB4527"/>
    <w:rsid w:val="00AC52D6"/>
    <w:rsid w:val="00AC73DE"/>
    <w:rsid w:val="00AC79F2"/>
    <w:rsid w:val="00AD3079"/>
    <w:rsid w:val="00AD504F"/>
    <w:rsid w:val="00AE0D25"/>
    <w:rsid w:val="00AE14FF"/>
    <w:rsid w:val="00AE2FF4"/>
    <w:rsid w:val="00B03285"/>
    <w:rsid w:val="00B071A0"/>
    <w:rsid w:val="00B16835"/>
    <w:rsid w:val="00B16C07"/>
    <w:rsid w:val="00B200ED"/>
    <w:rsid w:val="00B3223C"/>
    <w:rsid w:val="00B34793"/>
    <w:rsid w:val="00B36E39"/>
    <w:rsid w:val="00B411AC"/>
    <w:rsid w:val="00B42FDB"/>
    <w:rsid w:val="00B539A9"/>
    <w:rsid w:val="00B552CE"/>
    <w:rsid w:val="00B6207E"/>
    <w:rsid w:val="00B64F87"/>
    <w:rsid w:val="00B73DA3"/>
    <w:rsid w:val="00B81125"/>
    <w:rsid w:val="00B8112B"/>
    <w:rsid w:val="00B853D4"/>
    <w:rsid w:val="00B863B6"/>
    <w:rsid w:val="00B873EA"/>
    <w:rsid w:val="00B90317"/>
    <w:rsid w:val="00B93F21"/>
    <w:rsid w:val="00BA2A9E"/>
    <w:rsid w:val="00BB4446"/>
    <w:rsid w:val="00BB508E"/>
    <w:rsid w:val="00BB5782"/>
    <w:rsid w:val="00BC35B8"/>
    <w:rsid w:val="00BC70E2"/>
    <w:rsid w:val="00BD76C6"/>
    <w:rsid w:val="00BE0FE4"/>
    <w:rsid w:val="00BE55CA"/>
    <w:rsid w:val="00BF118B"/>
    <w:rsid w:val="00BF28EC"/>
    <w:rsid w:val="00BF7565"/>
    <w:rsid w:val="00C00F88"/>
    <w:rsid w:val="00C05E95"/>
    <w:rsid w:val="00C20809"/>
    <w:rsid w:val="00C3643A"/>
    <w:rsid w:val="00C37B23"/>
    <w:rsid w:val="00C44608"/>
    <w:rsid w:val="00C574EE"/>
    <w:rsid w:val="00C60D17"/>
    <w:rsid w:val="00C6312D"/>
    <w:rsid w:val="00C70511"/>
    <w:rsid w:val="00C718EB"/>
    <w:rsid w:val="00C71F16"/>
    <w:rsid w:val="00C7527F"/>
    <w:rsid w:val="00C7577F"/>
    <w:rsid w:val="00C801BF"/>
    <w:rsid w:val="00C96E9D"/>
    <w:rsid w:val="00C97050"/>
    <w:rsid w:val="00CA35A8"/>
    <w:rsid w:val="00CA40F5"/>
    <w:rsid w:val="00CA6CB8"/>
    <w:rsid w:val="00CA7960"/>
    <w:rsid w:val="00CA7AEE"/>
    <w:rsid w:val="00CB196D"/>
    <w:rsid w:val="00CB2886"/>
    <w:rsid w:val="00CC7CF0"/>
    <w:rsid w:val="00CD171C"/>
    <w:rsid w:val="00CD304C"/>
    <w:rsid w:val="00CE1075"/>
    <w:rsid w:val="00CE5641"/>
    <w:rsid w:val="00CE5E69"/>
    <w:rsid w:val="00CE7025"/>
    <w:rsid w:val="00CF0DEA"/>
    <w:rsid w:val="00CF15CD"/>
    <w:rsid w:val="00D000AE"/>
    <w:rsid w:val="00D017D3"/>
    <w:rsid w:val="00D06860"/>
    <w:rsid w:val="00D100BD"/>
    <w:rsid w:val="00D118DE"/>
    <w:rsid w:val="00D1195A"/>
    <w:rsid w:val="00D167B1"/>
    <w:rsid w:val="00D25C9A"/>
    <w:rsid w:val="00D3159B"/>
    <w:rsid w:val="00D32B06"/>
    <w:rsid w:val="00D43BBD"/>
    <w:rsid w:val="00D474BF"/>
    <w:rsid w:val="00D52E17"/>
    <w:rsid w:val="00D568FC"/>
    <w:rsid w:val="00D61B59"/>
    <w:rsid w:val="00D6359C"/>
    <w:rsid w:val="00D63914"/>
    <w:rsid w:val="00D758EF"/>
    <w:rsid w:val="00D80D84"/>
    <w:rsid w:val="00D8519B"/>
    <w:rsid w:val="00D86732"/>
    <w:rsid w:val="00D914C6"/>
    <w:rsid w:val="00DA44A9"/>
    <w:rsid w:val="00DA4860"/>
    <w:rsid w:val="00DC502B"/>
    <w:rsid w:val="00DC5A8E"/>
    <w:rsid w:val="00DD1C95"/>
    <w:rsid w:val="00DE752F"/>
    <w:rsid w:val="00DF7E91"/>
    <w:rsid w:val="00E02B6A"/>
    <w:rsid w:val="00E17E07"/>
    <w:rsid w:val="00E2125A"/>
    <w:rsid w:val="00E23670"/>
    <w:rsid w:val="00E24FA2"/>
    <w:rsid w:val="00E256E7"/>
    <w:rsid w:val="00E32DB5"/>
    <w:rsid w:val="00E350AD"/>
    <w:rsid w:val="00E35D6F"/>
    <w:rsid w:val="00E4290A"/>
    <w:rsid w:val="00E44DF1"/>
    <w:rsid w:val="00E47639"/>
    <w:rsid w:val="00E507C2"/>
    <w:rsid w:val="00E51A6D"/>
    <w:rsid w:val="00E5431E"/>
    <w:rsid w:val="00E5449B"/>
    <w:rsid w:val="00E6099A"/>
    <w:rsid w:val="00E60B1D"/>
    <w:rsid w:val="00E67885"/>
    <w:rsid w:val="00E80A45"/>
    <w:rsid w:val="00E828B4"/>
    <w:rsid w:val="00E95022"/>
    <w:rsid w:val="00EA4B29"/>
    <w:rsid w:val="00EA4B99"/>
    <w:rsid w:val="00EA5878"/>
    <w:rsid w:val="00EB0F17"/>
    <w:rsid w:val="00EB164D"/>
    <w:rsid w:val="00EB289B"/>
    <w:rsid w:val="00EB4927"/>
    <w:rsid w:val="00EB783C"/>
    <w:rsid w:val="00EB7BA6"/>
    <w:rsid w:val="00EC0DDC"/>
    <w:rsid w:val="00EC4213"/>
    <w:rsid w:val="00EC6BA3"/>
    <w:rsid w:val="00ED0FAA"/>
    <w:rsid w:val="00EE1065"/>
    <w:rsid w:val="00EE38E7"/>
    <w:rsid w:val="00EE4DAD"/>
    <w:rsid w:val="00EE70E7"/>
    <w:rsid w:val="00EE7B1B"/>
    <w:rsid w:val="00EF616E"/>
    <w:rsid w:val="00F029F3"/>
    <w:rsid w:val="00F02F9B"/>
    <w:rsid w:val="00F0360F"/>
    <w:rsid w:val="00F12C83"/>
    <w:rsid w:val="00F23EFD"/>
    <w:rsid w:val="00F30D26"/>
    <w:rsid w:val="00F40970"/>
    <w:rsid w:val="00F4264F"/>
    <w:rsid w:val="00F43319"/>
    <w:rsid w:val="00F4416D"/>
    <w:rsid w:val="00F531AD"/>
    <w:rsid w:val="00F6008B"/>
    <w:rsid w:val="00F67B7A"/>
    <w:rsid w:val="00F70B6C"/>
    <w:rsid w:val="00F72B07"/>
    <w:rsid w:val="00F72F6C"/>
    <w:rsid w:val="00F73C4B"/>
    <w:rsid w:val="00F74337"/>
    <w:rsid w:val="00F94477"/>
    <w:rsid w:val="00F95033"/>
    <w:rsid w:val="00F95AA4"/>
    <w:rsid w:val="00FD4196"/>
    <w:rsid w:val="00FD5503"/>
    <w:rsid w:val="00FE14C1"/>
    <w:rsid w:val="00FE4D8F"/>
    <w:rsid w:val="00FE4FAD"/>
    <w:rsid w:val="00FE657F"/>
    <w:rsid w:val="00FF041A"/>
    <w:rsid w:val="00FF2308"/>
    <w:rsid w:val="00FF3C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 w:id="2146581575">
      <w:bodyDiv w:val="1"/>
      <w:marLeft w:val="0"/>
      <w:marRight w:val="0"/>
      <w:marTop w:val="0"/>
      <w:marBottom w:val="0"/>
      <w:divBdr>
        <w:top w:val="none" w:sz="0" w:space="0" w:color="auto"/>
        <w:left w:val="none" w:sz="0" w:space="0" w:color="auto"/>
        <w:bottom w:val="none" w:sz="0" w:space="0" w:color="auto"/>
        <w:right w:val="none" w:sz="0" w:space="0" w:color="auto"/>
      </w:divBdr>
      <w:divsChild>
        <w:div w:id="140090008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dfz.bg/bg/prescentar/novini/dfz_izgotvi_indikativen_grafik_s_plashtaniat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D57AA-C717-4C15-AFA5-08CD2CC37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1624</Words>
  <Characters>9259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Mariya Stefanova</cp:lastModifiedBy>
  <cp:revision>2</cp:revision>
  <cp:lastPrinted>2020-09-01T07:25:00Z</cp:lastPrinted>
  <dcterms:created xsi:type="dcterms:W3CDTF">2020-09-01T09:36:00Z</dcterms:created>
  <dcterms:modified xsi:type="dcterms:W3CDTF">2020-09-01T09:36:00Z</dcterms:modified>
</cp:coreProperties>
</file>