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511AA4" w:rsidTr="00F73636">
        <w:tc>
          <w:tcPr>
            <w:tcW w:w="9923" w:type="dxa"/>
            <w:shd w:val="clear" w:color="auto" w:fill="C0C0C0"/>
          </w:tcPr>
          <w:p w:rsidR="001B1430" w:rsidRPr="00511AA4" w:rsidRDefault="001B1430" w:rsidP="00F73636">
            <w:pPr>
              <w:jc w:val="both"/>
              <w:rPr>
                <w:rFonts w:ascii="Arial" w:hAnsi="Arial" w:cs="Arial"/>
                <w:b/>
                <w:i/>
                <w:sz w:val="20"/>
              </w:rPr>
            </w:pPr>
            <w:bookmarkStart w:id="0" w:name="_GoBack"/>
            <w:bookmarkEnd w:id="0"/>
            <w:r w:rsidRPr="00511AA4">
              <w:rPr>
                <w:rFonts w:ascii="Arial" w:hAnsi="Arial" w:cs="Arial"/>
                <w:b/>
                <w:i/>
                <w:sz w:val="20"/>
              </w:rPr>
              <w:t>Директни плащания</w:t>
            </w:r>
          </w:p>
        </w:tc>
      </w:tr>
    </w:tbl>
    <w:p w:rsidR="00FE4D8F" w:rsidRPr="00511AA4" w:rsidRDefault="00FE4D8F" w:rsidP="001B1430">
      <w:pPr>
        <w:jc w:val="both"/>
        <w:rPr>
          <w:rStyle w:val="longtext"/>
          <w:rFonts w:ascii="Arial" w:hAnsi="Arial" w:cs="Arial"/>
          <w:b/>
          <w:sz w:val="20"/>
        </w:rPr>
      </w:pPr>
    </w:p>
    <w:p w:rsidR="00A922B3" w:rsidRPr="0005059E" w:rsidRDefault="00A922B3" w:rsidP="00A922B3">
      <w:pPr>
        <w:jc w:val="both"/>
        <w:rPr>
          <w:rFonts w:ascii="Arial" w:eastAsia="Calibri" w:hAnsi="Arial" w:cs="Arial"/>
          <w:noProof/>
          <w:sz w:val="20"/>
        </w:rPr>
      </w:pPr>
      <w:r w:rsidRPr="0005059E">
        <w:rPr>
          <w:rStyle w:val="longtext"/>
          <w:rFonts w:ascii="Arial" w:hAnsi="Arial" w:cs="Arial"/>
          <w:b/>
          <w:noProof/>
          <w:sz w:val="20"/>
        </w:rPr>
        <w:t>1.</w:t>
      </w:r>
      <w:r w:rsidRPr="0005059E">
        <w:rPr>
          <w:rFonts w:ascii="Arial" w:eastAsia="Calibri" w:hAnsi="Arial" w:cs="Arial"/>
          <w:b/>
          <w:noProof/>
          <w:sz w:val="20"/>
        </w:rPr>
        <w:t xml:space="preserve"> На 9 юли</w:t>
      </w:r>
      <w:r w:rsidR="005C04A0" w:rsidRPr="00B45F4C">
        <w:rPr>
          <w:rFonts w:ascii="Arial" w:eastAsia="Calibri" w:hAnsi="Arial" w:cs="Arial"/>
          <w:b/>
          <w:noProof/>
          <w:sz w:val="20"/>
          <w:lang w:val="ru-RU"/>
        </w:rPr>
        <w:t xml:space="preserve"> 2020 </w:t>
      </w:r>
      <w:r w:rsidR="005C04A0">
        <w:rPr>
          <w:rFonts w:ascii="Arial" w:eastAsia="Calibri" w:hAnsi="Arial" w:cs="Arial"/>
          <w:b/>
          <w:noProof/>
          <w:sz w:val="20"/>
        </w:rPr>
        <w:t>г.</w:t>
      </w:r>
      <w:r w:rsidRPr="0005059E">
        <w:rPr>
          <w:rFonts w:ascii="Arial" w:eastAsia="Calibri" w:hAnsi="Arial" w:cs="Arial"/>
          <w:b/>
          <w:noProof/>
          <w:sz w:val="20"/>
        </w:rPr>
        <w:t xml:space="preserve"> Д</w:t>
      </w:r>
      <w:r w:rsidR="007320F1">
        <w:rPr>
          <w:rFonts w:ascii="Arial" w:eastAsia="Calibri" w:hAnsi="Arial" w:cs="Arial"/>
          <w:b/>
          <w:noProof/>
          <w:sz w:val="20"/>
        </w:rPr>
        <w:t>ържавен фонд</w:t>
      </w:r>
      <w:r w:rsidRPr="0005059E">
        <w:rPr>
          <w:rFonts w:ascii="Arial" w:eastAsia="Calibri" w:hAnsi="Arial" w:cs="Arial"/>
          <w:b/>
          <w:noProof/>
          <w:sz w:val="20"/>
        </w:rPr>
        <w:t xml:space="preserve"> „Земеделие“ започна кръстосани проверки на всички кандидати, подали заявления за подпомагане по схемите и мерките за директните плащания за Кампания 2020 г.</w:t>
      </w:r>
      <w:r w:rsidRPr="0005059E">
        <w:rPr>
          <w:rFonts w:ascii="Arial" w:eastAsia="Calibri" w:hAnsi="Arial" w:cs="Arial"/>
          <w:noProof/>
          <w:sz w:val="20"/>
        </w:rPr>
        <w:t xml:space="preserve"> На проверка подлежат 1 165 445 земеделски парцела с обща площ 3 883 691 хектара, декларирани от 62 451 кандидата. Инспекциите включват геопространствено сравнение на декларираните площи с наличните данни в специализираните регистри на Интегрираната система за администриране и контрол (ИСАК). Съгласно чл. 14, ал. 7 от Наредба 5 от 27.02.2009 г. за условията и реда за подаване на заявления по схеми и мерки за </w:t>
      </w:r>
      <w:r w:rsidRPr="0005059E">
        <w:rPr>
          <w:rFonts w:ascii="Arial" w:eastAsia="Calibri" w:hAnsi="Arial" w:cs="Arial"/>
          <w:bCs/>
          <w:noProof/>
          <w:sz w:val="20"/>
        </w:rPr>
        <w:t>директни плащания</w:t>
      </w:r>
      <w:r w:rsidRPr="0005059E">
        <w:rPr>
          <w:rFonts w:ascii="Arial" w:eastAsia="Calibri" w:hAnsi="Arial" w:cs="Arial"/>
          <w:noProof/>
          <w:sz w:val="20"/>
        </w:rPr>
        <w:t>,</w:t>
      </w:r>
      <w:r w:rsidRPr="0005059E">
        <w:rPr>
          <w:rFonts w:ascii="Arial" w:eastAsia="Calibri" w:hAnsi="Arial" w:cs="Arial"/>
          <w:noProof/>
          <w:color w:val="5E5E5E"/>
          <w:sz w:val="20"/>
        </w:rPr>
        <w:t xml:space="preserve"> </w:t>
      </w:r>
      <w:r w:rsidRPr="0005059E">
        <w:rPr>
          <w:rFonts w:ascii="Arial" w:eastAsia="Calibri" w:hAnsi="Arial" w:cs="Arial"/>
          <w:noProof/>
          <w:sz w:val="20"/>
        </w:rPr>
        <w:t xml:space="preserve"> кандидатите не могат да оттеглят вече подадените си заявления в периода на извършване на кръстосаните проверки. </w:t>
      </w:r>
    </w:p>
    <w:p w:rsidR="001B1430" w:rsidRPr="0005059E" w:rsidRDefault="001B1430" w:rsidP="001B1430">
      <w:pPr>
        <w:jc w:val="both"/>
        <w:rPr>
          <w:rStyle w:val="longtext"/>
          <w:rFonts w:ascii="Arial" w:hAnsi="Arial" w:cs="Arial"/>
          <w:b/>
          <w:noProof/>
          <w:sz w:val="20"/>
        </w:rPr>
      </w:pPr>
    </w:p>
    <w:tbl>
      <w:tblPr>
        <w:tblW w:w="10156" w:type="dxa"/>
        <w:tblInd w:w="108" w:type="dxa"/>
        <w:tblLook w:val="01E0" w:firstRow="1" w:lastRow="1" w:firstColumn="1" w:lastColumn="1" w:noHBand="0" w:noVBand="0"/>
      </w:tblPr>
      <w:tblGrid>
        <w:gridCol w:w="9900"/>
        <w:gridCol w:w="256"/>
      </w:tblGrid>
      <w:tr w:rsidR="001B1430" w:rsidRPr="0005059E" w:rsidTr="00F73636">
        <w:tc>
          <w:tcPr>
            <w:tcW w:w="9900" w:type="dxa"/>
            <w:shd w:val="clear" w:color="auto" w:fill="C0C0C0"/>
            <w:hideMark/>
          </w:tcPr>
          <w:p w:rsidR="001B1430" w:rsidRPr="0005059E" w:rsidRDefault="001B1430" w:rsidP="00F73636">
            <w:pPr>
              <w:tabs>
                <w:tab w:val="left" w:pos="1020"/>
              </w:tabs>
              <w:autoSpaceDE w:val="0"/>
              <w:autoSpaceDN w:val="0"/>
              <w:adjustRightInd w:val="0"/>
              <w:jc w:val="both"/>
              <w:rPr>
                <w:rFonts w:ascii="Arial" w:hAnsi="Arial" w:cs="Arial"/>
                <w:b/>
                <w:i/>
                <w:iCs/>
                <w:noProof/>
                <w:sz w:val="20"/>
              </w:rPr>
            </w:pPr>
            <w:r w:rsidRPr="0005059E">
              <w:rPr>
                <w:rFonts w:ascii="Arial" w:hAnsi="Arial" w:cs="Arial"/>
                <w:b/>
                <w:i/>
                <w:noProof/>
                <w:sz w:val="20"/>
              </w:rPr>
              <w:t>Визия за ОСП след 2020 г.</w:t>
            </w:r>
          </w:p>
        </w:tc>
        <w:tc>
          <w:tcPr>
            <w:tcW w:w="256" w:type="dxa"/>
          </w:tcPr>
          <w:p w:rsidR="001B1430" w:rsidRPr="0005059E" w:rsidRDefault="001B1430" w:rsidP="00F73636">
            <w:pPr>
              <w:jc w:val="both"/>
              <w:rPr>
                <w:rFonts w:ascii="Arial" w:hAnsi="Arial" w:cs="Arial"/>
                <w:b/>
                <w:noProof/>
                <w:sz w:val="20"/>
              </w:rPr>
            </w:pPr>
          </w:p>
        </w:tc>
      </w:tr>
    </w:tbl>
    <w:p w:rsidR="001B1430" w:rsidRPr="0005059E" w:rsidRDefault="002A2BBE" w:rsidP="001B1430">
      <w:pPr>
        <w:jc w:val="both"/>
        <w:rPr>
          <w:rFonts w:ascii="Arial" w:hAnsi="Arial" w:cs="Arial"/>
          <w:b/>
          <w:noProof/>
          <w:sz w:val="20"/>
        </w:rPr>
      </w:pPr>
      <w:r w:rsidRPr="0005059E">
        <w:rPr>
          <w:rFonts w:ascii="Arial" w:hAnsi="Arial" w:cs="Arial"/>
          <w:b/>
          <w:noProof/>
          <w:sz w:val="20"/>
        </w:rPr>
        <w:t xml:space="preserve"> </w:t>
      </w:r>
    </w:p>
    <w:p w:rsidR="00511AA4" w:rsidRPr="0005059E" w:rsidRDefault="00107BDD" w:rsidP="00511AA4">
      <w:pPr>
        <w:shd w:val="clear" w:color="auto" w:fill="FFFFFF"/>
        <w:jc w:val="both"/>
        <w:rPr>
          <w:rFonts w:ascii="Calibri" w:hAnsi="Calibri" w:cs="Calibri"/>
          <w:noProof/>
          <w:color w:val="000000"/>
          <w:szCs w:val="24"/>
        </w:rPr>
      </w:pPr>
      <w:r w:rsidRPr="00B45F4C">
        <w:rPr>
          <w:rFonts w:ascii="Arial" w:hAnsi="Arial" w:cs="Arial"/>
          <w:b/>
          <w:bCs/>
          <w:noProof/>
          <w:color w:val="000000"/>
          <w:sz w:val="20"/>
          <w:lang w:val="ru-RU"/>
        </w:rPr>
        <w:t>2</w:t>
      </w:r>
      <w:r w:rsidR="00511AA4" w:rsidRPr="0005059E">
        <w:rPr>
          <w:rFonts w:ascii="Arial" w:hAnsi="Arial" w:cs="Arial"/>
          <w:b/>
          <w:bCs/>
          <w:noProof/>
          <w:color w:val="000000"/>
          <w:sz w:val="20"/>
        </w:rPr>
        <w:t>. Г</w:t>
      </w:r>
      <w:r w:rsidR="001F2BC1">
        <w:rPr>
          <w:rFonts w:ascii="Arial" w:hAnsi="Arial" w:cs="Arial"/>
          <w:b/>
          <w:bCs/>
          <w:noProof/>
          <w:color w:val="000000"/>
          <w:sz w:val="20"/>
        </w:rPr>
        <w:t xml:space="preserve">енералният </w:t>
      </w:r>
      <w:r w:rsidR="00511AA4" w:rsidRPr="0005059E">
        <w:rPr>
          <w:rFonts w:ascii="Arial" w:hAnsi="Arial" w:cs="Arial"/>
          <w:b/>
          <w:bCs/>
          <w:noProof/>
          <w:color w:val="000000"/>
          <w:sz w:val="20"/>
        </w:rPr>
        <w:t xml:space="preserve">директор на ГД „Земеделие и развитие на селските райони“ на ЕК инициира среща с </w:t>
      </w:r>
      <w:r w:rsidR="001F2BC1">
        <w:rPr>
          <w:rFonts w:ascii="Arial" w:hAnsi="Arial" w:cs="Arial"/>
          <w:b/>
          <w:bCs/>
          <w:noProof/>
          <w:color w:val="000000"/>
          <w:sz w:val="20"/>
        </w:rPr>
        <w:t>държавите членки</w:t>
      </w:r>
      <w:r w:rsidR="00511AA4" w:rsidRPr="0005059E">
        <w:rPr>
          <w:rFonts w:ascii="Arial" w:hAnsi="Arial" w:cs="Arial"/>
          <w:b/>
          <w:bCs/>
          <w:noProof/>
          <w:color w:val="000000"/>
          <w:sz w:val="20"/>
        </w:rPr>
        <w:t xml:space="preserve"> за стартирането на структуриран диалог </w:t>
      </w:r>
      <w:r w:rsidR="001F2BC1">
        <w:rPr>
          <w:rFonts w:ascii="Arial" w:hAnsi="Arial" w:cs="Arial"/>
          <w:b/>
          <w:bCs/>
          <w:noProof/>
          <w:color w:val="000000"/>
          <w:sz w:val="20"/>
        </w:rPr>
        <w:t>за</w:t>
      </w:r>
      <w:r w:rsidR="00511AA4" w:rsidRPr="0005059E">
        <w:rPr>
          <w:rFonts w:ascii="Arial" w:hAnsi="Arial" w:cs="Arial"/>
          <w:b/>
          <w:bCs/>
          <w:noProof/>
          <w:color w:val="000000"/>
          <w:sz w:val="20"/>
        </w:rPr>
        <w:t xml:space="preserve"> обвързване на целите, поставени в страт</w:t>
      </w:r>
      <w:r w:rsidR="001F2BC1">
        <w:rPr>
          <w:rFonts w:ascii="Arial" w:hAnsi="Arial" w:cs="Arial"/>
          <w:b/>
          <w:bCs/>
          <w:noProof/>
          <w:color w:val="000000"/>
          <w:sz w:val="20"/>
        </w:rPr>
        <w:t>егията „От фермата до трапезата“</w:t>
      </w:r>
      <w:r w:rsidR="00511AA4" w:rsidRPr="0005059E">
        <w:rPr>
          <w:rFonts w:ascii="Arial" w:hAnsi="Arial" w:cs="Arial"/>
          <w:b/>
          <w:bCs/>
          <w:noProof/>
          <w:color w:val="000000"/>
          <w:sz w:val="20"/>
        </w:rPr>
        <w:t xml:space="preserve"> и Стратегията за биоразнообразие</w:t>
      </w:r>
      <w:r w:rsidR="00BE73AC">
        <w:rPr>
          <w:rFonts w:ascii="Arial" w:hAnsi="Arial" w:cs="Arial"/>
          <w:b/>
          <w:bCs/>
          <w:noProof/>
          <w:color w:val="000000"/>
          <w:sz w:val="20"/>
        </w:rPr>
        <w:t>то</w:t>
      </w:r>
      <w:r w:rsidR="00511AA4" w:rsidRPr="0005059E">
        <w:rPr>
          <w:rFonts w:ascii="Arial" w:hAnsi="Arial" w:cs="Arial"/>
          <w:b/>
          <w:bCs/>
          <w:noProof/>
          <w:color w:val="000000"/>
          <w:sz w:val="20"/>
        </w:rPr>
        <w:t xml:space="preserve"> с подготовката на стратегическите планове по</w:t>
      </w:r>
      <w:r w:rsidR="00BE73AC">
        <w:rPr>
          <w:rFonts w:ascii="Arial" w:hAnsi="Arial" w:cs="Arial"/>
          <w:b/>
          <w:bCs/>
          <w:noProof/>
          <w:color w:val="000000"/>
          <w:sz w:val="20"/>
        </w:rPr>
        <w:t xml:space="preserve"> </w:t>
      </w:r>
      <w:r w:rsidR="00511AA4" w:rsidRPr="0005059E">
        <w:rPr>
          <w:rFonts w:ascii="Arial" w:hAnsi="Arial" w:cs="Arial"/>
          <w:b/>
          <w:bCs/>
          <w:noProof/>
          <w:color w:val="000000"/>
          <w:sz w:val="20"/>
        </w:rPr>
        <w:t>ОСП</w:t>
      </w:r>
      <w:r w:rsidR="00BE73AC">
        <w:rPr>
          <w:rFonts w:ascii="Arial" w:hAnsi="Arial" w:cs="Arial"/>
          <w:b/>
          <w:bCs/>
          <w:noProof/>
          <w:color w:val="000000"/>
          <w:sz w:val="20"/>
        </w:rPr>
        <w:t xml:space="preserve"> </w:t>
      </w:r>
      <w:r w:rsidR="00511AA4" w:rsidRPr="0005059E">
        <w:rPr>
          <w:rFonts w:ascii="Arial" w:hAnsi="Arial" w:cs="Arial"/>
          <w:b/>
          <w:bCs/>
          <w:noProof/>
          <w:color w:val="000000"/>
          <w:sz w:val="20"/>
        </w:rPr>
        <w:t>на ДЧ. </w:t>
      </w:r>
      <w:r w:rsidR="00511AA4" w:rsidRPr="0005059E">
        <w:rPr>
          <w:rFonts w:ascii="Arial" w:hAnsi="Arial" w:cs="Arial"/>
          <w:noProof/>
          <w:color w:val="000000"/>
          <w:sz w:val="20"/>
        </w:rPr>
        <w:t>Срещата се проведе на 09.07.2020 чрез видео връзка. Съгласно плана за действие към стратегията „От фермата до трапезата“</w:t>
      </w:r>
      <w:r w:rsidR="00E236D7">
        <w:rPr>
          <w:rFonts w:ascii="Arial" w:hAnsi="Arial" w:cs="Arial"/>
          <w:noProof/>
          <w:color w:val="000000"/>
          <w:sz w:val="20"/>
        </w:rPr>
        <w:t>,</w:t>
      </w:r>
      <w:r w:rsidR="00511AA4" w:rsidRPr="0005059E">
        <w:rPr>
          <w:rFonts w:ascii="Arial" w:hAnsi="Arial" w:cs="Arial"/>
          <w:noProof/>
          <w:color w:val="000000"/>
          <w:sz w:val="20"/>
        </w:rPr>
        <w:t xml:space="preserve"> ЕК следва да даде индивидуализирани препоръки на ДЧ, адресиращи 9-те специфични цели на ОСП</w:t>
      </w:r>
      <w:r w:rsidR="00E236D7">
        <w:rPr>
          <w:rFonts w:ascii="Arial" w:hAnsi="Arial" w:cs="Arial"/>
          <w:noProof/>
          <w:color w:val="000000"/>
          <w:sz w:val="20"/>
        </w:rPr>
        <w:t>, с оглед определяне на</w:t>
      </w:r>
      <w:r w:rsidR="00511AA4" w:rsidRPr="0005059E">
        <w:rPr>
          <w:rFonts w:ascii="Arial" w:hAnsi="Arial" w:cs="Arial"/>
          <w:noProof/>
          <w:color w:val="000000"/>
          <w:sz w:val="20"/>
        </w:rPr>
        <w:t xml:space="preserve"> посоката, в която стратегическият план трябва да реализира целите на ОСП</w:t>
      </w:r>
      <w:r w:rsidR="00E236D7">
        <w:rPr>
          <w:rFonts w:ascii="Arial" w:hAnsi="Arial" w:cs="Arial"/>
          <w:noProof/>
          <w:color w:val="000000"/>
          <w:sz w:val="20"/>
        </w:rPr>
        <w:t>. С</w:t>
      </w:r>
      <w:r w:rsidR="00511AA4" w:rsidRPr="0005059E">
        <w:rPr>
          <w:rFonts w:ascii="Arial" w:hAnsi="Arial" w:cs="Arial"/>
          <w:noProof/>
          <w:color w:val="000000"/>
          <w:sz w:val="20"/>
        </w:rPr>
        <w:t xml:space="preserve">ъщевременно </w:t>
      </w:r>
      <w:r w:rsidR="00E236D7">
        <w:rPr>
          <w:rFonts w:ascii="Arial" w:hAnsi="Arial" w:cs="Arial"/>
          <w:noProof/>
          <w:color w:val="000000"/>
          <w:sz w:val="20"/>
        </w:rPr>
        <w:t xml:space="preserve">стратегическият план трябва да </w:t>
      </w:r>
      <w:r w:rsidR="00511AA4" w:rsidRPr="0005059E">
        <w:rPr>
          <w:rFonts w:ascii="Arial" w:hAnsi="Arial" w:cs="Arial"/>
          <w:noProof/>
          <w:color w:val="000000"/>
          <w:sz w:val="20"/>
        </w:rPr>
        <w:t>допринесе за реализирането на целите на Зеления пакт, като се осигури гъвкавост за ДЧ да определят конкретни</w:t>
      </w:r>
      <w:r w:rsidR="00E236D7">
        <w:rPr>
          <w:rFonts w:ascii="Arial" w:hAnsi="Arial" w:cs="Arial"/>
          <w:noProof/>
          <w:color w:val="000000"/>
          <w:sz w:val="20"/>
        </w:rPr>
        <w:t>те</w:t>
      </w:r>
      <w:r w:rsidR="00511AA4" w:rsidRPr="0005059E">
        <w:rPr>
          <w:rFonts w:ascii="Arial" w:hAnsi="Arial" w:cs="Arial"/>
          <w:noProof/>
          <w:color w:val="000000"/>
          <w:sz w:val="20"/>
        </w:rPr>
        <w:t xml:space="preserve"> национални стойности и начина за тяхн</w:t>
      </w:r>
      <w:r w:rsidR="00E236D7">
        <w:rPr>
          <w:rFonts w:ascii="Arial" w:hAnsi="Arial" w:cs="Arial"/>
          <w:noProof/>
          <w:color w:val="000000"/>
          <w:sz w:val="20"/>
        </w:rPr>
        <w:t>ото достигане. ЕК отбеляза, че с</w:t>
      </w:r>
      <w:r w:rsidR="00511AA4" w:rsidRPr="0005059E">
        <w:rPr>
          <w:rFonts w:ascii="Arial" w:hAnsi="Arial" w:cs="Arial"/>
          <w:noProof/>
          <w:color w:val="000000"/>
          <w:sz w:val="20"/>
        </w:rPr>
        <w:t>тратегиите „От фермата до трапезата“ и за биоразнообразието показват значението на земеделието за реализиране на екологичните амбиции на ЕС. ЕК обясни двата аспекта на бъдещия диалог:  1) Препоръки на ЕК, които ще адресират всички</w:t>
      </w:r>
      <w:r w:rsidR="00E236D7">
        <w:rPr>
          <w:rFonts w:ascii="Arial" w:hAnsi="Arial" w:cs="Arial"/>
          <w:noProof/>
          <w:color w:val="000000"/>
          <w:sz w:val="20"/>
        </w:rPr>
        <w:t>те</w:t>
      </w:r>
      <w:r w:rsidR="00511AA4" w:rsidRPr="0005059E">
        <w:rPr>
          <w:rFonts w:ascii="Arial" w:hAnsi="Arial" w:cs="Arial"/>
          <w:noProof/>
          <w:color w:val="000000"/>
          <w:sz w:val="20"/>
        </w:rPr>
        <w:t xml:space="preserve"> 9 цели на ОСП, но със специално внимание на елементите, свързани със стратегиите „От фермата до трапезата„ и </w:t>
      </w:r>
      <w:r w:rsidR="00E236D7">
        <w:rPr>
          <w:rFonts w:ascii="Arial" w:hAnsi="Arial" w:cs="Arial"/>
          <w:noProof/>
          <w:color w:val="000000"/>
          <w:sz w:val="20"/>
        </w:rPr>
        <w:t xml:space="preserve">за </w:t>
      </w:r>
      <w:r w:rsidR="00511AA4" w:rsidRPr="0005059E">
        <w:rPr>
          <w:rFonts w:ascii="Arial" w:hAnsi="Arial" w:cs="Arial"/>
          <w:noProof/>
          <w:color w:val="000000"/>
          <w:sz w:val="20"/>
        </w:rPr>
        <w:t>биоразнообразието. Препоръките ще бъдат специфични, свързани с целите на Зеления пакт. Ще бъд</w:t>
      </w:r>
      <w:r w:rsidR="00E236D7">
        <w:rPr>
          <w:rFonts w:ascii="Arial" w:hAnsi="Arial" w:cs="Arial"/>
          <w:noProof/>
          <w:color w:val="000000"/>
          <w:sz w:val="20"/>
        </w:rPr>
        <w:t>е</w:t>
      </w:r>
      <w:r w:rsidR="00511AA4" w:rsidRPr="0005059E">
        <w:rPr>
          <w:rFonts w:ascii="Arial" w:hAnsi="Arial" w:cs="Arial"/>
          <w:noProof/>
          <w:color w:val="000000"/>
          <w:sz w:val="20"/>
        </w:rPr>
        <w:t xml:space="preserve"> взет</w:t>
      </w:r>
      <w:r w:rsidR="00E236D7">
        <w:rPr>
          <w:rFonts w:ascii="Arial" w:hAnsi="Arial" w:cs="Arial"/>
          <w:noProof/>
          <w:color w:val="000000"/>
          <w:sz w:val="20"/>
        </w:rPr>
        <w:t>о</w:t>
      </w:r>
      <w:r w:rsidR="00511AA4" w:rsidRPr="0005059E">
        <w:rPr>
          <w:rFonts w:ascii="Arial" w:hAnsi="Arial" w:cs="Arial"/>
          <w:noProof/>
          <w:color w:val="000000"/>
          <w:sz w:val="20"/>
        </w:rPr>
        <w:t xml:space="preserve"> предвид постигнатото до момента от ДЧ в областта на околната среда и климата, ще се отразят спецификите на държавите, като се осигури равно третиране; 2) Анализ на ситуацията в ДЧ, на базата на наличните данни, включително SWOT анализите за целите на стратегическите планове. В рамките на диалога ще се проведат двустранни срещи преди и след предоставянето на препоръките. ЕК счита, че трябва да се разглеждат всички аспекти на устойчивостта – екологична, икономическа, социална. ОСП плановете се очаква да допринесат съществено за Зеления пакт. ДЧ приветстваха подхода за провеждане на двустранен диалог, но поискаха препоръките на ЕК да останат с незадължителен характер и да бъдат предоставени в условията на прозрачност и възможност за обсъждане на ниво ЕС.</w:t>
      </w:r>
    </w:p>
    <w:p w:rsidR="00511AA4" w:rsidRPr="0005059E" w:rsidRDefault="00511AA4" w:rsidP="00511AA4">
      <w:pPr>
        <w:rPr>
          <w:noProof/>
        </w:rPr>
      </w:pPr>
    </w:p>
    <w:tbl>
      <w:tblPr>
        <w:tblW w:w="10159" w:type="dxa"/>
        <w:tblInd w:w="108" w:type="dxa"/>
        <w:tblLook w:val="01E0" w:firstRow="1" w:lastRow="1" w:firstColumn="1" w:lastColumn="1" w:noHBand="0" w:noVBand="0"/>
      </w:tblPr>
      <w:tblGrid>
        <w:gridCol w:w="9923"/>
        <w:gridCol w:w="236"/>
      </w:tblGrid>
      <w:tr w:rsidR="001B1430" w:rsidRPr="0005059E" w:rsidTr="00F73636">
        <w:tc>
          <w:tcPr>
            <w:tcW w:w="9923" w:type="dxa"/>
            <w:shd w:val="clear" w:color="auto" w:fill="C0C0C0"/>
            <w:hideMark/>
          </w:tcPr>
          <w:p w:rsidR="001B1430" w:rsidRPr="0005059E" w:rsidRDefault="001B1430" w:rsidP="00F73636">
            <w:pPr>
              <w:jc w:val="both"/>
              <w:rPr>
                <w:rStyle w:val="longtext"/>
                <w:rFonts w:ascii="Arial" w:hAnsi="Arial" w:cs="Arial"/>
                <w:b/>
                <w:i/>
                <w:noProof/>
                <w:sz w:val="20"/>
              </w:rPr>
            </w:pPr>
            <w:r w:rsidRPr="0005059E">
              <w:rPr>
                <w:rStyle w:val="longtext"/>
                <w:rFonts w:ascii="Arial" w:hAnsi="Arial" w:cs="Arial"/>
                <w:b/>
                <w:i/>
                <w:noProof/>
                <w:sz w:val="20"/>
              </w:rPr>
              <w:t>Още от ЕС и света</w:t>
            </w:r>
          </w:p>
        </w:tc>
        <w:tc>
          <w:tcPr>
            <w:tcW w:w="236" w:type="dxa"/>
          </w:tcPr>
          <w:p w:rsidR="001B1430" w:rsidRPr="0005059E" w:rsidRDefault="001B1430" w:rsidP="00F73636">
            <w:pPr>
              <w:jc w:val="both"/>
              <w:rPr>
                <w:rStyle w:val="longtext"/>
                <w:rFonts w:ascii="Arial" w:hAnsi="Arial" w:cs="Arial"/>
                <w:b/>
                <w:noProof/>
                <w:sz w:val="20"/>
              </w:rPr>
            </w:pPr>
          </w:p>
        </w:tc>
      </w:tr>
    </w:tbl>
    <w:p w:rsidR="001B1430" w:rsidRPr="0005059E" w:rsidRDefault="001B1430" w:rsidP="001B14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213ACC" w:rsidRDefault="00107BDD" w:rsidP="00213ACC">
      <w:pPr>
        <w:spacing w:after="160" w:line="259" w:lineRule="auto"/>
        <w:jc w:val="both"/>
        <w:rPr>
          <w:rFonts w:ascii="Arial" w:eastAsia="Calibri" w:hAnsi="Arial" w:cs="Arial"/>
          <w:noProof/>
          <w:sz w:val="20"/>
        </w:rPr>
      </w:pPr>
      <w:r w:rsidRPr="00B45F4C">
        <w:rPr>
          <w:rFonts w:ascii="Arial" w:eastAsia="Calibri" w:hAnsi="Arial" w:cs="Arial"/>
          <w:b/>
          <w:noProof/>
          <w:sz w:val="20"/>
          <w:lang w:val="ru-RU"/>
        </w:rPr>
        <w:t>3</w:t>
      </w:r>
      <w:r w:rsidR="00213ACC" w:rsidRPr="0005059E">
        <w:rPr>
          <w:rFonts w:ascii="Arial" w:eastAsia="Calibri" w:hAnsi="Arial" w:cs="Arial"/>
          <w:b/>
          <w:noProof/>
          <w:sz w:val="20"/>
        </w:rPr>
        <w:t xml:space="preserve">. Ангела Меркел представи приоритетите на германското председателство пред Европейския парламент на 8 юли 2020 г. </w:t>
      </w:r>
      <w:r w:rsidR="00213ACC" w:rsidRPr="0005059E">
        <w:rPr>
          <w:rFonts w:ascii="Arial" w:eastAsia="Calibri" w:hAnsi="Arial" w:cs="Arial"/>
          <w:noProof/>
          <w:sz w:val="20"/>
        </w:rPr>
        <w:t>Под мотото „Заедно за възстановяването на Европа“, Германското председателство е решено да с</w:t>
      </w:r>
      <w:r w:rsidR="00213ACC">
        <w:rPr>
          <w:rFonts w:ascii="Arial" w:eastAsia="Calibri" w:hAnsi="Arial" w:cs="Arial"/>
          <w:noProof/>
          <w:sz w:val="20"/>
        </w:rPr>
        <w:t>е заеме с предизвикателствата в резултат на</w:t>
      </w:r>
      <w:r w:rsidR="00213ACC" w:rsidRPr="0005059E">
        <w:rPr>
          <w:rFonts w:ascii="Arial" w:eastAsia="Calibri" w:hAnsi="Arial" w:cs="Arial"/>
          <w:noProof/>
          <w:sz w:val="20"/>
        </w:rPr>
        <w:t xml:space="preserve"> пандемията, заяви г-жа Меркел. Тя почерта петте области, върху които Европа трябва да работи, ако иска да излезе единна и силна от настоящата криза: основните права, солидарността и кохезията, климатичните изменения, дигитализацията и ролята на Европа в света. Г-жа Меркел заяви, че Германия е готова да покаже изключителна солидарност, за да направи Европа зелена, иновативна, устойчива, по-дигитална и конкурентноспособна. „Предизвикателството, пред което сме изправени, не би могло да бъде по-изключително</w:t>
      </w:r>
      <w:r w:rsidR="00213ACC">
        <w:rPr>
          <w:rFonts w:ascii="Arial" w:eastAsia="Calibri" w:hAnsi="Arial" w:cs="Arial"/>
          <w:noProof/>
          <w:sz w:val="20"/>
        </w:rPr>
        <w:t>, но н</w:t>
      </w:r>
      <w:r w:rsidR="00213ACC" w:rsidRPr="0005059E">
        <w:rPr>
          <w:rFonts w:ascii="Arial" w:eastAsia="Calibri" w:hAnsi="Arial" w:cs="Arial"/>
          <w:noProof/>
          <w:sz w:val="20"/>
        </w:rPr>
        <w:t>ие ще излезем по-силни благодарение на плана за възстановяване Next Generation EU</w:t>
      </w:r>
      <w:r w:rsidR="00213ACC">
        <w:rPr>
          <w:rFonts w:ascii="Arial" w:eastAsia="Calibri" w:hAnsi="Arial" w:cs="Arial"/>
          <w:noProof/>
          <w:sz w:val="20"/>
        </w:rPr>
        <w:t>“</w:t>
      </w:r>
      <w:r w:rsidR="00213ACC" w:rsidRPr="0005059E">
        <w:rPr>
          <w:rFonts w:ascii="Arial" w:eastAsia="Calibri" w:hAnsi="Arial" w:cs="Arial"/>
          <w:noProof/>
          <w:sz w:val="20"/>
        </w:rPr>
        <w:t>“, каза председателят на Европейската комисия Урсула фон дер Лайен</w:t>
      </w:r>
      <w:r w:rsidR="00213ACC">
        <w:rPr>
          <w:rFonts w:ascii="Arial" w:eastAsia="Calibri" w:hAnsi="Arial" w:cs="Arial"/>
          <w:noProof/>
          <w:sz w:val="20"/>
        </w:rPr>
        <w:t>. Т</w:t>
      </w:r>
      <w:r w:rsidR="00213ACC" w:rsidRPr="0005059E">
        <w:rPr>
          <w:rFonts w:ascii="Arial" w:eastAsia="Calibri" w:hAnsi="Arial" w:cs="Arial"/>
          <w:noProof/>
          <w:sz w:val="20"/>
        </w:rPr>
        <w:t xml:space="preserve">я подчерта, че Европа се нуждае от двете неща- нов дългосрочен бюджет на ЕС (МФР) и план за възстановяване Next Generation EU. </w:t>
      </w:r>
      <w:r w:rsidR="00213ACC">
        <w:rPr>
          <w:rFonts w:ascii="Arial" w:eastAsia="Calibri" w:hAnsi="Arial" w:cs="Arial"/>
          <w:noProof/>
          <w:sz w:val="20"/>
        </w:rPr>
        <w:t xml:space="preserve">Председателят на </w:t>
      </w:r>
      <w:r w:rsidR="00213ACC" w:rsidRPr="006B1360">
        <w:rPr>
          <w:rFonts w:ascii="Arial" w:eastAsia="Calibri" w:hAnsi="Arial" w:cs="Arial"/>
          <w:bCs/>
          <w:noProof/>
          <w:sz w:val="20"/>
        </w:rPr>
        <w:t>Група</w:t>
      </w:r>
      <w:r w:rsidR="00213ACC">
        <w:rPr>
          <w:rFonts w:ascii="Arial" w:eastAsia="Calibri" w:hAnsi="Arial" w:cs="Arial"/>
          <w:bCs/>
          <w:noProof/>
          <w:sz w:val="20"/>
        </w:rPr>
        <w:t>та</w:t>
      </w:r>
      <w:r w:rsidR="00213ACC" w:rsidRPr="006B1360">
        <w:rPr>
          <w:rFonts w:ascii="Arial" w:eastAsia="Calibri" w:hAnsi="Arial" w:cs="Arial"/>
          <w:bCs/>
          <w:noProof/>
          <w:sz w:val="20"/>
        </w:rPr>
        <w:t xml:space="preserve"> на Европейската народна партия</w:t>
      </w:r>
      <w:r w:rsidR="00213ACC">
        <w:rPr>
          <w:rFonts w:ascii="Arial" w:eastAsia="Calibri" w:hAnsi="Arial" w:cs="Arial"/>
          <w:noProof/>
          <w:sz w:val="20"/>
        </w:rPr>
        <w:t xml:space="preserve"> </w:t>
      </w:r>
      <w:r w:rsidR="00213ACC" w:rsidRPr="0005059E">
        <w:rPr>
          <w:rFonts w:ascii="Arial" w:eastAsia="Calibri" w:hAnsi="Arial" w:cs="Arial"/>
          <w:noProof/>
          <w:sz w:val="20"/>
        </w:rPr>
        <w:t>Манфред Вебер каза</w:t>
      </w:r>
      <w:r w:rsidR="00213ACC">
        <w:rPr>
          <w:rFonts w:ascii="Arial" w:eastAsia="Calibri" w:hAnsi="Arial" w:cs="Arial"/>
          <w:noProof/>
          <w:sz w:val="20"/>
        </w:rPr>
        <w:t>,</w:t>
      </w:r>
      <w:r w:rsidR="00213ACC" w:rsidRPr="0005059E">
        <w:rPr>
          <w:rFonts w:ascii="Arial" w:eastAsia="Calibri" w:hAnsi="Arial" w:cs="Arial"/>
          <w:noProof/>
          <w:sz w:val="20"/>
        </w:rPr>
        <w:t xml:space="preserve"> че Европа се „препъва“ от криза в криза заради страха. </w:t>
      </w:r>
      <w:r w:rsidR="00213ACC">
        <w:rPr>
          <w:rFonts w:ascii="Arial" w:eastAsia="Calibri" w:hAnsi="Arial" w:cs="Arial"/>
          <w:noProof/>
          <w:sz w:val="20"/>
        </w:rPr>
        <w:t>„</w:t>
      </w:r>
      <w:r w:rsidR="00213ACC" w:rsidRPr="0005059E">
        <w:rPr>
          <w:rFonts w:ascii="Arial" w:eastAsia="Calibri" w:hAnsi="Arial" w:cs="Arial"/>
          <w:noProof/>
          <w:sz w:val="20"/>
        </w:rPr>
        <w:t xml:space="preserve">Има големи очаквания </w:t>
      </w:r>
      <w:r w:rsidR="00213ACC">
        <w:rPr>
          <w:rFonts w:ascii="Arial" w:eastAsia="Calibri" w:hAnsi="Arial" w:cs="Arial"/>
          <w:noProof/>
          <w:sz w:val="20"/>
        </w:rPr>
        <w:t>към</w:t>
      </w:r>
      <w:r w:rsidR="00213ACC" w:rsidRPr="0005059E">
        <w:rPr>
          <w:rFonts w:ascii="Arial" w:eastAsia="Calibri" w:hAnsi="Arial" w:cs="Arial"/>
          <w:noProof/>
          <w:sz w:val="20"/>
        </w:rPr>
        <w:t xml:space="preserve"> Германското председателство</w:t>
      </w:r>
      <w:r w:rsidR="00213ACC">
        <w:rPr>
          <w:rFonts w:ascii="Arial" w:eastAsia="Calibri" w:hAnsi="Arial" w:cs="Arial"/>
          <w:noProof/>
          <w:sz w:val="20"/>
        </w:rPr>
        <w:t>“</w:t>
      </w:r>
      <w:r w:rsidR="00213ACC" w:rsidRPr="0005059E">
        <w:rPr>
          <w:rFonts w:ascii="Arial" w:eastAsia="Calibri" w:hAnsi="Arial" w:cs="Arial"/>
          <w:noProof/>
          <w:sz w:val="20"/>
        </w:rPr>
        <w:t xml:space="preserve">, продължи той. </w:t>
      </w:r>
      <w:r w:rsidR="00213ACC">
        <w:rPr>
          <w:rFonts w:ascii="Arial" w:eastAsia="Calibri" w:hAnsi="Arial" w:cs="Arial"/>
          <w:noProof/>
          <w:sz w:val="20"/>
        </w:rPr>
        <w:t>„</w:t>
      </w:r>
      <w:r w:rsidR="00213ACC" w:rsidRPr="0005059E">
        <w:rPr>
          <w:rFonts w:ascii="Arial" w:eastAsia="Calibri" w:hAnsi="Arial" w:cs="Arial"/>
          <w:noProof/>
          <w:sz w:val="20"/>
        </w:rPr>
        <w:t>Този месец имаме нужда от решение за фонда за възстановяване“. Ираче Гарсия (</w:t>
      </w:r>
      <w:r w:rsidR="00213ACC">
        <w:rPr>
          <w:rFonts w:ascii="Arial" w:eastAsia="Calibri" w:hAnsi="Arial" w:cs="Arial"/>
          <w:noProof/>
          <w:sz w:val="20"/>
        </w:rPr>
        <w:t xml:space="preserve">Председател на </w:t>
      </w:r>
      <w:r w:rsidR="00213ACC" w:rsidRPr="00B628F8">
        <w:rPr>
          <w:rFonts w:ascii="Arial" w:eastAsia="Calibri" w:hAnsi="Arial" w:cs="Arial"/>
          <w:bCs/>
          <w:noProof/>
          <w:sz w:val="20"/>
        </w:rPr>
        <w:t>Група</w:t>
      </w:r>
      <w:r w:rsidR="00213ACC">
        <w:rPr>
          <w:rFonts w:ascii="Arial" w:eastAsia="Calibri" w:hAnsi="Arial" w:cs="Arial"/>
          <w:bCs/>
          <w:noProof/>
          <w:sz w:val="20"/>
        </w:rPr>
        <w:t>та</w:t>
      </w:r>
      <w:r w:rsidR="00213ACC" w:rsidRPr="00B628F8">
        <w:rPr>
          <w:rFonts w:ascii="Arial" w:eastAsia="Calibri" w:hAnsi="Arial" w:cs="Arial"/>
          <w:bCs/>
          <w:noProof/>
          <w:sz w:val="20"/>
        </w:rPr>
        <w:t xml:space="preserve"> на Прогресивния алианс на социалистите и демократите в Европейския парламент</w:t>
      </w:r>
      <w:r w:rsidR="00213ACC" w:rsidRPr="0005059E">
        <w:rPr>
          <w:rFonts w:ascii="Arial" w:eastAsia="Calibri" w:hAnsi="Arial" w:cs="Arial"/>
          <w:noProof/>
          <w:sz w:val="20"/>
        </w:rPr>
        <w:t xml:space="preserve">) предложи да работи "рамо до рамо" с Германското председателство за преодоляване на различията и разделенията </w:t>
      </w:r>
      <w:r w:rsidR="00213ACC">
        <w:rPr>
          <w:rFonts w:ascii="Arial" w:eastAsia="Calibri" w:hAnsi="Arial" w:cs="Arial"/>
          <w:noProof/>
          <w:sz w:val="20"/>
        </w:rPr>
        <w:t xml:space="preserve">на </w:t>
      </w:r>
      <w:r w:rsidR="00213ACC" w:rsidRPr="0005059E">
        <w:rPr>
          <w:rFonts w:ascii="Arial" w:eastAsia="Calibri" w:hAnsi="Arial" w:cs="Arial"/>
          <w:noProof/>
          <w:sz w:val="20"/>
        </w:rPr>
        <w:t xml:space="preserve">Север-Юг и Изток-Запад в Европа, в полза на гражданите. </w:t>
      </w:r>
      <w:r w:rsidR="00213ACC">
        <w:rPr>
          <w:rFonts w:ascii="Arial" w:eastAsia="Calibri" w:hAnsi="Arial" w:cs="Arial"/>
          <w:noProof/>
          <w:sz w:val="20"/>
        </w:rPr>
        <w:t>„П</w:t>
      </w:r>
      <w:r w:rsidR="00213ACC" w:rsidRPr="0005059E">
        <w:rPr>
          <w:rFonts w:ascii="Arial" w:eastAsia="Calibri" w:hAnsi="Arial" w:cs="Arial"/>
          <w:noProof/>
          <w:sz w:val="20"/>
        </w:rPr>
        <w:t>риоритет трябва да бъде приемането на плана за възстановяване и новата финансова рамка</w:t>
      </w:r>
      <w:r w:rsidR="00213ACC">
        <w:rPr>
          <w:rFonts w:ascii="Arial" w:eastAsia="Calibri" w:hAnsi="Arial" w:cs="Arial"/>
          <w:noProof/>
          <w:sz w:val="20"/>
        </w:rPr>
        <w:t>“</w:t>
      </w:r>
      <w:r w:rsidR="00213ACC" w:rsidRPr="0005059E">
        <w:rPr>
          <w:rFonts w:ascii="Arial" w:eastAsia="Calibri" w:hAnsi="Arial" w:cs="Arial"/>
          <w:noProof/>
          <w:sz w:val="20"/>
        </w:rPr>
        <w:t>,</w:t>
      </w:r>
      <w:r w:rsidR="00213ACC">
        <w:rPr>
          <w:rFonts w:ascii="Arial" w:eastAsia="Calibri" w:hAnsi="Arial" w:cs="Arial"/>
          <w:noProof/>
          <w:sz w:val="20"/>
        </w:rPr>
        <w:t xml:space="preserve"> заяви  Дачиан Чолош (Румъния). </w:t>
      </w:r>
      <w:r w:rsidR="00213ACC" w:rsidRPr="0005059E">
        <w:rPr>
          <w:rFonts w:ascii="Arial" w:eastAsia="Calibri" w:hAnsi="Arial" w:cs="Arial"/>
          <w:noProof/>
          <w:sz w:val="20"/>
        </w:rPr>
        <w:t xml:space="preserve">Йорг Мойтен (Германия) разкритикува канцлера, че подхожда идеологизирано. </w:t>
      </w:r>
      <w:r w:rsidR="00213ACC" w:rsidRPr="0005059E">
        <w:rPr>
          <w:rFonts w:ascii="Arial" w:eastAsia="Calibri" w:hAnsi="Arial" w:cs="Arial"/>
          <w:noProof/>
          <w:sz w:val="20"/>
        </w:rPr>
        <w:lastRenderedPageBreak/>
        <w:t>„Предавате европейската идея и застрашавате бъдещето на следващите поколения“, каза</w:t>
      </w:r>
      <w:r w:rsidR="00213ACC">
        <w:rPr>
          <w:rFonts w:ascii="Arial" w:eastAsia="Calibri" w:hAnsi="Arial" w:cs="Arial"/>
          <w:noProof/>
          <w:sz w:val="20"/>
        </w:rPr>
        <w:t xml:space="preserve"> той, визирайки Зеления пакт и Ф</w:t>
      </w:r>
      <w:r w:rsidR="00213ACC" w:rsidRPr="0005059E">
        <w:rPr>
          <w:rFonts w:ascii="Arial" w:eastAsia="Calibri" w:hAnsi="Arial" w:cs="Arial"/>
          <w:noProof/>
          <w:sz w:val="20"/>
        </w:rPr>
        <w:t>онда за възстановяване.</w:t>
      </w:r>
      <w:r w:rsidR="00213ACC">
        <w:rPr>
          <w:rFonts w:ascii="Arial" w:eastAsia="Calibri" w:hAnsi="Arial" w:cs="Arial"/>
          <w:noProof/>
          <w:sz w:val="20"/>
        </w:rPr>
        <w:t xml:space="preserve"> Ска Келер </w:t>
      </w:r>
      <w:r w:rsidR="00213ACC" w:rsidRPr="0005059E">
        <w:rPr>
          <w:rFonts w:ascii="Arial" w:eastAsia="Calibri" w:hAnsi="Arial" w:cs="Arial"/>
          <w:noProof/>
          <w:sz w:val="20"/>
        </w:rPr>
        <w:t xml:space="preserve">(Германия) заяви, че същата решителност, която ЕС показва срещу COVID-19, трябва да се прилага и по отношение на климатичната криза. </w:t>
      </w:r>
      <w:r w:rsidR="00213ACC">
        <w:rPr>
          <w:rFonts w:ascii="Arial" w:eastAsia="Calibri" w:hAnsi="Arial" w:cs="Arial"/>
          <w:noProof/>
          <w:sz w:val="20"/>
        </w:rPr>
        <w:t>„</w:t>
      </w:r>
      <w:r w:rsidR="00213ACC" w:rsidRPr="0005059E">
        <w:rPr>
          <w:rFonts w:ascii="Arial" w:eastAsia="Calibri" w:hAnsi="Arial" w:cs="Arial"/>
          <w:noProof/>
          <w:sz w:val="20"/>
        </w:rPr>
        <w:t xml:space="preserve">Германското председателство може да даде важен принос, например с амбициозен закон за климата, който </w:t>
      </w:r>
      <w:r w:rsidR="00213ACC">
        <w:rPr>
          <w:rFonts w:ascii="Arial" w:eastAsia="Calibri" w:hAnsi="Arial" w:cs="Arial"/>
          <w:noProof/>
          <w:sz w:val="20"/>
        </w:rPr>
        <w:t>е</w:t>
      </w:r>
      <w:r w:rsidR="00213ACC" w:rsidRPr="0005059E">
        <w:rPr>
          <w:rFonts w:ascii="Arial" w:eastAsia="Calibri" w:hAnsi="Arial" w:cs="Arial"/>
          <w:noProof/>
          <w:sz w:val="20"/>
        </w:rPr>
        <w:t xml:space="preserve"> за намаляване на емисиите на парникови газове с 65% до 2030 г.</w:t>
      </w:r>
      <w:r w:rsidR="00213ACC">
        <w:rPr>
          <w:rFonts w:ascii="Arial" w:eastAsia="Calibri" w:hAnsi="Arial" w:cs="Arial"/>
          <w:noProof/>
          <w:sz w:val="20"/>
        </w:rPr>
        <w:t>“, каза тя.</w:t>
      </w:r>
      <w:r w:rsidR="00213ACC" w:rsidRPr="0005059E">
        <w:rPr>
          <w:rFonts w:ascii="Arial" w:eastAsia="Calibri" w:hAnsi="Arial" w:cs="Arial"/>
          <w:noProof/>
          <w:sz w:val="20"/>
        </w:rPr>
        <w:t xml:space="preserve"> Мартин Ширдеван (Германия) припомни вредните политики на строги бюджетни икономии, прилагани по време на финансовата криза и призова г-жа Меркел да не допуска тази грешка повторно. Той също така призова Германия да направи публични и прозрачни протоколите на Съвета и повече да не блокира предложението за дигитален данък </w:t>
      </w:r>
      <w:r w:rsidR="00213ACC">
        <w:rPr>
          <w:rFonts w:ascii="Arial" w:eastAsia="Calibri" w:hAnsi="Arial" w:cs="Arial"/>
          <w:noProof/>
          <w:sz w:val="20"/>
        </w:rPr>
        <w:t>за</w:t>
      </w:r>
      <w:r w:rsidR="00213ACC" w:rsidRPr="0005059E">
        <w:rPr>
          <w:rFonts w:ascii="Arial" w:eastAsia="Calibri" w:hAnsi="Arial" w:cs="Arial"/>
          <w:noProof/>
          <w:sz w:val="20"/>
        </w:rPr>
        <w:t xml:space="preserve"> големите компании.</w:t>
      </w:r>
    </w:p>
    <w:p w:rsidR="00257581" w:rsidRPr="0005059E" w:rsidRDefault="00107BDD" w:rsidP="00257581">
      <w:pPr>
        <w:spacing w:after="160" w:line="259" w:lineRule="auto"/>
        <w:jc w:val="both"/>
        <w:rPr>
          <w:rFonts w:ascii="Arial" w:eastAsia="Calibri" w:hAnsi="Arial" w:cs="Arial"/>
          <w:noProof/>
          <w:sz w:val="20"/>
        </w:rPr>
      </w:pPr>
      <w:r w:rsidRPr="00B45F4C">
        <w:rPr>
          <w:rFonts w:ascii="Arial" w:eastAsia="Calibri" w:hAnsi="Arial" w:cs="Arial"/>
          <w:b/>
          <w:noProof/>
          <w:sz w:val="20"/>
          <w:lang w:val="ru-RU"/>
        </w:rPr>
        <w:t>4</w:t>
      </w:r>
      <w:r w:rsidR="00257581" w:rsidRPr="0005059E">
        <w:rPr>
          <w:rFonts w:ascii="Arial" w:eastAsia="Calibri" w:hAnsi="Arial" w:cs="Arial"/>
          <w:b/>
          <w:noProof/>
          <w:sz w:val="20"/>
        </w:rPr>
        <w:t xml:space="preserve">. ЕС трябва да осигури достатъчно финансиране, за да прокара своите планове за възстановяване и </w:t>
      </w:r>
      <w:r w:rsidR="00257581">
        <w:rPr>
          <w:rFonts w:ascii="Arial" w:eastAsia="Calibri" w:hAnsi="Arial" w:cs="Arial"/>
          <w:b/>
          <w:noProof/>
          <w:sz w:val="20"/>
        </w:rPr>
        <w:t>да излезе по-силен от кризата с</w:t>
      </w:r>
      <w:r w:rsidR="00257581" w:rsidRPr="0005059E">
        <w:rPr>
          <w:rFonts w:ascii="Arial" w:eastAsia="Calibri" w:hAnsi="Arial" w:cs="Arial"/>
          <w:b/>
          <w:noProof/>
          <w:sz w:val="20"/>
        </w:rPr>
        <w:t xml:space="preserve"> Ковид-19, заявиха евродепутатите по време на пленарно заседание на 8 юли 2020 г.</w:t>
      </w:r>
      <w:r w:rsidR="00257581" w:rsidRPr="0005059E">
        <w:rPr>
          <w:rFonts w:ascii="Arial" w:eastAsia="Calibri" w:hAnsi="Arial" w:cs="Arial"/>
          <w:noProof/>
          <w:sz w:val="20"/>
        </w:rPr>
        <w:t xml:space="preserve"> Дискусията с председателя на Европейския съвет Чарлз Мишел се фокусира върху перспективите на срещата на върха на 17-18 юли държавите</w:t>
      </w:r>
      <w:r w:rsidR="00257581">
        <w:rPr>
          <w:rFonts w:ascii="Arial" w:eastAsia="Calibri" w:hAnsi="Arial" w:cs="Arial"/>
          <w:noProof/>
          <w:sz w:val="20"/>
        </w:rPr>
        <w:t xml:space="preserve"> </w:t>
      </w:r>
      <w:r w:rsidR="00257581" w:rsidRPr="0005059E">
        <w:rPr>
          <w:rFonts w:ascii="Arial" w:eastAsia="Calibri" w:hAnsi="Arial" w:cs="Arial"/>
          <w:noProof/>
          <w:sz w:val="20"/>
        </w:rPr>
        <w:t xml:space="preserve">членки да </w:t>
      </w:r>
      <w:r w:rsidR="00257581">
        <w:rPr>
          <w:rFonts w:ascii="Arial" w:eastAsia="Calibri" w:hAnsi="Arial" w:cs="Arial"/>
          <w:noProof/>
          <w:sz w:val="20"/>
        </w:rPr>
        <w:t>постигнат</w:t>
      </w:r>
      <w:r w:rsidR="00257581" w:rsidRPr="0005059E">
        <w:rPr>
          <w:rFonts w:ascii="Arial" w:eastAsia="Calibri" w:hAnsi="Arial" w:cs="Arial"/>
          <w:noProof/>
          <w:sz w:val="20"/>
        </w:rPr>
        <w:t xml:space="preserve"> споразумение за бюджета на ЕС за 2021-2027 г. и плана за възстановяване от кризата. Европейската комисия предлага пакет от близо 2 трилиона евро, за да помогне на регионите и секторите, които бяха засегнати най-силно от коронавируса</w:t>
      </w:r>
      <w:r w:rsidR="00257581">
        <w:rPr>
          <w:rFonts w:ascii="Arial" w:eastAsia="Calibri" w:hAnsi="Arial" w:cs="Arial"/>
          <w:noProof/>
          <w:sz w:val="20"/>
        </w:rPr>
        <w:t xml:space="preserve"> </w:t>
      </w:r>
      <w:r w:rsidR="00257581" w:rsidRPr="0005059E">
        <w:rPr>
          <w:rFonts w:ascii="Arial" w:eastAsia="Calibri" w:hAnsi="Arial" w:cs="Arial"/>
          <w:noProof/>
          <w:sz w:val="20"/>
        </w:rPr>
        <w:t>и да създаде основите за цифрова и устойчива Европа. Чарлз Мишел информира членовете на ЕП за двустранните си консултации с лидерите на ЕС, които имат за цел да постигнат консенсус между държавите</w:t>
      </w:r>
      <w:r w:rsidR="00257581">
        <w:rPr>
          <w:rFonts w:ascii="Arial" w:eastAsia="Calibri" w:hAnsi="Arial" w:cs="Arial"/>
          <w:noProof/>
          <w:sz w:val="20"/>
        </w:rPr>
        <w:t xml:space="preserve"> </w:t>
      </w:r>
      <w:r w:rsidR="00257581" w:rsidRPr="0005059E">
        <w:rPr>
          <w:rFonts w:ascii="Arial" w:eastAsia="Calibri" w:hAnsi="Arial" w:cs="Arial"/>
          <w:noProof/>
          <w:sz w:val="20"/>
        </w:rPr>
        <w:t>членки.</w:t>
      </w:r>
      <w:r w:rsidR="00257581">
        <w:rPr>
          <w:rFonts w:ascii="Arial" w:eastAsia="Calibri" w:hAnsi="Arial" w:cs="Arial"/>
          <w:noProof/>
          <w:sz w:val="20"/>
        </w:rPr>
        <w:t xml:space="preserve"> </w:t>
      </w:r>
      <w:r w:rsidR="00257581" w:rsidRPr="0005059E">
        <w:rPr>
          <w:rFonts w:ascii="Arial" w:eastAsia="Calibri" w:hAnsi="Arial" w:cs="Arial"/>
          <w:noProof/>
          <w:sz w:val="20"/>
        </w:rPr>
        <w:t>Той каза, че ще излезе с компромисно предложение до края на седмицата, но отбеляза, че все още има съществени разли</w:t>
      </w:r>
      <w:r w:rsidR="00257581">
        <w:rPr>
          <w:rFonts w:ascii="Arial" w:eastAsia="Calibri" w:hAnsi="Arial" w:cs="Arial"/>
          <w:noProof/>
          <w:sz w:val="20"/>
        </w:rPr>
        <w:t>чия</w:t>
      </w:r>
      <w:r w:rsidR="00257581" w:rsidRPr="0005059E">
        <w:rPr>
          <w:rFonts w:ascii="Arial" w:eastAsia="Calibri" w:hAnsi="Arial" w:cs="Arial"/>
          <w:noProof/>
          <w:sz w:val="20"/>
        </w:rPr>
        <w:t xml:space="preserve">. Много от членовете на ЕП подчертаха, че споразумение между лидерите на ЕС, което не осигурява достатъчно финансиране, няма да бъде подкрепено от </w:t>
      </w:r>
      <w:r w:rsidR="00257581">
        <w:rPr>
          <w:rFonts w:ascii="Arial" w:eastAsia="Calibri" w:hAnsi="Arial" w:cs="Arial"/>
          <w:noProof/>
          <w:sz w:val="20"/>
        </w:rPr>
        <w:t>ЕП</w:t>
      </w:r>
      <w:r w:rsidR="00257581" w:rsidRPr="0005059E">
        <w:rPr>
          <w:rFonts w:ascii="Arial" w:eastAsia="Calibri" w:hAnsi="Arial" w:cs="Arial"/>
          <w:noProof/>
          <w:sz w:val="20"/>
        </w:rPr>
        <w:t xml:space="preserve">. Зигфрид Муреджан (ЕНП, Румъния) изрази загриженост, че Европейският съвет не е включил </w:t>
      </w:r>
      <w:r w:rsidR="00257581">
        <w:rPr>
          <w:rFonts w:ascii="Arial" w:eastAsia="Calibri" w:hAnsi="Arial" w:cs="Arial"/>
          <w:noProof/>
          <w:sz w:val="20"/>
        </w:rPr>
        <w:t>Европейския п</w:t>
      </w:r>
      <w:r w:rsidR="00257581" w:rsidRPr="0005059E">
        <w:rPr>
          <w:rFonts w:ascii="Arial" w:eastAsia="Calibri" w:hAnsi="Arial" w:cs="Arial"/>
          <w:noProof/>
          <w:sz w:val="20"/>
        </w:rPr>
        <w:t>арламент в преговорите. „Не можем да се съгласим с вас, защото вие ще предложите по-малък бюджет за Европейския съюз, който трябва да направи повече“, каза той пред президента на Европейския съвет Мишел. Ираче Гарсия Перес (Испания) се изказа срещу идеята, че държавите</w:t>
      </w:r>
      <w:r w:rsidR="00257581">
        <w:rPr>
          <w:rFonts w:ascii="Arial" w:eastAsia="Calibri" w:hAnsi="Arial" w:cs="Arial"/>
          <w:noProof/>
          <w:sz w:val="20"/>
        </w:rPr>
        <w:t xml:space="preserve"> </w:t>
      </w:r>
      <w:r w:rsidR="00257581" w:rsidRPr="0005059E">
        <w:rPr>
          <w:rFonts w:ascii="Arial" w:eastAsia="Calibri" w:hAnsi="Arial" w:cs="Arial"/>
          <w:noProof/>
          <w:sz w:val="20"/>
        </w:rPr>
        <w:t>членки трябва да отговарят на макроикономически условия, за да получат средства за възстановяване. Членовете на Е</w:t>
      </w:r>
      <w:r w:rsidR="00257581">
        <w:rPr>
          <w:rFonts w:ascii="Arial" w:eastAsia="Calibri" w:hAnsi="Arial" w:cs="Arial"/>
          <w:noProof/>
          <w:sz w:val="20"/>
        </w:rPr>
        <w:t>П</w:t>
      </w:r>
      <w:r w:rsidR="00257581" w:rsidRPr="0005059E">
        <w:rPr>
          <w:rFonts w:ascii="Arial" w:eastAsia="Calibri" w:hAnsi="Arial" w:cs="Arial"/>
          <w:noProof/>
          <w:sz w:val="20"/>
        </w:rPr>
        <w:t xml:space="preserve"> призоваха страните от ЕС да се споразумеят за нови ресурси за бюджета на ЕС. Депутатите призоваха лидерите на ЕС да имат предвид мащаба на предизвикателствата, пред които е изправена Европа. „Хората се плашат от сумата на пакета, но честно казано, говорим за 1,5% от БВП за три години, </w:t>
      </w:r>
      <w:r w:rsidR="00257581">
        <w:rPr>
          <w:rFonts w:ascii="Arial" w:eastAsia="Calibri" w:hAnsi="Arial" w:cs="Arial"/>
          <w:noProof/>
          <w:sz w:val="20"/>
        </w:rPr>
        <w:t>а</w:t>
      </w:r>
      <w:r w:rsidR="00257581" w:rsidRPr="0005059E">
        <w:rPr>
          <w:rFonts w:ascii="Arial" w:eastAsia="Calibri" w:hAnsi="Arial" w:cs="Arial"/>
          <w:noProof/>
          <w:sz w:val="20"/>
        </w:rPr>
        <w:t xml:space="preserve"> рецесия</w:t>
      </w:r>
      <w:r w:rsidR="00257581">
        <w:rPr>
          <w:rFonts w:ascii="Arial" w:eastAsia="Calibri" w:hAnsi="Arial" w:cs="Arial"/>
          <w:noProof/>
          <w:sz w:val="20"/>
        </w:rPr>
        <w:t>та</w:t>
      </w:r>
      <w:r w:rsidR="00257581" w:rsidRPr="0005059E">
        <w:rPr>
          <w:rFonts w:ascii="Arial" w:eastAsia="Calibri" w:hAnsi="Arial" w:cs="Arial"/>
          <w:noProof/>
          <w:sz w:val="20"/>
        </w:rPr>
        <w:t xml:space="preserve"> може да бъде 9-10% от БВП“, посочи Филип Ламбертс (Зелени/EFA, Белгия). Расмус Андресен (Зелени/ЕФА, Германия) заяви, че климатът и нормите на закона са приоритети на ЕС. Председателят на бюджетната комисия Йохан Ван Овертвелд (ECR, Белгия) заяви, че европейските институции трябва да се стремят да намалят несигурността за компаниите и гражданите в тези трудни времена. “Европейският съвет трябва да започне работа“, призова Маргарида Маркес (S&amp;D, Португалия), един от водещите евродепутати </w:t>
      </w:r>
      <w:r w:rsidR="00257581">
        <w:rPr>
          <w:rFonts w:ascii="Arial" w:eastAsia="Calibri" w:hAnsi="Arial" w:cs="Arial"/>
          <w:noProof/>
          <w:sz w:val="20"/>
        </w:rPr>
        <w:t>за</w:t>
      </w:r>
      <w:r w:rsidR="00257581" w:rsidRPr="0005059E">
        <w:rPr>
          <w:rFonts w:ascii="Arial" w:eastAsia="Calibri" w:hAnsi="Arial" w:cs="Arial"/>
          <w:noProof/>
          <w:sz w:val="20"/>
        </w:rPr>
        <w:t xml:space="preserve"> дългосрочния бюджет на ЕС. Тя подчерта важността на обсъждан</w:t>
      </w:r>
      <w:r w:rsidR="00257581">
        <w:rPr>
          <w:rFonts w:ascii="Arial" w:eastAsia="Calibri" w:hAnsi="Arial" w:cs="Arial"/>
          <w:noProof/>
          <w:sz w:val="20"/>
        </w:rPr>
        <w:t>е</w:t>
      </w:r>
      <w:r w:rsidR="00257581" w:rsidRPr="0005059E">
        <w:rPr>
          <w:rFonts w:ascii="Arial" w:eastAsia="Calibri" w:hAnsi="Arial" w:cs="Arial"/>
          <w:noProof/>
          <w:sz w:val="20"/>
        </w:rPr>
        <w:t>то: „Фондът за възстановяване е ключът, за да може Европа да излезе от кризата</w:t>
      </w:r>
      <w:r w:rsidR="00257581">
        <w:rPr>
          <w:rFonts w:ascii="Arial" w:eastAsia="Calibri" w:hAnsi="Arial" w:cs="Arial"/>
          <w:noProof/>
          <w:sz w:val="20"/>
        </w:rPr>
        <w:t>“</w:t>
      </w:r>
      <w:r w:rsidR="00257581" w:rsidRPr="0005059E">
        <w:rPr>
          <w:rFonts w:ascii="Arial" w:eastAsia="Calibri" w:hAnsi="Arial" w:cs="Arial"/>
          <w:noProof/>
          <w:sz w:val="20"/>
        </w:rPr>
        <w:t xml:space="preserve">. </w:t>
      </w:r>
      <w:r w:rsidR="00257581">
        <w:rPr>
          <w:rFonts w:ascii="Arial" w:eastAsia="Calibri" w:hAnsi="Arial" w:cs="Arial"/>
          <w:noProof/>
          <w:sz w:val="20"/>
        </w:rPr>
        <w:t>Д</w:t>
      </w:r>
      <w:r w:rsidR="00257581" w:rsidRPr="0005059E">
        <w:rPr>
          <w:rFonts w:ascii="Arial" w:eastAsia="Calibri" w:hAnsi="Arial" w:cs="Arial"/>
          <w:noProof/>
          <w:sz w:val="20"/>
        </w:rPr>
        <w:t>обави, че дългосрочният бюджет на ЕС е „ключът към бъдещето на следващото поколение“.</w:t>
      </w:r>
    </w:p>
    <w:p w:rsidR="002D6CBA" w:rsidRPr="00B45F4C" w:rsidRDefault="00107BDD" w:rsidP="002D6CBA">
      <w:pPr>
        <w:jc w:val="both"/>
        <w:rPr>
          <w:rFonts w:ascii="Arial" w:eastAsia="Calibri" w:hAnsi="Arial" w:cs="Arial"/>
          <w:noProof/>
          <w:sz w:val="20"/>
          <w:lang w:val="ru-RU"/>
        </w:rPr>
      </w:pPr>
      <w:r w:rsidRPr="00B45F4C">
        <w:rPr>
          <w:rStyle w:val="longtext"/>
          <w:rFonts w:ascii="Arial" w:hAnsi="Arial" w:cs="Arial"/>
          <w:b/>
          <w:noProof/>
          <w:sz w:val="20"/>
          <w:lang w:val="ru-RU"/>
        </w:rPr>
        <w:t>5</w:t>
      </w:r>
      <w:r w:rsidR="00740E50" w:rsidRPr="0005059E">
        <w:rPr>
          <w:rStyle w:val="longtext"/>
          <w:rFonts w:ascii="Arial" w:hAnsi="Arial" w:cs="Arial"/>
          <w:b/>
          <w:noProof/>
          <w:sz w:val="20"/>
        </w:rPr>
        <w:t>.</w:t>
      </w:r>
      <w:r w:rsidR="00740E50" w:rsidRPr="0005059E">
        <w:rPr>
          <w:rFonts w:ascii="Arial" w:eastAsia="Calibri" w:hAnsi="Arial" w:cs="Arial"/>
          <w:noProof/>
          <w:sz w:val="20"/>
        </w:rPr>
        <w:t xml:space="preserve"> </w:t>
      </w:r>
      <w:r w:rsidR="00740E50" w:rsidRPr="0005059E">
        <w:rPr>
          <w:rFonts w:ascii="Arial" w:eastAsia="Calibri" w:hAnsi="Arial" w:cs="Arial"/>
          <w:b/>
          <w:noProof/>
          <w:sz w:val="20"/>
        </w:rPr>
        <w:t>Допълнителните мерки по целите на Зеления пакт не трябва да се финансират за сметка на бюджета на ЕС за селско стопанство, заявиха евродепутатите от Комисията по земеделие и развитие на селските райони към ЕП (AGRI).</w:t>
      </w:r>
      <w:r w:rsidR="00740E50" w:rsidRPr="0005059E">
        <w:rPr>
          <w:rFonts w:ascii="Arial" w:eastAsia="Calibri" w:hAnsi="Arial" w:cs="Arial"/>
          <w:noProof/>
          <w:sz w:val="20"/>
        </w:rPr>
        <w:t xml:space="preserve"> Те предупредиха, че всяко пренасочване на </w:t>
      </w:r>
      <w:r w:rsidR="00E236D7">
        <w:rPr>
          <w:rFonts w:ascii="Arial" w:eastAsia="Calibri" w:hAnsi="Arial" w:cs="Arial"/>
          <w:noProof/>
          <w:sz w:val="20"/>
        </w:rPr>
        <w:t>средства</w:t>
      </w:r>
      <w:r w:rsidR="00740E50" w:rsidRPr="0005059E">
        <w:rPr>
          <w:rFonts w:ascii="Arial" w:eastAsia="Calibri" w:hAnsi="Arial" w:cs="Arial"/>
          <w:noProof/>
          <w:sz w:val="20"/>
        </w:rPr>
        <w:t xml:space="preserve"> от бюджета на </w:t>
      </w:r>
      <w:r w:rsidR="00E236D7">
        <w:rPr>
          <w:rFonts w:ascii="Arial" w:eastAsia="Calibri" w:hAnsi="Arial" w:cs="Arial"/>
          <w:noProof/>
          <w:sz w:val="20"/>
        </w:rPr>
        <w:t>ЕС</w:t>
      </w:r>
      <w:r w:rsidR="00740E50" w:rsidRPr="0005059E">
        <w:rPr>
          <w:rFonts w:ascii="Arial" w:eastAsia="Calibri" w:hAnsi="Arial" w:cs="Arial"/>
          <w:noProof/>
          <w:sz w:val="20"/>
        </w:rPr>
        <w:t xml:space="preserve"> за преодоляване на последиците от COVID -19 може да доведе до недостиг на финансови средства през следващите години. Одобря</w:t>
      </w:r>
      <w:r w:rsidR="00E236D7">
        <w:rPr>
          <w:rFonts w:ascii="Arial" w:eastAsia="Calibri" w:hAnsi="Arial" w:cs="Arial"/>
          <w:noProof/>
          <w:sz w:val="20"/>
        </w:rPr>
        <w:t xml:space="preserve">вайки  текста, с 37 гласа „за“, </w:t>
      </w:r>
      <w:r w:rsidR="00740E50" w:rsidRPr="0005059E">
        <w:rPr>
          <w:rFonts w:ascii="Arial" w:eastAsia="Calibri" w:hAnsi="Arial" w:cs="Arial"/>
          <w:noProof/>
          <w:sz w:val="20"/>
        </w:rPr>
        <w:t>8 гласа „против“ и 3 гласа „въздържал се“, Комисията по земеделие и развитие на селските райони към</w:t>
      </w:r>
      <w:r w:rsidR="00E236D7">
        <w:rPr>
          <w:rFonts w:ascii="Arial" w:eastAsia="Calibri" w:hAnsi="Arial" w:cs="Arial"/>
          <w:noProof/>
          <w:sz w:val="20"/>
        </w:rPr>
        <w:t xml:space="preserve"> ЕП приветства преразгледаната М</w:t>
      </w:r>
      <w:r w:rsidR="00740E50" w:rsidRPr="0005059E">
        <w:rPr>
          <w:rFonts w:ascii="Arial" w:eastAsia="Calibri" w:hAnsi="Arial" w:cs="Arial"/>
          <w:noProof/>
          <w:sz w:val="20"/>
        </w:rPr>
        <w:t>ногогодишна финансова рамка (МФР) и предложенията за възстановяване на ЕС от ново поко</w:t>
      </w:r>
      <w:r w:rsidR="00E236D7">
        <w:rPr>
          <w:rFonts w:ascii="Arial" w:eastAsia="Calibri" w:hAnsi="Arial" w:cs="Arial"/>
          <w:noProof/>
          <w:sz w:val="20"/>
        </w:rPr>
        <w:t>ление (Next generation EU). Ч</w:t>
      </w:r>
      <w:r w:rsidR="00740E50" w:rsidRPr="0005059E">
        <w:rPr>
          <w:rFonts w:ascii="Arial" w:eastAsia="Calibri" w:hAnsi="Arial" w:cs="Arial"/>
          <w:noProof/>
          <w:sz w:val="20"/>
        </w:rPr>
        <w:t>леновете на комисията настоя</w:t>
      </w:r>
      <w:r w:rsidR="00E236D7">
        <w:rPr>
          <w:rFonts w:ascii="Arial" w:eastAsia="Calibri" w:hAnsi="Arial" w:cs="Arial"/>
          <w:noProof/>
          <w:sz w:val="20"/>
        </w:rPr>
        <w:t>ха обаче</w:t>
      </w:r>
      <w:r w:rsidR="00740E50" w:rsidRPr="0005059E">
        <w:rPr>
          <w:rFonts w:ascii="Arial" w:eastAsia="Calibri" w:hAnsi="Arial" w:cs="Arial"/>
          <w:noProof/>
          <w:sz w:val="20"/>
        </w:rPr>
        <w:t>, че всички допълнителни мерки, свързани със зеления преход, включително постигането на целите по стратегиите „От фермата до трапезата“ и „Биоразнообразие 2030 “ трябва да се финансират от  „свежи пари“ и не трябва да са  за сметка на съществуващото финансиране на ОСП. Повишените екологични изисквания трябва „винаги да бъдат финансово компенсирани, тъй като земеделските стопани не могат да бъдат принуждавани да правят повече с по-малко пари“, докато „неустойчивият внос, който не отговаря на стандартите на ЕС за безопасност на храните, опазване на околната среда и социални стандарти, поради липса на финансиране за новите екологични изисквания, трябва да се избегне“, добавят те. Комисията настоя, че „модернизирана</w:t>
      </w:r>
      <w:r w:rsidR="00E236D7">
        <w:rPr>
          <w:rFonts w:ascii="Arial" w:eastAsia="Calibri" w:hAnsi="Arial" w:cs="Arial"/>
          <w:noProof/>
          <w:sz w:val="20"/>
        </w:rPr>
        <w:t>та</w:t>
      </w:r>
      <w:r w:rsidR="00740E50" w:rsidRPr="0005059E">
        <w:rPr>
          <w:rFonts w:ascii="Arial" w:eastAsia="Calibri" w:hAnsi="Arial" w:cs="Arial"/>
          <w:noProof/>
          <w:sz w:val="20"/>
        </w:rPr>
        <w:t xml:space="preserve"> и устойчива ОСП“ ще бъде ключова за постигането на амбициозните цели на ЕС в областта на климата</w:t>
      </w:r>
      <w:r w:rsidR="00E236D7">
        <w:rPr>
          <w:rFonts w:ascii="Arial" w:eastAsia="Calibri" w:hAnsi="Arial" w:cs="Arial"/>
          <w:noProof/>
          <w:sz w:val="20"/>
        </w:rPr>
        <w:t xml:space="preserve"> и</w:t>
      </w:r>
      <w:r w:rsidR="00740E50" w:rsidRPr="0005059E">
        <w:rPr>
          <w:rFonts w:ascii="Arial" w:eastAsia="Calibri" w:hAnsi="Arial" w:cs="Arial"/>
          <w:noProof/>
          <w:sz w:val="20"/>
        </w:rPr>
        <w:t xml:space="preserve"> прикан</w:t>
      </w:r>
      <w:r w:rsidR="00E236D7">
        <w:rPr>
          <w:rFonts w:ascii="Arial" w:eastAsia="Calibri" w:hAnsi="Arial" w:cs="Arial"/>
          <w:noProof/>
          <w:sz w:val="20"/>
        </w:rPr>
        <w:t>и</w:t>
      </w:r>
      <w:r w:rsidR="00740E50" w:rsidRPr="0005059E">
        <w:rPr>
          <w:rFonts w:ascii="Arial" w:eastAsia="Calibri" w:hAnsi="Arial" w:cs="Arial"/>
          <w:noProof/>
          <w:sz w:val="20"/>
        </w:rPr>
        <w:t xml:space="preserve"> политиците и държавите членки да „използват пълноценно Механизма за </w:t>
      </w:r>
      <w:r w:rsidR="00740E50" w:rsidRPr="0005059E">
        <w:rPr>
          <w:rFonts w:ascii="Arial" w:eastAsia="Calibri" w:hAnsi="Arial" w:cs="Arial"/>
          <w:noProof/>
          <w:sz w:val="20"/>
        </w:rPr>
        <w:lastRenderedPageBreak/>
        <w:t>възстановяване и устойчивост, за да помогнат на земеделските стопани да спазват новите правила и да се адаптират към неблагоприятните въздействия на изменението на климата. Неформалното становище на Комисията по земеделие и развитие на селските райони ще бъде изпратено на водещите комисии по бюджет (BUDG) и икономически и парични въпроси (ECON). Очаква се и двете водещи комисии да гласуват текста по време на следващото съвместно заседание,</w:t>
      </w:r>
      <w:r w:rsidR="008A76BC" w:rsidRPr="0005059E">
        <w:rPr>
          <w:rFonts w:ascii="Arial" w:eastAsia="Calibri" w:hAnsi="Arial" w:cs="Arial"/>
          <w:noProof/>
          <w:sz w:val="20"/>
        </w:rPr>
        <w:t xml:space="preserve"> </w:t>
      </w:r>
      <w:r w:rsidR="00740E50" w:rsidRPr="0005059E">
        <w:rPr>
          <w:rFonts w:ascii="Arial" w:eastAsia="Calibri" w:hAnsi="Arial" w:cs="Arial"/>
          <w:noProof/>
          <w:sz w:val="20"/>
        </w:rPr>
        <w:t>вероятно през септември.</w:t>
      </w:r>
    </w:p>
    <w:p w:rsidR="002D6CBA" w:rsidRPr="00B45F4C" w:rsidRDefault="002D6CBA" w:rsidP="002D6CBA">
      <w:pPr>
        <w:jc w:val="both"/>
        <w:rPr>
          <w:rFonts w:ascii="Arial" w:eastAsia="Calibri" w:hAnsi="Arial" w:cs="Arial"/>
          <w:noProof/>
          <w:sz w:val="20"/>
          <w:lang w:val="ru-RU"/>
        </w:rPr>
      </w:pPr>
    </w:p>
    <w:p w:rsidR="009C5F35" w:rsidRPr="00B45F4C" w:rsidRDefault="00107BDD" w:rsidP="009C5F35">
      <w:pPr>
        <w:jc w:val="both"/>
        <w:rPr>
          <w:rFonts w:ascii="Arial" w:eastAsia="Calibri" w:hAnsi="Arial" w:cs="Arial"/>
          <w:noProof/>
          <w:color w:val="0563C1"/>
          <w:sz w:val="20"/>
          <w:u w:val="single"/>
          <w:lang w:val="ru-RU"/>
        </w:rPr>
      </w:pPr>
      <w:r w:rsidRPr="00B45F4C">
        <w:rPr>
          <w:rFonts w:ascii="Arial" w:eastAsia="Calibri" w:hAnsi="Arial" w:cs="Arial"/>
          <w:b/>
          <w:noProof/>
          <w:sz w:val="20"/>
          <w:lang w:val="ru-RU"/>
        </w:rPr>
        <w:t>6</w:t>
      </w:r>
      <w:r w:rsidR="00740E50" w:rsidRPr="0005059E">
        <w:rPr>
          <w:rFonts w:ascii="Arial" w:eastAsia="Calibri" w:hAnsi="Arial" w:cs="Arial"/>
          <w:b/>
          <w:noProof/>
          <w:sz w:val="20"/>
        </w:rPr>
        <w:t>. На глобално ниво повече от една девета от брутните пост</w:t>
      </w:r>
      <w:r w:rsidR="008A76BC" w:rsidRPr="0005059E">
        <w:rPr>
          <w:rFonts w:ascii="Arial" w:eastAsia="Calibri" w:hAnsi="Arial" w:cs="Arial"/>
          <w:b/>
          <w:noProof/>
          <w:sz w:val="20"/>
        </w:rPr>
        <w:t>ъпления на земеделските стопани</w:t>
      </w:r>
      <w:r w:rsidR="00740E50" w:rsidRPr="0005059E">
        <w:rPr>
          <w:rFonts w:ascii="Arial" w:eastAsia="Calibri" w:hAnsi="Arial" w:cs="Arial"/>
          <w:b/>
          <w:noProof/>
          <w:sz w:val="20"/>
        </w:rPr>
        <w:t xml:space="preserve"> идват от публични политики. В някои страни това е дори наполовина“, критикува Организацията за икономическо сътрудничество и развитие (ОИСР) в своя доклад, публикуван във вторник, 30 юни, озаглавен „Мониторинг и оценка на селскостопанската политика 2020“.</w:t>
      </w:r>
      <w:r w:rsidR="00740E50" w:rsidRPr="0005059E">
        <w:rPr>
          <w:rFonts w:ascii="Arial" w:eastAsia="Calibri" w:hAnsi="Arial" w:cs="Arial"/>
          <w:noProof/>
          <w:sz w:val="20"/>
        </w:rPr>
        <w:t xml:space="preserve"> Годишният доклад следи и оценява селскостопанските политики, обхващащи всичките шест континента, включително 37 страни от ОИСР, петте държ</w:t>
      </w:r>
      <w:r w:rsidR="00E52BE0">
        <w:rPr>
          <w:rFonts w:ascii="Arial" w:eastAsia="Calibri" w:hAnsi="Arial" w:cs="Arial"/>
          <w:noProof/>
          <w:sz w:val="20"/>
        </w:rPr>
        <w:t xml:space="preserve">ави, които не са членки на ОИСР </w:t>
      </w:r>
      <w:r w:rsidR="00740E50" w:rsidRPr="0005059E">
        <w:rPr>
          <w:rFonts w:ascii="Arial" w:eastAsia="Calibri" w:hAnsi="Arial" w:cs="Arial"/>
          <w:noProof/>
          <w:sz w:val="20"/>
        </w:rPr>
        <w:t xml:space="preserve">и 12 нововъзникващи икономики. Документът е уникален източник за актуални оценки, </w:t>
      </w:r>
      <w:r w:rsidR="00E52BE0">
        <w:rPr>
          <w:rFonts w:ascii="Arial" w:eastAsia="Calibri" w:hAnsi="Arial" w:cs="Arial"/>
          <w:noProof/>
          <w:sz w:val="20"/>
        </w:rPr>
        <w:t xml:space="preserve">за които са </w:t>
      </w:r>
      <w:r w:rsidR="00740E50" w:rsidRPr="0005059E">
        <w:rPr>
          <w:rFonts w:ascii="Arial" w:eastAsia="Calibri" w:hAnsi="Arial" w:cs="Arial"/>
          <w:noProof/>
          <w:sz w:val="20"/>
        </w:rPr>
        <w:t>използва</w:t>
      </w:r>
      <w:r w:rsidR="00E52BE0">
        <w:rPr>
          <w:rFonts w:ascii="Arial" w:eastAsia="Calibri" w:hAnsi="Arial" w:cs="Arial"/>
          <w:noProof/>
          <w:sz w:val="20"/>
        </w:rPr>
        <w:t>ни</w:t>
      </w:r>
      <w:r w:rsidR="00740E50" w:rsidRPr="0005059E">
        <w:rPr>
          <w:rFonts w:ascii="Arial" w:eastAsia="Calibri" w:hAnsi="Arial" w:cs="Arial"/>
          <w:noProof/>
          <w:sz w:val="20"/>
        </w:rPr>
        <w:t xml:space="preserve"> цялостна</w:t>
      </w:r>
      <w:r w:rsidR="00E52BE0">
        <w:rPr>
          <w:rFonts w:ascii="Arial" w:eastAsia="Calibri" w:hAnsi="Arial" w:cs="Arial"/>
          <w:noProof/>
          <w:sz w:val="20"/>
        </w:rPr>
        <w:t>та</w:t>
      </w:r>
      <w:r w:rsidR="00740E50" w:rsidRPr="0005059E">
        <w:rPr>
          <w:rFonts w:ascii="Arial" w:eastAsia="Calibri" w:hAnsi="Arial" w:cs="Arial"/>
          <w:noProof/>
          <w:sz w:val="20"/>
        </w:rPr>
        <w:t xml:space="preserve"> система за измерване и класифициране на подкрепата за селското стопанство</w:t>
      </w:r>
      <w:r w:rsidR="00E52BE0">
        <w:rPr>
          <w:rFonts w:ascii="Arial" w:eastAsia="Calibri" w:hAnsi="Arial" w:cs="Arial"/>
          <w:noProof/>
          <w:sz w:val="20"/>
        </w:rPr>
        <w:t>,</w:t>
      </w:r>
      <w:r w:rsidR="00740E50" w:rsidRPr="0005059E">
        <w:rPr>
          <w:rFonts w:ascii="Arial" w:eastAsia="Calibri" w:hAnsi="Arial" w:cs="Arial"/>
          <w:noProof/>
          <w:sz w:val="20"/>
        </w:rPr>
        <w:t xml:space="preserve"> прогнозите за подкрепа на производителите и потребителите, прогнозата за подкрепа на общите услуги </w:t>
      </w:r>
      <w:r w:rsidR="00E52BE0">
        <w:rPr>
          <w:rFonts w:ascii="Arial" w:eastAsia="Calibri" w:hAnsi="Arial" w:cs="Arial"/>
          <w:noProof/>
          <w:sz w:val="20"/>
        </w:rPr>
        <w:t>и свързаните с тях показатели,</w:t>
      </w:r>
      <w:r w:rsidR="00740E50" w:rsidRPr="0005059E">
        <w:rPr>
          <w:rFonts w:ascii="Arial" w:eastAsia="Calibri" w:hAnsi="Arial" w:cs="Arial"/>
          <w:noProof/>
          <w:sz w:val="20"/>
        </w:rPr>
        <w:t xml:space="preserve"> които дават представа за все по-сложния характер на селскостопанската политика. Общата подкрепа за производителите в 54-те държави представени в доклада възлиза на 12,5% от брутните постъпления от селскостопанска дейност през 2017-2019 г. (или 446 милиарда щатски долара), в сравнение с 18,4% през 2000-2002 г. „Половината от тази подкрепа идва от правителствени мерки, които поддържат цените на вътрешния пазар над международните нива. Тези мерки вредят на потребителите, особено на най-бедните сред тях, разширяват разликата в доходите между малките и големите стопанства и правят хранителната индустрия като цяло по-малко конкурентоспособна“, подчертава ОИСР. Най-изкривените форми на подкрепа (ценова поддръжка, плащания въз основа на производство или неограничено използване на вложените материали ...) са намалели, но все още представляват 69% от брутните трансфери</w:t>
      </w:r>
      <w:r w:rsidR="00E52BE0">
        <w:rPr>
          <w:rFonts w:ascii="Arial" w:eastAsia="Calibri" w:hAnsi="Arial" w:cs="Arial"/>
          <w:noProof/>
          <w:sz w:val="20"/>
        </w:rPr>
        <w:t>,</w:t>
      </w:r>
      <w:r w:rsidR="00740E50" w:rsidRPr="0005059E">
        <w:rPr>
          <w:rFonts w:ascii="Arial" w:eastAsia="Calibri" w:hAnsi="Arial" w:cs="Arial"/>
          <w:noProof/>
          <w:sz w:val="20"/>
        </w:rPr>
        <w:t xml:space="preserve"> в сравнение със 73% през 2000-2002 г. В ЕС делът на подпомагането от брутните постъпления от селскостопанска дейност се е стабилизирал на около 19% от 2010 г., или 102 милиарда долара, докато в САЩ той представлява 11% от брутните постъпления през 2017-2019 г. (42 милиарда долара). В Япония подкрепата за земеделските стопани достигна 41% от брутния доход от селскостопанска продукция, докато в Бразилия този показател се понижи от 7,6% за 2000-2002 на 1,7% за 2017-2019. Повечето страни харчат по-малко за подобряване на дългосрочните резултати на селскостопанския сектор,  (изследвания и развойна дейност, инфраструктура, биобезопасност), което в парично изражение възлиза едва на 106 милиарда долара, изразява съжаление ОИСР, считайки тези мерки за много по-полезни. Относно кризата Covid-19 ОИСР отбелязва, че много страни са работили за улесняване на търговията</w:t>
      </w:r>
      <w:r w:rsidR="00E52BE0">
        <w:rPr>
          <w:rFonts w:ascii="Arial" w:eastAsia="Calibri" w:hAnsi="Arial" w:cs="Arial"/>
          <w:noProof/>
          <w:sz w:val="20"/>
        </w:rPr>
        <w:t>,</w:t>
      </w:r>
      <w:r w:rsidR="00740E50" w:rsidRPr="0005059E">
        <w:rPr>
          <w:rFonts w:ascii="Arial" w:eastAsia="Calibri" w:hAnsi="Arial" w:cs="Arial"/>
          <w:noProof/>
          <w:sz w:val="20"/>
        </w:rPr>
        <w:t xml:space="preserve"> за да се запазят веригите за доставки, но „някои са наложили временни търговски ограничения, които могат да застрашат доставките в краткосрочен план, а също и в дългосрочен“. Изчерпателните глави от доклада и статистическото приложение, съдържащи подробни основни таблици с показатели за подпомагане на селското стопанство, са достъпни в електронна форма на уебсайта на публикацията.</w:t>
      </w:r>
      <w:hyperlink r:id="rId9" w:history="1">
        <w:r w:rsidR="00740E50" w:rsidRPr="0005059E">
          <w:rPr>
            <w:rFonts w:ascii="Arial" w:eastAsia="Calibri" w:hAnsi="Arial" w:cs="Arial"/>
            <w:noProof/>
            <w:color w:val="0563C1"/>
            <w:sz w:val="20"/>
            <w:u w:val="single"/>
          </w:rPr>
          <w:t>https://bit.ly/2ZmG92S</w:t>
        </w:r>
      </w:hyperlink>
    </w:p>
    <w:p w:rsidR="009C5F35" w:rsidRPr="00B45F4C" w:rsidRDefault="009C5F35" w:rsidP="009C5F35">
      <w:pPr>
        <w:jc w:val="both"/>
        <w:rPr>
          <w:rFonts w:ascii="Arial" w:eastAsia="Calibri" w:hAnsi="Arial" w:cs="Arial"/>
          <w:noProof/>
          <w:color w:val="0563C1"/>
          <w:sz w:val="20"/>
          <w:u w:val="single"/>
          <w:lang w:val="ru-RU"/>
        </w:rPr>
      </w:pPr>
    </w:p>
    <w:p w:rsidR="00740E50" w:rsidRPr="00B45F4C" w:rsidRDefault="00107BDD" w:rsidP="00B45F4C">
      <w:pPr>
        <w:jc w:val="both"/>
        <w:rPr>
          <w:rStyle w:val="longtext"/>
          <w:rFonts w:ascii="Arial" w:hAnsi="Arial" w:cs="Arial"/>
          <w:noProof/>
          <w:color w:val="212121"/>
          <w:sz w:val="20"/>
        </w:rPr>
      </w:pPr>
      <w:r w:rsidRPr="00B45F4C">
        <w:rPr>
          <w:rFonts w:ascii="Arial" w:hAnsi="Arial" w:cs="Arial"/>
          <w:b/>
          <w:noProof/>
          <w:sz w:val="20"/>
          <w:lang w:val="ru-RU"/>
        </w:rPr>
        <w:t>7</w:t>
      </w:r>
      <w:r w:rsidR="008A6F92" w:rsidRPr="0005059E">
        <w:rPr>
          <w:rFonts w:ascii="Arial" w:hAnsi="Arial" w:cs="Arial"/>
          <w:b/>
          <w:noProof/>
          <w:sz w:val="20"/>
        </w:rPr>
        <w:t xml:space="preserve">. </w:t>
      </w:r>
      <w:r w:rsidR="008A76BC" w:rsidRPr="0005059E">
        <w:rPr>
          <w:rFonts w:ascii="Arial" w:hAnsi="Arial" w:cs="Arial"/>
          <w:b/>
          <w:noProof/>
          <w:sz w:val="20"/>
        </w:rPr>
        <w:t>Европейската сметна палата (ЕСП) препоръчва на ЕК да преразгледа методите си за наблюдение на</w:t>
      </w:r>
      <w:r w:rsidR="00246BAE">
        <w:rPr>
          <w:rFonts w:ascii="Arial" w:hAnsi="Arial" w:cs="Arial"/>
          <w:b/>
          <w:noProof/>
          <w:sz w:val="20"/>
        </w:rPr>
        <w:t xml:space="preserve"> разходите, свързани с климата в</w:t>
      </w:r>
      <w:r w:rsidR="008A76BC" w:rsidRPr="0005059E">
        <w:rPr>
          <w:rFonts w:ascii="Arial" w:hAnsi="Arial" w:cs="Arial"/>
          <w:b/>
          <w:noProof/>
          <w:sz w:val="20"/>
        </w:rPr>
        <w:t xml:space="preserve"> ЕС. </w:t>
      </w:r>
      <w:r w:rsidR="008A76BC" w:rsidRPr="0005059E">
        <w:rPr>
          <w:rFonts w:ascii="Arial" w:hAnsi="Arial" w:cs="Arial"/>
          <w:noProof/>
          <w:color w:val="212121"/>
          <w:sz w:val="20"/>
        </w:rPr>
        <w:t>Разходите на ЕС за действия в областта на климата рискуват да бъдат надценени при липса на стабилна и последователна методология за проследяване на средствата в области на политиката, предупреждава нов доклад, публикуван на четвъртък, 2 юли от ЕСП.</w:t>
      </w:r>
      <w:r w:rsidR="00246BAE">
        <w:rPr>
          <w:rFonts w:ascii="Arial" w:hAnsi="Arial" w:cs="Arial"/>
          <w:noProof/>
          <w:color w:val="212121"/>
          <w:sz w:val="20"/>
        </w:rPr>
        <w:t xml:space="preserve"> </w:t>
      </w:r>
      <w:r w:rsidR="008A76BC" w:rsidRPr="0005059E">
        <w:rPr>
          <w:rFonts w:ascii="Arial" w:hAnsi="Arial" w:cs="Arial"/>
          <w:noProof/>
          <w:color w:val="212121"/>
          <w:sz w:val="20"/>
        </w:rPr>
        <w:t>Вместо да създаде инструмент за финансиране, посветен на борбата срещу изменението на климата, ЕК реши да отдели определен процент от бюджета на ЕС за тази цел, т.е. най-малко 25% за периода 2021-2027 г.</w:t>
      </w:r>
      <w:r w:rsidR="00246BAE">
        <w:rPr>
          <w:rFonts w:ascii="Arial" w:hAnsi="Arial" w:cs="Arial"/>
          <w:noProof/>
          <w:color w:val="212121"/>
          <w:sz w:val="20"/>
        </w:rPr>
        <w:t xml:space="preserve"> </w:t>
      </w:r>
      <w:r w:rsidR="008A76BC" w:rsidRPr="0005059E">
        <w:rPr>
          <w:rFonts w:ascii="Arial" w:hAnsi="Arial" w:cs="Arial"/>
          <w:noProof/>
          <w:color w:val="212121"/>
          <w:sz w:val="20"/>
        </w:rPr>
        <w:t>Одиторите считат, че този подход може да бъде ефективен, но подчертават, че е наложително той да бъде придружен от метод за мониторинг за измерването на финансовия принос на различните източници на финансиране от ЕС за целите на климата и за оценка на това дали разходите са били ефективни в постигане на тези цели.</w:t>
      </w:r>
      <w:r w:rsidR="00246BAE">
        <w:rPr>
          <w:rFonts w:ascii="Arial" w:hAnsi="Arial" w:cs="Arial"/>
          <w:noProof/>
          <w:color w:val="212121"/>
          <w:sz w:val="20"/>
        </w:rPr>
        <w:t xml:space="preserve"> </w:t>
      </w:r>
      <w:r w:rsidR="00B45F4C">
        <w:rPr>
          <w:rFonts w:ascii="Arial" w:hAnsi="Arial" w:cs="Arial"/>
          <w:noProof/>
          <w:color w:val="212121"/>
          <w:sz w:val="20"/>
        </w:rPr>
        <w:t>О</w:t>
      </w:r>
      <w:r w:rsidR="008A76BC" w:rsidRPr="0005059E">
        <w:rPr>
          <w:rFonts w:ascii="Arial" w:hAnsi="Arial" w:cs="Arial"/>
          <w:noProof/>
          <w:color w:val="212121"/>
          <w:sz w:val="20"/>
        </w:rPr>
        <w:t>трицателното въздействие на разходите, което води до увеличаване на емисиите и следователно може да ускори изменението на климата, не е взето предвид, особено в областта на селскостопанската политика и политиката на сближаване. ЕК по този начин продължава да надценява потенциалния принос на разходите на ЕС за определени схеми на ОСП за борба с изменението на климата, тъй като не е преразгледала метода си за мониторинг, въпреки публикувания през 2016 г. доклад на ЕСП посочващ недостатъците.</w:t>
      </w:r>
      <w:r w:rsidR="00246BAE">
        <w:rPr>
          <w:rFonts w:ascii="Arial" w:hAnsi="Arial" w:cs="Arial"/>
          <w:noProof/>
          <w:color w:val="212121"/>
          <w:sz w:val="20"/>
        </w:rPr>
        <w:t xml:space="preserve"> </w:t>
      </w:r>
      <w:r w:rsidR="008A76BC" w:rsidRPr="0005059E">
        <w:rPr>
          <w:rFonts w:ascii="Arial" w:hAnsi="Arial" w:cs="Arial"/>
          <w:noProof/>
          <w:color w:val="212121"/>
          <w:sz w:val="20"/>
        </w:rPr>
        <w:t>Накрая докладът отделя и областта на научните изследвания-</w:t>
      </w:r>
      <w:r w:rsidR="00246BAE">
        <w:rPr>
          <w:rFonts w:ascii="Arial" w:hAnsi="Arial" w:cs="Arial"/>
          <w:noProof/>
          <w:color w:val="212121"/>
          <w:sz w:val="20"/>
        </w:rPr>
        <w:t xml:space="preserve"> </w:t>
      </w:r>
      <w:r w:rsidR="008A76BC" w:rsidRPr="0005059E">
        <w:rPr>
          <w:rFonts w:ascii="Arial" w:hAnsi="Arial" w:cs="Arial"/>
          <w:noProof/>
          <w:color w:val="212121"/>
          <w:sz w:val="20"/>
        </w:rPr>
        <w:t>сектор, който изостава в постигането на амбициозна</w:t>
      </w:r>
      <w:r w:rsidR="00246BAE">
        <w:rPr>
          <w:rFonts w:ascii="Arial" w:hAnsi="Arial" w:cs="Arial"/>
          <w:noProof/>
          <w:color w:val="212121"/>
          <w:sz w:val="20"/>
        </w:rPr>
        <w:t>та</w:t>
      </w:r>
      <w:r w:rsidR="008A76BC" w:rsidRPr="0005059E">
        <w:rPr>
          <w:rFonts w:ascii="Arial" w:hAnsi="Arial" w:cs="Arial"/>
          <w:noProof/>
          <w:color w:val="212121"/>
          <w:sz w:val="20"/>
        </w:rPr>
        <w:t xml:space="preserve"> цел да изразходва 35% от разходите си за действия в областта на климата.</w:t>
      </w:r>
      <w:r w:rsidR="00B45F4C">
        <w:rPr>
          <w:rFonts w:ascii="Arial" w:hAnsi="Arial" w:cs="Arial"/>
          <w:noProof/>
          <w:color w:val="212121"/>
          <w:sz w:val="20"/>
        </w:rPr>
        <w:br w:type="page"/>
      </w:r>
    </w:p>
    <w:p w:rsidR="00B45F4C" w:rsidRDefault="00B45F4C" w:rsidP="008A6F92">
      <w:pPr>
        <w:jc w:val="right"/>
        <w:rPr>
          <w:rStyle w:val="longtext"/>
          <w:rFonts w:ascii="Arial" w:hAnsi="Arial" w:cs="Arial"/>
          <w:b/>
          <w:i/>
          <w:noProof/>
          <w:sz w:val="20"/>
        </w:rPr>
      </w:pPr>
    </w:p>
    <w:p w:rsidR="008A6F92" w:rsidRPr="00ED65CB" w:rsidRDefault="00ED65CB" w:rsidP="008A6F92">
      <w:pPr>
        <w:jc w:val="right"/>
        <w:rPr>
          <w:rStyle w:val="longtext"/>
          <w:rFonts w:ascii="Arial" w:hAnsi="Arial" w:cs="Arial"/>
          <w:b/>
          <w:i/>
          <w:noProof/>
          <w:sz w:val="20"/>
        </w:rPr>
      </w:pPr>
      <w:r>
        <w:rPr>
          <w:rStyle w:val="longtext"/>
          <w:rFonts w:ascii="Arial" w:hAnsi="Arial" w:cs="Arial"/>
          <w:b/>
          <w:i/>
          <w:noProof/>
          <w:sz w:val="20"/>
        </w:rPr>
        <w:t xml:space="preserve">Приложение </w:t>
      </w:r>
      <w:r w:rsidR="00E91F95" w:rsidRPr="00ED65CB">
        <w:rPr>
          <w:rStyle w:val="longtext"/>
          <w:rFonts w:ascii="Arial" w:hAnsi="Arial" w:cs="Arial"/>
          <w:b/>
          <w:i/>
          <w:noProof/>
          <w:sz w:val="20"/>
        </w:rPr>
        <w:t>1</w:t>
      </w:r>
    </w:p>
    <w:p w:rsidR="008A6F92" w:rsidRPr="0005059E" w:rsidRDefault="008A6F92" w:rsidP="008A6F92">
      <w:pPr>
        <w:autoSpaceDE w:val="0"/>
        <w:autoSpaceDN w:val="0"/>
        <w:adjustRightInd w:val="0"/>
        <w:jc w:val="both"/>
        <w:rPr>
          <w:rFonts w:ascii="Arial" w:hAnsi="Arial" w:cs="Arial"/>
          <w:b/>
          <w:bCs/>
          <w:noProof/>
          <w:color w:val="000000"/>
          <w:sz w:val="20"/>
        </w:rPr>
      </w:pP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b/>
          <w:bCs/>
          <w:noProof/>
          <w:color w:val="000000"/>
          <w:sz w:val="20"/>
        </w:rPr>
        <w:t xml:space="preserve">Мерките на ЕС не са допринесли в достатъчна степен за успешното опазване на дивите опрашители се посочва Специален доклад 15/2020 на Европейската сметна палата (ЕСП) от 09 юли 2020 г.: “Опазване на дивите насекоми опрашители в ЕС — инициативите на Европейската комисия не са постигнали резултати”. Стратегията на ЕС за биологичното разнообразие до 2020 г. до голяма степен не е успяла да възпре процеса на тяхното намаляване. В допълнение, ключовите политики на ЕС, сред които и ОСП, не включват конкретни изисквания за защита на дивите опрашители. Настоящото законодателство на ЕС относно използването на пестициди също е сред основните фактори, допринасящи за загубата на дивите опрашители, твърдят одиторите. </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 xml:space="preserve">Опрашителите са животински организми, които пренасят цветен прашец от мъжките върху женските части на цветята, което прави възможно оплождането и размножаването на растенията. В Европа опрашителите са предимно насекоми, като например пчели (вкл. земни пчели, медоносни пчели и самотни пчели), оси, сирфидни мухи, пеперуди, молци, бръмбари и други видове мухи. Повечето насекоми опрашители са диви, но някои от тях се отглеждат заради тяхната икономическа стойност. Те допринасят в голяма степен за повишаване на качеството и количеството на нашата храна. През последните десетилетия обаче дивите опрашители са намалели като брой и видове, главно поради интензивното земеделие и използването на пестициди. Европейската комисия (ЕК) е разработила рамка от мерки в отговор на тези проблеми, която се основава главно на нейната </w:t>
      </w:r>
      <w:r w:rsidRPr="0005059E">
        <w:rPr>
          <w:rFonts w:ascii="Arial" w:hAnsi="Arial" w:cs="Arial"/>
          <w:b/>
          <w:noProof/>
          <w:color w:val="000000"/>
          <w:sz w:val="20"/>
        </w:rPr>
        <w:t>Инициатива за опрашителите от 2018 г.</w:t>
      </w:r>
      <w:r w:rsidRPr="0005059E">
        <w:rPr>
          <w:rFonts w:ascii="Arial" w:hAnsi="Arial" w:cs="Arial"/>
          <w:noProof/>
          <w:color w:val="000000"/>
          <w:sz w:val="20"/>
        </w:rPr>
        <w:t xml:space="preserve"> и </w:t>
      </w:r>
      <w:r w:rsidRPr="0005059E">
        <w:rPr>
          <w:rFonts w:ascii="Arial" w:hAnsi="Arial" w:cs="Arial"/>
          <w:b/>
          <w:noProof/>
          <w:color w:val="000000"/>
          <w:sz w:val="20"/>
        </w:rPr>
        <w:t>Стратегията на ЕС за биологичното разнообразие до 2020 г.</w:t>
      </w:r>
      <w:r w:rsidRPr="0005059E">
        <w:rPr>
          <w:rFonts w:ascii="Arial" w:hAnsi="Arial" w:cs="Arial"/>
          <w:noProof/>
          <w:color w:val="000000"/>
          <w:sz w:val="20"/>
        </w:rPr>
        <w:t xml:space="preserve"> ЕК е въвела и мерки, които могат да окажат въздействие по отношение на дивите опрашители, съгласно действащите в момента политики и закони на ЕС.   </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„Опрашителите имат съществена роля за размножаването на растенията и функционирането на екосистемите и техният спад трябва да се разглежда като сериозна заплаха за околната среда, земеделието и снабдяването с качествена храна“, заяви Само Йереб, членът на ЕСП, който отговаря за изготвянето на доклада. „За съжаление, предприетите досега инициативи на ЕС за опазване на дивите опрашители са твърде слаби, за да дадат резултати.“</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Одиторите установиха, че специалната рамка на ЕС не допринася на практика за опазването на дивите опрашители. Въпреки</w:t>
      </w:r>
      <w:r w:rsidR="00B95059">
        <w:rPr>
          <w:rFonts w:ascii="Arial" w:hAnsi="Arial" w:cs="Arial"/>
          <w:noProof/>
          <w:color w:val="000000"/>
          <w:sz w:val="20"/>
        </w:rPr>
        <w:t>,</w:t>
      </w:r>
      <w:r w:rsidRPr="0005059E">
        <w:rPr>
          <w:rFonts w:ascii="Arial" w:hAnsi="Arial" w:cs="Arial"/>
          <w:noProof/>
          <w:color w:val="000000"/>
          <w:sz w:val="20"/>
        </w:rPr>
        <w:t xml:space="preserve"> че нито едно от действията в стратегията на ЕС за биологичното разнообразие до 2020 г. не е конкретно насочено към обръщане на тенденцията на спад при дивите опрашители, четири от нейните цели може непряко да допринасят за опазването на опрашителите. Въпреки това от констатациите в изготвения от ЕК </w:t>
      </w:r>
      <w:r w:rsidRPr="0005059E">
        <w:rPr>
          <w:rFonts w:ascii="Arial" w:hAnsi="Arial" w:cs="Arial"/>
          <w:b/>
          <w:noProof/>
          <w:color w:val="000000"/>
          <w:sz w:val="20"/>
        </w:rPr>
        <w:t>междинен преглед</w:t>
      </w:r>
      <w:r w:rsidRPr="0005059E">
        <w:rPr>
          <w:rFonts w:ascii="Arial" w:hAnsi="Arial" w:cs="Arial"/>
          <w:noProof/>
          <w:color w:val="000000"/>
          <w:sz w:val="20"/>
        </w:rPr>
        <w:t xml:space="preserve"> става ясно, че при три от целите напредъкът е бил недостатъчен или не е имало напредък. Също така в прегледа конкретно се посочва опрашването като един от елементите с най-влошено състояние в екосистемите в целия ЕС. Одиторите отбелязват и че Инициативата за опрашителите не е довела до съществени промени в ключови политики.</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ЕСП установи също, че другите политики на ЕС, които насърчават опазването на биологичното разнообразие, не включват конкретни изисквания за защита на дивите опрашители. Комисията не е използвала наличните варианти за мерки за опазване на биологичното разнообразие от никоя програма, включително Директивата за местообитанията, „Натура 2000“ и програмата LIFE. По отношение на ОСП одиторите считат, че тя е част от проблема, а не решение за него. ЕСП заключава, че изискванията за екологизиране и кръстосано спазване в рамките на ОСП не са успели да спрат намаляването на биологичното разнообразие в земеделските земи. Накрая, одиторите подчертават, че настоящото законодателство на ЕС относно пестицидите не е в състояние да предложи подходящи мерки за защита на дивите опрашители. То включва предпазни мерки за защита на медоносните пчели, но оценките на риска все още се основават на насоки, които са остарели и до голяма степен не съответстват на законовите изисквания и най-новите научни познания. В тази връзка одиторите посочват, че рамката на ЕС е позволила на държавите членки (ДЧ) да продължат да използват пестициди, за които се смята, че са причина за масовото измиране на пчели. Например през периода 2013—2019 г. са издадени 206 извънредни разрешения за използването на три неоникотиноида (имидаклоприд, тиаметоксам и клотианидин), въпреки че приложението им е било ограничено от 2013 г. и те са строго забранени за употреба на открито от 2018 г. насам. В друг доклад, публикуван тази година, ЕСП установи, че практиките за интегрирано управление на вредителите биха могли да спомогнат за намаляване на употребата на неоникотиноиди, но до момента ЕС е постигнал слаб напредък при налагането на тези практики.</w:t>
      </w:r>
    </w:p>
    <w:p w:rsidR="00CF2508" w:rsidRPr="0005059E" w:rsidRDefault="00CF2508" w:rsidP="00ED327C">
      <w:pPr>
        <w:autoSpaceDE w:val="0"/>
        <w:autoSpaceDN w:val="0"/>
        <w:adjustRightInd w:val="0"/>
        <w:ind w:firstLine="720"/>
        <w:jc w:val="both"/>
        <w:rPr>
          <w:rFonts w:ascii="Arial" w:hAnsi="Arial" w:cs="Arial"/>
          <w:noProof/>
          <w:color w:val="000000"/>
          <w:sz w:val="20"/>
        </w:rPr>
      </w:pP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lastRenderedPageBreak/>
        <w:t xml:space="preserve">Тъй като </w:t>
      </w:r>
      <w:r w:rsidRPr="0005059E">
        <w:rPr>
          <w:rFonts w:ascii="Arial" w:hAnsi="Arial" w:cs="Arial"/>
          <w:b/>
          <w:noProof/>
          <w:color w:val="000000"/>
          <w:sz w:val="20"/>
        </w:rPr>
        <w:t>Зеленият пакт</w:t>
      </w:r>
      <w:r w:rsidRPr="0005059E">
        <w:rPr>
          <w:rFonts w:ascii="Arial" w:hAnsi="Arial" w:cs="Arial"/>
          <w:noProof/>
          <w:color w:val="000000"/>
          <w:sz w:val="20"/>
        </w:rPr>
        <w:t xml:space="preserve"> ще бъде сред </w:t>
      </w:r>
      <w:r w:rsidRPr="0005059E">
        <w:rPr>
          <w:rFonts w:ascii="Arial" w:hAnsi="Arial" w:cs="Arial"/>
          <w:b/>
          <w:noProof/>
          <w:color w:val="000000"/>
          <w:sz w:val="20"/>
        </w:rPr>
        <w:t>приоритетите в програмата на ЕС за следващите десетилетия</w:t>
      </w:r>
      <w:r w:rsidRPr="0005059E">
        <w:rPr>
          <w:rFonts w:ascii="Arial" w:hAnsi="Arial" w:cs="Arial"/>
          <w:noProof/>
          <w:color w:val="000000"/>
          <w:sz w:val="20"/>
        </w:rPr>
        <w:t>, одиторите препоръчват на ЕК:</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 да оцени необходимостта от конкретни мерки за опазване на дивите опрашители в последващите действия и мерки, планирани за 2021 г., свързани със стратегията на ЕС за биологичното разнообразие до 2030 г.;</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 xml:space="preserve">• да интегрира в по-голяма степен действия за защита на дивите опрашители в инструментите на политиката на ЕС, насочени към опазването на биологичното разнообразие и земеделието; </w:t>
      </w:r>
    </w:p>
    <w:p w:rsidR="008A6F92" w:rsidRPr="0005059E" w:rsidRDefault="008A6F92" w:rsidP="00ED327C">
      <w:pPr>
        <w:autoSpaceDE w:val="0"/>
        <w:autoSpaceDN w:val="0"/>
        <w:adjustRightInd w:val="0"/>
        <w:ind w:firstLine="720"/>
        <w:jc w:val="both"/>
        <w:rPr>
          <w:rFonts w:ascii="Arial" w:hAnsi="Arial" w:cs="Arial"/>
          <w:noProof/>
          <w:color w:val="000000"/>
          <w:sz w:val="20"/>
        </w:rPr>
      </w:pPr>
      <w:r w:rsidRPr="0005059E">
        <w:rPr>
          <w:rFonts w:ascii="Arial" w:hAnsi="Arial" w:cs="Arial"/>
          <w:noProof/>
          <w:color w:val="000000"/>
          <w:sz w:val="20"/>
        </w:rPr>
        <w:t>• да засили защитата на дивите опрашители в процеса на оценяване на риска от използването на пестициди.</w:t>
      </w:r>
    </w:p>
    <w:p w:rsidR="008A6F92" w:rsidRPr="0005059E" w:rsidRDefault="008A6F92" w:rsidP="00ED327C">
      <w:pPr>
        <w:autoSpaceDE w:val="0"/>
        <w:autoSpaceDN w:val="0"/>
        <w:adjustRightInd w:val="0"/>
        <w:ind w:firstLine="720"/>
        <w:jc w:val="both"/>
        <w:rPr>
          <w:rFonts w:ascii="Arial" w:hAnsi="Arial" w:cs="Arial"/>
          <w:b/>
          <w:noProof/>
          <w:color w:val="000000"/>
          <w:sz w:val="20"/>
        </w:rPr>
      </w:pPr>
      <w:r w:rsidRPr="0005059E">
        <w:rPr>
          <w:rFonts w:ascii="Arial" w:hAnsi="Arial" w:cs="Arial"/>
          <w:noProof/>
          <w:color w:val="000000"/>
          <w:sz w:val="20"/>
        </w:rPr>
        <w:t xml:space="preserve">Настоящият одит допълва работата по наскоро </w:t>
      </w:r>
      <w:r w:rsidRPr="0005059E">
        <w:rPr>
          <w:rFonts w:ascii="Arial" w:hAnsi="Arial" w:cs="Arial"/>
          <w:b/>
          <w:noProof/>
          <w:color w:val="000000"/>
          <w:sz w:val="20"/>
        </w:rPr>
        <w:t>публикуваните от ЕСП специални доклади</w:t>
      </w:r>
      <w:r w:rsidRPr="0005059E">
        <w:rPr>
          <w:rFonts w:ascii="Arial" w:hAnsi="Arial" w:cs="Arial"/>
          <w:noProof/>
          <w:color w:val="000000"/>
          <w:sz w:val="20"/>
        </w:rPr>
        <w:t xml:space="preserve"> относно </w:t>
      </w:r>
      <w:r w:rsidRPr="0005059E">
        <w:rPr>
          <w:rFonts w:ascii="Arial" w:hAnsi="Arial" w:cs="Arial"/>
          <w:b/>
          <w:noProof/>
          <w:color w:val="000000"/>
          <w:sz w:val="20"/>
        </w:rPr>
        <w:t>биологичното разнообразие в земеделските земи</w:t>
      </w:r>
      <w:r w:rsidRPr="0005059E">
        <w:rPr>
          <w:rFonts w:ascii="Arial" w:hAnsi="Arial" w:cs="Arial"/>
          <w:noProof/>
          <w:color w:val="000000"/>
          <w:sz w:val="20"/>
        </w:rPr>
        <w:t xml:space="preserve">, </w:t>
      </w:r>
      <w:r w:rsidRPr="0005059E">
        <w:rPr>
          <w:rFonts w:ascii="Arial" w:hAnsi="Arial" w:cs="Arial"/>
          <w:b/>
          <w:noProof/>
          <w:color w:val="000000"/>
          <w:sz w:val="20"/>
        </w:rPr>
        <w:t>използването на пестициди</w:t>
      </w:r>
      <w:r w:rsidRPr="0005059E">
        <w:rPr>
          <w:rFonts w:ascii="Arial" w:hAnsi="Arial" w:cs="Arial"/>
          <w:noProof/>
          <w:color w:val="000000"/>
          <w:sz w:val="20"/>
        </w:rPr>
        <w:t xml:space="preserve"> и </w:t>
      </w:r>
      <w:r w:rsidRPr="0005059E">
        <w:rPr>
          <w:rFonts w:ascii="Arial" w:hAnsi="Arial" w:cs="Arial"/>
          <w:b/>
          <w:noProof/>
          <w:color w:val="000000"/>
          <w:sz w:val="20"/>
        </w:rPr>
        <w:t>мрежата „Натура 2000“.</w:t>
      </w:r>
    </w:p>
    <w:p w:rsidR="008A6F92" w:rsidRPr="0005059E" w:rsidRDefault="008A6F92" w:rsidP="00120AD2">
      <w:pPr>
        <w:jc w:val="both"/>
        <w:rPr>
          <w:rStyle w:val="longtext"/>
          <w:rFonts w:asciiTheme="minorHAnsi" w:hAnsiTheme="minorHAnsi"/>
          <w:noProof/>
        </w:rPr>
      </w:pPr>
    </w:p>
    <w:p w:rsidR="008A6F92" w:rsidRPr="0005059E" w:rsidRDefault="008A6F92" w:rsidP="00120AD2">
      <w:pPr>
        <w:jc w:val="both"/>
        <w:rPr>
          <w:rStyle w:val="longtext"/>
          <w:rFonts w:asciiTheme="minorHAnsi" w:hAnsiTheme="minorHAnsi"/>
          <w:noProof/>
        </w:rPr>
      </w:pPr>
    </w:p>
    <w:sectPr w:rsidR="008A6F92" w:rsidRPr="0005059E"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902" w:rsidRDefault="00172902">
      <w:r>
        <w:separator/>
      </w:r>
    </w:p>
  </w:endnote>
  <w:endnote w:type="continuationSeparator" w:id="0">
    <w:p w:rsidR="00172902" w:rsidRDefault="00172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1729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172902" w:rsidP="004B3CB3">
    <w:pPr>
      <w:pStyle w:val="Footer"/>
      <w:pBdr>
        <w:bottom w:val="single" w:sz="4" w:space="1" w:color="7030A0"/>
      </w:pBdr>
      <w:ind w:right="-23"/>
      <w:rPr>
        <w:rFonts w:ascii="Arial" w:hAnsi="Arial"/>
        <w:i/>
        <w:iCs/>
        <w:color w:val="800080"/>
        <w:sz w:val="18"/>
        <w:szCs w:val="18"/>
        <w:lang w:val="en-US"/>
      </w:rPr>
    </w:pPr>
  </w:p>
  <w:p w:rsidR="004B3CB3" w:rsidRPr="004B3CB3" w:rsidRDefault="00403CB9" w:rsidP="004B3CB3">
    <w:pPr>
      <w:pStyle w:val="Footer"/>
      <w:ind w:right="-23"/>
      <w:rPr>
        <w:rFonts w:ascii="Arial" w:hAnsi="Arial"/>
        <w:i/>
        <w:iCs/>
        <w:color w:val="800080"/>
        <w:sz w:val="18"/>
        <w:szCs w:val="18"/>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B45F4C">
      <w:rPr>
        <w:rFonts w:ascii="Arial" w:hAnsi="Arial"/>
        <w:i/>
        <w:iCs/>
        <w:color w:val="800080"/>
        <w:sz w:val="18"/>
        <w:szCs w:val="18"/>
        <w:lang w:val="ru-RU"/>
      </w:rPr>
      <w:tab/>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2A23C2">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172902">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902" w:rsidRDefault="00172902">
      <w:r>
        <w:separator/>
      </w:r>
    </w:p>
  </w:footnote>
  <w:footnote w:type="continuationSeparator" w:id="0">
    <w:p w:rsidR="00172902" w:rsidRDefault="001729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5B0FCCF3" wp14:editId="08365E8C">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172902"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172902">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C97050">
      <w:rPr>
        <w:rFonts w:ascii="Arial" w:hAnsi="Arial"/>
        <w:b/>
        <w:bCs/>
        <w:color w:val="800080"/>
        <w:sz w:val="20"/>
        <w:lang w:val="en-US"/>
      </w:rPr>
      <w:t>8</w:t>
    </w:r>
    <w:r>
      <w:rPr>
        <w:rFonts w:ascii="Arial" w:hAnsi="Arial"/>
        <w:b/>
        <w:bCs/>
        <w:color w:val="800080"/>
        <w:sz w:val="20"/>
      </w:rPr>
      <w:t>/</w:t>
    </w:r>
    <w:r w:rsidR="00C97050">
      <w:rPr>
        <w:rFonts w:ascii="Arial" w:hAnsi="Arial"/>
        <w:b/>
        <w:bCs/>
        <w:color w:val="800080"/>
        <w:sz w:val="20"/>
        <w:lang w:val="en-US"/>
      </w:rPr>
      <w:t>13</w:t>
    </w:r>
    <w:r w:rsidR="006E7A46">
      <w:rPr>
        <w:rFonts w:ascii="Arial" w:hAnsi="Arial"/>
        <w:b/>
        <w:bCs/>
        <w:color w:val="800080"/>
        <w:sz w:val="20"/>
        <w:lang w:val="en-US"/>
      </w:rPr>
      <w:t>.</w:t>
    </w:r>
    <w:r w:rsidR="002C512F">
      <w:rPr>
        <w:rFonts w:ascii="Arial" w:hAnsi="Arial"/>
        <w:b/>
        <w:bCs/>
        <w:color w:val="800080"/>
        <w:sz w:val="20"/>
        <w:lang w:val="en-US"/>
      </w:rPr>
      <w:t>0</w:t>
    </w:r>
    <w:r w:rsidR="007B2DB0">
      <w:rPr>
        <w:rFonts w:ascii="Arial" w:hAnsi="Arial"/>
        <w:b/>
        <w:bCs/>
        <w:color w:val="800080"/>
        <w:sz w:val="20"/>
        <w:lang w:val="en-US"/>
      </w:rPr>
      <w:t>7</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497A"/>
    <w:rsid w:val="00024DB1"/>
    <w:rsid w:val="00032EDB"/>
    <w:rsid w:val="0004366B"/>
    <w:rsid w:val="00046BB0"/>
    <w:rsid w:val="00046D50"/>
    <w:rsid w:val="0005059E"/>
    <w:rsid w:val="00050832"/>
    <w:rsid w:val="000518AE"/>
    <w:rsid w:val="0005714A"/>
    <w:rsid w:val="0006687D"/>
    <w:rsid w:val="000678FD"/>
    <w:rsid w:val="0007208A"/>
    <w:rsid w:val="0008051A"/>
    <w:rsid w:val="00081DAE"/>
    <w:rsid w:val="00091CD4"/>
    <w:rsid w:val="000A31F0"/>
    <w:rsid w:val="000B2026"/>
    <w:rsid w:val="000B7B54"/>
    <w:rsid w:val="00107BDD"/>
    <w:rsid w:val="001164FC"/>
    <w:rsid w:val="001173C3"/>
    <w:rsid w:val="00117955"/>
    <w:rsid w:val="00117A81"/>
    <w:rsid w:val="00120AD2"/>
    <w:rsid w:val="00130123"/>
    <w:rsid w:val="00131A6D"/>
    <w:rsid w:val="00134872"/>
    <w:rsid w:val="0013606E"/>
    <w:rsid w:val="0014608C"/>
    <w:rsid w:val="00157B52"/>
    <w:rsid w:val="001639CC"/>
    <w:rsid w:val="00170DF4"/>
    <w:rsid w:val="00172902"/>
    <w:rsid w:val="00173E25"/>
    <w:rsid w:val="00180311"/>
    <w:rsid w:val="00180441"/>
    <w:rsid w:val="00186654"/>
    <w:rsid w:val="00193EEE"/>
    <w:rsid w:val="001A6A7A"/>
    <w:rsid w:val="001B1430"/>
    <w:rsid w:val="001B5399"/>
    <w:rsid w:val="001C3F62"/>
    <w:rsid w:val="001E1EAA"/>
    <w:rsid w:val="001E1F98"/>
    <w:rsid w:val="001E4050"/>
    <w:rsid w:val="001E4C01"/>
    <w:rsid w:val="001F2BC1"/>
    <w:rsid w:val="001F2EC7"/>
    <w:rsid w:val="001F396B"/>
    <w:rsid w:val="00200B39"/>
    <w:rsid w:val="00210721"/>
    <w:rsid w:val="002118F6"/>
    <w:rsid w:val="00213ACC"/>
    <w:rsid w:val="00215B7E"/>
    <w:rsid w:val="002163C0"/>
    <w:rsid w:val="00221CDF"/>
    <w:rsid w:val="0024546F"/>
    <w:rsid w:val="00246BAE"/>
    <w:rsid w:val="002521C1"/>
    <w:rsid w:val="00257581"/>
    <w:rsid w:val="002610A9"/>
    <w:rsid w:val="002653C2"/>
    <w:rsid w:val="00265FF2"/>
    <w:rsid w:val="00274F4E"/>
    <w:rsid w:val="00275471"/>
    <w:rsid w:val="00285183"/>
    <w:rsid w:val="0029075B"/>
    <w:rsid w:val="002918DE"/>
    <w:rsid w:val="0029220D"/>
    <w:rsid w:val="002A23C2"/>
    <w:rsid w:val="002A2BBE"/>
    <w:rsid w:val="002A2C5F"/>
    <w:rsid w:val="002A5150"/>
    <w:rsid w:val="002A6A4C"/>
    <w:rsid w:val="002A7E47"/>
    <w:rsid w:val="002B379D"/>
    <w:rsid w:val="002B44DA"/>
    <w:rsid w:val="002C21A3"/>
    <w:rsid w:val="002C512F"/>
    <w:rsid w:val="002C6EFE"/>
    <w:rsid w:val="002D0216"/>
    <w:rsid w:val="002D1A87"/>
    <w:rsid w:val="002D25F9"/>
    <w:rsid w:val="002D4BE9"/>
    <w:rsid w:val="002D6CBA"/>
    <w:rsid w:val="002F1104"/>
    <w:rsid w:val="002F3080"/>
    <w:rsid w:val="002F6211"/>
    <w:rsid w:val="002F7E40"/>
    <w:rsid w:val="00300FA3"/>
    <w:rsid w:val="00303C35"/>
    <w:rsid w:val="00304C24"/>
    <w:rsid w:val="00304D05"/>
    <w:rsid w:val="00305C45"/>
    <w:rsid w:val="00312DA6"/>
    <w:rsid w:val="00313FBA"/>
    <w:rsid w:val="00320AF0"/>
    <w:rsid w:val="0033369E"/>
    <w:rsid w:val="00350E9F"/>
    <w:rsid w:val="00353ACF"/>
    <w:rsid w:val="00362AAE"/>
    <w:rsid w:val="003877CA"/>
    <w:rsid w:val="003952CE"/>
    <w:rsid w:val="00396C28"/>
    <w:rsid w:val="003A56BA"/>
    <w:rsid w:val="003B7AAB"/>
    <w:rsid w:val="003C0E47"/>
    <w:rsid w:val="003C1BFF"/>
    <w:rsid w:val="003C3DEB"/>
    <w:rsid w:val="003D0C6C"/>
    <w:rsid w:val="003D44BE"/>
    <w:rsid w:val="003D4968"/>
    <w:rsid w:val="003D5B7F"/>
    <w:rsid w:val="003D6634"/>
    <w:rsid w:val="003E0404"/>
    <w:rsid w:val="003E118D"/>
    <w:rsid w:val="003E5CB2"/>
    <w:rsid w:val="003F562A"/>
    <w:rsid w:val="00403CB9"/>
    <w:rsid w:val="00411829"/>
    <w:rsid w:val="004133A8"/>
    <w:rsid w:val="00414784"/>
    <w:rsid w:val="00422311"/>
    <w:rsid w:val="004250D6"/>
    <w:rsid w:val="004317EA"/>
    <w:rsid w:val="0043388D"/>
    <w:rsid w:val="0044148C"/>
    <w:rsid w:val="00446398"/>
    <w:rsid w:val="00463525"/>
    <w:rsid w:val="0046415A"/>
    <w:rsid w:val="004923C1"/>
    <w:rsid w:val="00496775"/>
    <w:rsid w:val="004A0254"/>
    <w:rsid w:val="004A4C92"/>
    <w:rsid w:val="004B46D9"/>
    <w:rsid w:val="004F4705"/>
    <w:rsid w:val="004F5E4F"/>
    <w:rsid w:val="00502A0A"/>
    <w:rsid w:val="0051071D"/>
    <w:rsid w:val="00511AA4"/>
    <w:rsid w:val="005159B7"/>
    <w:rsid w:val="005179AD"/>
    <w:rsid w:val="005200AA"/>
    <w:rsid w:val="005247A5"/>
    <w:rsid w:val="0052706F"/>
    <w:rsid w:val="005279E4"/>
    <w:rsid w:val="00530C09"/>
    <w:rsid w:val="00537A32"/>
    <w:rsid w:val="00542DE9"/>
    <w:rsid w:val="00550360"/>
    <w:rsid w:val="00562C02"/>
    <w:rsid w:val="00563064"/>
    <w:rsid w:val="005844DF"/>
    <w:rsid w:val="00594324"/>
    <w:rsid w:val="00596313"/>
    <w:rsid w:val="005A0184"/>
    <w:rsid w:val="005B1884"/>
    <w:rsid w:val="005B4574"/>
    <w:rsid w:val="005B6E73"/>
    <w:rsid w:val="005C04A0"/>
    <w:rsid w:val="005C1BB7"/>
    <w:rsid w:val="005F3548"/>
    <w:rsid w:val="006068B4"/>
    <w:rsid w:val="00623765"/>
    <w:rsid w:val="00626A3F"/>
    <w:rsid w:val="00627881"/>
    <w:rsid w:val="006367A9"/>
    <w:rsid w:val="00642BB6"/>
    <w:rsid w:val="0066444F"/>
    <w:rsid w:val="00682667"/>
    <w:rsid w:val="006961F0"/>
    <w:rsid w:val="006A094F"/>
    <w:rsid w:val="006A7391"/>
    <w:rsid w:val="006A739D"/>
    <w:rsid w:val="006B1360"/>
    <w:rsid w:val="006C196D"/>
    <w:rsid w:val="006E7A46"/>
    <w:rsid w:val="006E7FE4"/>
    <w:rsid w:val="006F38F7"/>
    <w:rsid w:val="0070200F"/>
    <w:rsid w:val="00705B40"/>
    <w:rsid w:val="00713942"/>
    <w:rsid w:val="00714838"/>
    <w:rsid w:val="00723155"/>
    <w:rsid w:val="00726AB6"/>
    <w:rsid w:val="007320F1"/>
    <w:rsid w:val="00734448"/>
    <w:rsid w:val="00737318"/>
    <w:rsid w:val="00740E50"/>
    <w:rsid w:val="00750FB4"/>
    <w:rsid w:val="007712FE"/>
    <w:rsid w:val="00782D3D"/>
    <w:rsid w:val="007846E5"/>
    <w:rsid w:val="007A388B"/>
    <w:rsid w:val="007A70E6"/>
    <w:rsid w:val="007B03F2"/>
    <w:rsid w:val="007B0CB0"/>
    <w:rsid w:val="007B2DB0"/>
    <w:rsid w:val="007C3F39"/>
    <w:rsid w:val="007C75B4"/>
    <w:rsid w:val="007D7438"/>
    <w:rsid w:val="007E46F1"/>
    <w:rsid w:val="007E475C"/>
    <w:rsid w:val="007F4E89"/>
    <w:rsid w:val="008030C3"/>
    <w:rsid w:val="00811B89"/>
    <w:rsid w:val="00816686"/>
    <w:rsid w:val="0082007C"/>
    <w:rsid w:val="008206C1"/>
    <w:rsid w:val="0083184F"/>
    <w:rsid w:val="0083232B"/>
    <w:rsid w:val="00845489"/>
    <w:rsid w:val="00852DE4"/>
    <w:rsid w:val="00861450"/>
    <w:rsid w:val="008622DE"/>
    <w:rsid w:val="00865E24"/>
    <w:rsid w:val="0087702E"/>
    <w:rsid w:val="0087763E"/>
    <w:rsid w:val="008803A4"/>
    <w:rsid w:val="008836F2"/>
    <w:rsid w:val="008933AB"/>
    <w:rsid w:val="008A1360"/>
    <w:rsid w:val="008A6F92"/>
    <w:rsid w:val="008A76BC"/>
    <w:rsid w:val="008B2118"/>
    <w:rsid w:val="008D0E78"/>
    <w:rsid w:val="008D2FF4"/>
    <w:rsid w:val="008D58EC"/>
    <w:rsid w:val="008D7A9E"/>
    <w:rsid w:val="008E0F81"/>
    <w:rsid w:val="008F1C90"/>
    <w:rsid w:val="008F7ECC"/>
    <w:rsid w:val="009063C7"/>
    <w:rsid w:val="0090678A"/>
    <w:rsid w:val="00910462"/>
    <w:rsid w:val="00917F99"/>
    <w:rsid w:val="009203FA"/>
    <w:rsid w:val="00934FA6"/>
    <w:rsid w:val="009355BA"/>
    <w:rsid w:val="00936F1A"/>
    <w:rsid w:val="00955B0D"/>
    <w:rsid w:val="00956512"/>
    <w:rsid w:val="009704A2"/>
    <w:rsid w:val="00975F09"/>
    <w:rsid w:val="00977CA7"/>
    <w:rsid w:val="0099695D"/>
    <w:rsid w:val="009A2752"/>
    <w:rsid w:val="009A5D09"/>
    <w:rsid w:val="009B1FAD"/>
    <w:rsid w:val="009C5F35"/>
    <w:rsid w:val="009D0924"/>
    <w:rsid w:val="009D6F1E"/>
    <w:rsid w:val="009E45D3"/>
    <w:rsid w:val="009E6BDB"/>
    <w:rsid w:val="009F4E95"/>
    <w:rsid w:val="009F7022"/>
    <w:rsid w:val="00A02393"/>
    <w:rsid w:val="00A1170C"/>
    <w:rsid w:val="00A13496"/>
    <w:rsid w:val="00A15D87"/>
    <w:rsid w:val="00A227FC"/>
    <w:rsid w:val="00A230BD"/>
    <w:rsid w:val="00A25AAA"/>
    <w:rsid w:val="00A447C0"/>
    <w:rsid w:val="00A44CB7"/>
    <w:rsid w:val="00A50E2C"/>
    <w:rsid w:val="00A5214D"/>
    <w:rsid w:val="00A56825"/>
    <w:rsid w:val="00A673EB"/>
    <w:rsid w:val="00A74737"/>
    <w:rsid w:val="00A77E07"/>
    <w:rsid w:val="00A77EC5"/>
    <w:rsid w:val="00A84EE6"/>
    <w:rsid w:val="00A922B3"/>
    <w:rsid w:val="00A947A2"/>
    <w:rsid w:val="00AA0722"/>
    <w:rsid w:val="00AB140A"/>
    <w:rsid w:val="00AB1841"/>
    <w:rsid w:val="00AB2303"/>
    <w:rsid w:val="00AC73DE"/>
    <w:rsid w:val="00AD504F"/>
    <w:rsid w:val="00AE0D25"/>
    <w:rsid w:val="00AE14FF"/>
    <w:rsid w:val="00AE2FF4"/>
    <w:rsid w:val="00B03285"/>
    <w:rsid w:val="00B16835"/>
    <w:rsid w:val="00B16C07"/>
    <w:rsid w:val="00B200ED"/>
    <w:rsid w:val="00B3223C"/>
    <w:rsid w:val="00B34793"/>
    <w:rsid w:val="00B36E39"/>
    <w:rsid w:val="00B411AC"/>
    <w:rsid w:val="00B45F4C"/>
    <w:rsid w:val="00B539A9"/>
    <w:rsid w:val="00B6207E"/>
    <w:rsid w:val="00B628F8"/>
    <w:rsid w:val="00B64F87"/>
    <w:rsid w:val="00B73DA3"/>
    <w:rsid w:val="00B81125"/>
    <w:rsid w:val="00B8112B"/>
    <w:rsid w:val="00B81D1D"/>
    <w:rsid w:val="00B853D4"/>
    <w:rsid w:val="00B90317"/>
    <w:rsid w:val="00B93F21"/>
    <w:rsid w:val="00B95059"/>
    <w:rsid w:val="00BA2A9E"/>
    <w:rsid w:val="00BC35B8"/>
    <w:rsid w:val="00BC70E2"/>
    <w:rsid w:val="00BE55CA"/>
    <w:rsid w:val="00BE73AC"/>
    <w:rsid w:val="00BF02C1"/>
    <w:rsid w:val="00BF118B"/>
    <w:rsid w:val="00BF28EC"/>
    <w:rsid w:val="00C00F88"/>
    <w:rsid w:val="00C05E95"/>
    <w:rsid w:val="00C20809"/>
    <w:rsid w:val="00C23E85"/>
    <w:rsid w:val="00C3643A"/>
    <w:rsid w:val="00C37B23"/>
    <w:rsid w:val="00C44608"/>
    <w:rsid w:val="00C574EE"/>
    <w:rsid w:val="00C60D17"/>
    <w:rsid w:val="00C6312D"/>
    <w:rsid w:val="00C718EB"/>
    <w:rsid w:val="00C7577F"/>
    <w:rsid w:val="00C801BF"/>
    <w:rsid w:val="00C97050"/>
    <w:rsid w:val="00CA35A8"/>
    <w:rsid w:val="00CA7960"/>
    <w:rsid w:val="00CB196D"/>
    <w:rsid w:val="00CB2886"/>
    <w:rsid w:val="00CC0A73"/>
    <w:rsid w:val="00CC7CF0"/>
    <w:rsid w:val="00CD304C"/>
    <w:rsid w:val="00CD6EBF"/>
    <w:rsid w:val="00CE5E69"/>
    <w:rsid w:val="00CF0DEA"/>
    <w:rsid w:val="00CF2508"/>
    <w:rsid w:val="00D000AE"/>
    <w:rsid w:val="00D100BD"/>
    <w:rsid w:val="00D1195A"/>
    <w:rsid w:val="00D167B1"/>
    <w:rsid w:val="00D25C9A"/>
    <w:rsid w:val="00D3159B"/>
    <w:rsid w:val="00D32B06"/>
    <w:rsid w:val="00D43BBD"/>
    <w:rsid w:val="00D52E17"/>
    <w:rsid w:val="00D61B59"/>
    <w:rsid w:val="00D6359C"/>
    <w:rsid w:val="00D63914"/>
    <w:rsid w:val="00D758EF"/>
    <w:rsid w:val="00D80D84"/>
    <w:rsid w:val="00D8519B"/>
    <w:rsid w:val="00D86732"/>
    <w:rsid w:val="00DA44A9"/>
    <w:rsid w:val="00DA4860"/>
    <w:rsid w:val="00DC5A8E"/>
    <w:rsid w:val="00DE752F"/>
    <w:rsid w:val="00DF7E91"/>
    <w:rsid w:val="00E02B6A"/>
    <w:rsid w:val="00E17E07"/>
    <w:rsid w:val="00E2125A"/>
    <w:rsid w:val="00E23670"/>
    <w:rsid w:val="00E236D7"/>
    <w:rsid w:val="00E24FA2"/>
    <w:rsid w:val="00E256E7"/>
    <w:rsid w:val="00E350AD"/>
    <w:rsid w:val="00E35D6F"/>
    <w:rsid w:val="00E4290A"/>
    <w:rsid w:val="00E44DF1"/>
    <w:rsid w:val="00E47639"/>
    <w:rsid w:val="00E51A6D"/>
    <w:rsid w:val="00E52BE0"/>
    <w:rsid w:val="00E5449B"/>
    <w:rsid w:val="00E6099A"/>
    <w:rsid w:val="00E60B1D"/>
    <w:rsid w:val="00E67885"/>
    <w:rsid w:val="00E91F95"/>
    <w:rsid w:val="00EA4B29"/>
    <w:rsid w:val="00EA4B99"/>
    <w:rsid w:val="00EA5878"/>
    <w:rsid w:val="00EB0F17"/>
    <w:rsid w:val="00EB289B"/>
    <w:rsid w:val="00EB4927"/>
    <w:rsid w:val="00EB783C"/>
    <w:rsid w:val="00EC0DDC"/>
    <w:rsid w:val="00EC4213"/>
    <w:rsid w:val="00EC6BA3"/>
    <w:rsid w:val="00EC721B"/>
    <w:rsid w:val="00ED327C"/>
    <w:rsid w:val="00ED65CB"/>
    <w:rsid w:val="00EE1065"/>
    <w:rsid w:val="00EE38E7"/>
    <w:rsid w:val="00EE7B1B"/>
    <w:rsid w:val="00F029F3"/>
    <w:rsid w:val="00F0360F"/>
    <w:rsid w:val="00F12C83"/>
    <w:rsid w:val="00F23EFD"/>
    <w:rsid w:val="00F30D26"/>
    <w:rsid w:val="00F40970"/>
    <w:rsid w:val="00F43319"/>
    <w:rsid w:val="00F4416D"/>
    <w:rsid w:val="00F531AD"/>
    <w:rsid w:val="00F6008B"/>
    <w:rsid w:val="00F67B7A"/>
    <w:rsid w:val="00F70B6C"/>
    <w:rsid w:val="00F72B07"/>
    <w:rsid w:val="00F72F6C"/>
    <w:rsid w:val="00F73C4B"/>
    <w:rsid w:val="00F74337"/>
    <w:rsid w:val="00F93C95"/>
    <w:rsid w:val="00F95033"/>
    <w:rsid w:val="00FD4196"/>
    <w:rsid w:val="00FD5503"/>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628F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customStyle="1" w:styleId="Heading3Char">
    <w:name w:val="Heading 3 Char"/>
    <w:basedOn w:val="DefaultParagraphFont"/>
    <w:link w:val="Heading3"/>
    <w:uiPriority w:val="9"/>
    <w:semiHidden/>
    <w:rsid w:val="00B628F8"/>
    <w:rPr>
      <w:rFonts w:asciiTheme="majorHAnsi" w:eastAsiaTheme="majorEastAsia" w:hAnsiTheme="majorHAnsi" w:cstheme="majorBidi"/>
      <w:b/>
      <w:bCs/>
      <w:color w:val="5B9BD5" w:themeColor="accent1"/>
      <w:sz w:val="24"/>
      <w:szCs w:val="20"/>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628F8"/>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customStyle="1" w:styleId="Heading3Char">
    <w:name w:val="Heading 3 Char"/>
    <w:basedOn w:val="DefaultParagraphFont"/>
    <w:link w:val="Heading3"/>
    <w:uiPriority w:val="9"/>
    <w:semiHidden/>
    <w:rsid w:val="00B628F8"/>
    <w:rPr>
      <w:rFonts w:asciiTheme="majorHAnsi" w:eastAsiaTheme="majorEastAsia" w:hAnsiTheme="majorHAnsi" w:cstheme="majorBidi"/>
      <w:b/>
      <w:bCs/>
      <w:color w:val="5B9BD5" w:themeColor="accent1"/>
      <w:sz w:val="24"/>
      <w:szCs w:val="20"/>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36032307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459882859">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64750624">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05837362">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it.ly/2ZmG92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E2C5A-3A5F-478B-87F9-02660C73D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2</cp:revision>
  <dcterms:created xsi:type="dcterms:W3CDTF">2020-07-13T12:54:00Z</dcterms:created>
  <dcterms:modified xsi:type="dcterms:W3CDTF">2020-07-13T12:54:00Z</dcterms:modified>
</cp:coreProperties>
</file>