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D0" w:rsidRDefault="00273DD0" w:rsidP="00273DD0">
      <w:pPr>
        <w:tabs>
          <w:tab w:val="left" w:pos="6585"/>
        </w:tabs>
        <w:spacing w:after="0" w:line="240" w:lineRule="auto"/>
        <w:ind w:right="-23" w:firstLine="708"/>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В залата се поставиха следните въпроси, с желание да бъдат предоставени в МЗХГ за по-подробна информация:</w:t>
      </w:r>
    </w:p>
    <w:p w:rsidR="00273DD0" w:rsidRPr="0067095E" w:rsidRDefault="00273DD0" w:rsidP="00273DD0">
      <w:pPr>
        <w:pStyle w:val="a3"/>
        <w:numPr>
          <w:ilvl w:val="0"/>
          <w:numId w:val="1"/>
        </w:numPr>
        <w:tabs>
          <w:tab w:val="left" w:pos="6585"/>
        </w:tabs>
        <w:spacing w:after="0" w:line="240" w:lineRule="auto"/>
        <w:ind w:right="-23"/>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„Защо при определяне на помощ „</w:t>
      </w:r>
      <w:r>
        <w:rPr>
          <w:rFonts w:ascii="Times New Roman" w:eastAsia="MS Mincho" w:hAnsi="Times New Roman" w:cs="Times New Roman"/>
          <w:color w:val="000000" w:themeColor="text1"/>
          <w:sz w:val="24"/>
          <w:szCs w:val="24"/>
          <w:lang w:eastAsia="ja-JP"/>
        </w:rPr>
        <w:t xml:space="preserve">de </w:t>
      </w:r>
      <w:proofErr w:type="spellStart"/>
      <w:r>
        <w:rPr>
          <w:rFonts w:ascii="Times New Roman" w:eastAsia="MS Mincho" w:hAnsi="Times New Roman" w:cs="Times New Roman"/>
          <w:color w:val="000000" w:themeColor="text1"/>
          <w:sz w:val="24"/>
          <w:szCs w:val="24"/>
          <w:lang w:eastAsia="ja-JP"/>
        </w:rPr>
        <w:t>minimis</w:t>
      </w:r>
      <w:proofErr w:type="spellEnd"/>
      <w:r>
        <w:rPr>
          <w:rFonts w:ascii="Times New Roman" w:eastAsia="MS Mincho" w:hAnsi="Times New Roman" w:cs="Times New Roman"/>
          <w:color w:val="000000" w:themeColor="text1"/>
          <w:sz w:val="24"/>
          <w:szCs w:val="24"/>
          <w:lang w:val="bg-BG" w:eastAsia="ja-JP"/>
        </w:rPr>
        <w:t>“, не се вземат всички животни подадени от земеделския стопанин за директни плащания, кампания 2018 година, а само допустимият брой? Така голяма част от животните на земеделските стопани, налични в техните ферми ще отпаднат и има опасност да бъдат санкционирани, защото полагащите им се пасища на брой допустими животни, ще стане над норматива (над 15 дка);</w:t>
      </w:r>
    </w:p>
    <w:p w:rsidR="00273DD0" w:rsidRPr="00F04689" w:rsidRDefault="00273DD0" w:rsidP="00273DD0">
      <w:pPr>
        <w:pStyle w:val="a3"/>
        <w:numPr>
          <w:ilvl w:val="0"/>
          <w:numId w:val="1"/>
        </w:numPr>
        <w:tabs>
          <w:tab w:val="left" w:pos="6585"/>
        </w:tabs>
        <w:spacing w:after="0" w:line="240" w:lineRule="auto"/>
        <w:ind w:right="-23"/>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„Няма разграничаване на тавана за финансовата подкрепа при схемите за обвързана подкрепа в животновъдството за самостоятелен фермер и за сдружение /група от фермери. Би ли могло това да се промени и групата/ сдружението да получават според необходимостта на членовете си, а не наравно със самостоятелен фермер?“;</w:t>
      </w:r>
    </w:p>
    <w:p w:rsidR="00273DD0" w:rsidRDefault="00273DD0" w:rsidP="00273DD0">
      <w:pPr>
        <w:pStyle w:val="a3"/>
        <w:numPr>
          <w:ilvl w:val="0"/>
          <w:numId w:val="1"/>
        </w:numPr>
        <w:tabs>
          <w:tab w:val="left" w:pos="6585"/>
        </w:tabs>
        <w:spacing w:after="0" w:line="240" w:lineRule="auto"/>
        <w:ind w:right="-23"/>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„В частен случай при кандидатстване на обвързано подпомагане през 2018 г. е било възможно да се представи заменящо животно на мястото на вече заменено такова. Но в много кратък период и заменящото животно се е наложило да бъде ликвидирано, но вече не е било възможно да се замени това заменящо животно. В предходни години е имало такава възможност и защо сега това е променено?“;</w:t>
      </w:r>
    </w:p>
    <w:p w:rsidR="00273DD0" w:rsidRDefault="00273DD0" w:rsidP="00273DD0">
      <w:pPr>
        <w:pStyle w:val="a3"/>
        <w:numPr>
          <w:ilvl w:val="0"/>
          <w:numId w:val="1"/>
        </w:numPr>
        <w:tabs>
          <w:tab w:val="left" w:pos="6585"/>
        </w:tabs>
        <w:spacing w:after="0" w:line="240" w:lineRule="auto"/>
        <w:ind w:right="-23"/>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„Защо пчелните семейства не се третират наравно като животните от други направления и не се включват в обвързаното подпомагане“;</w:t>
      </w:r>
    </w:p>
    <w:p w:rsidR="00273DD0" w:rsidRDefault="00273DD0" w:rsidP="00273DD0">
      <w:pPr>
        <w:pStyle w:val="a3"/>
        <w:numPr>
          <w:ilvl w:val="0"/>
          <w:numId w:val="1"/>
        </w:numPr>
        <w:tabs>
          <w:tab w:val="left" w:pos="6585"/>
        </w:tabs>
        <w:spacing w:after="0" w:line="240" w:lineRule="auto"/>
        <w:ind w:right="-23"/>
        <w:jc w:val="both"/>
        <w:rPr>
          <w:rFonts w:ascii="Times New Roman" w:eastAsia="MS Mincho" w:hAnsi="Times New Roman" w:cs="Times New Roman"/>
          <w:color w:val="000000" w:themeColor="text1"/>
          <w:sz w:val="24"/>
          <w:szCs w:val="24"/>
          <w:lang w:val="bg-BG" w:eastAsia="ja-JP"/>
        </w:rPr>
      </w:pPr>
      <w:r>
        <w:rPr>
          <w:rFonts w:ascii="Times New Roman" w:eastAsia="MS Mincho" w:hAnsi="Times New Roman" w:cs="Times New Roman"/>
          <w:color w:val="000000" w:themeColor="text1"/>
          <w:sz w:val="24"/>
          <w:szCs w:val="24"/>
          <w:lang w:val="bg-BG" w:eastAsia="ja-JP"/>
        </w:rPr>
        <w:t>От Професионалната гимназия по Ветеринарна медицина в град Добрич зададоха въпроса „Защо след като са се регистрирали като обект по чл.137 от ЗВМД, вече могат да отглеждат само един вид животни? Няма ли възможност за такъв тип учебни заведения да се допуска изключение и да се позволява отглеждане и на допълнителни различни видове животни, с цел обучение на ученици?“.</w:t>
      </w:r>
    </w:p>
    <w:p w:rsidR="00273DD0" w:rsidRPr="00ED4D2B" w:rsidRDefault="00273DD0" w:rsidP="00273DD0">
      <w:pPr>
        <w:tabs>
          <w:tab w:val="left" w:pos="6585"/>
        </w:tabs>
        <w:spacing w:after="0" w:line="240" w:lineRule="auto"/>
        <w:ind w:left="708" w:right="-23"/>
        <w:jc w:val="both"/>
        <w:rPr>
          <w:rFonts w:ascii="Times New Roman" w:eastAsia="MS Mincho" w:hAnsi="Times New Roman" w:cs="Times New Roman"/>
          <w:color w:val="000000" w:themeColor="text1"/>
          <w:sz w:val="24"/>
          <w:szCs w:val="24"/>
          <w:lang w:val="bg-BG" w:eastAsia="ja-JP"/>
        </w:rPr>
      </w:pPr>
    </w:p>
    <w:p w:rsidR="00273DD0" w:rsidRDefault="00273DD0" w:rsidP="00273DD0">
      <w:pPr>
        <w:tabs>
          <w:tab w:val="left" w:pos="6585"/>
        </w:tabs>
        <w:spacing w:after="0" w:line="240" w:lineRule="auto"/>
        <w:ind w:right="-23" w:firstLine="708"/>
        <w:jc w:val="both"/>
        <w:rPr>
          <w:rFonts w:ascii="Times New Roman" w:hAnsi="Times New Roman" w:cs="Times New Roman"/>
          <w:color w:val="000000" w:themeColor="text1"/>
          <w:sz w:val="24"/>
          <w:szCs w:val="24"/>
          <w:lang w:val="bg-BG"/>
        </w:rPr>
      </w:pPr>
    </w:p>
    <w:p w:rsidR="00AD782B" w:rsidRDefault="00AD782B">
      <w:bookmarkStart w:id="0" w:name="_GoBack"/>
      <w:bookmarkEnd w:id="0"/>
    </w:p>
    <w:sectPr w:rsidR="00AD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266F"/>
    <w:multiLevelType w:val="hybridMultilevel"/>
    <w:tmpl w:val="0686A02E"/>
    <w:lvl w:ilvl="0" w:tplc="2AAC788E">
      <w:numFmt w:val="bullet"/>
      <w:lvlText w:val="-"/>
      <w:lvlJc w:val="left"/>
      <w:pPr>
        <w:ind w:left="1068" w:hanging="360"/>
      </w:pPr>
      <w:rPr>
        <w:rFonts w:ascii="Times New Roman" w:eastAsiaTheme="minorEastAsia"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D0"/>
    <w:rsid w:val="00273DD0"/>
    <w:rsid w:val="00AD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D0"/>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D0"/>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2019-07-12T09:16:00Z</dcterms:created>
  <dcterms:modified xsi:type="dcterms:W3CDTF">2019-07-12T09:18:00Z</dcterms:modified>
</cp:coreProperties>
</file>