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center"/>
        <w:textAlignment w:val="auto"/>
        <w:rPr>
          <w:rFonts w:ascii="Times New Roman" w:hAnsi="Times New Roman"/>
          <w:b/>
          <w:sz w:val="28"/>
          <w:szCs w:val="28"/>
          <w:lang w:val="bg-BG" w:eastAsia="bg-BG"/>
        </w:rPr>
      </w:pPr>
      <w:r w:rsidRPr="00367A5F">
        <w:rPr>
          <w:rFonts w:ascii="Times New Roman" w:hAnsi="Times New Roman"/>
          <w:b/>
          <w:sz w:val="28"/>
          <w:szCs w:val="28"/>
          <w:lang w:val="bg-BG" w:eastAsia="bg-BG"/>
        </w:rPr>
        <w:t>МЕТОДИКА</w:t>
      </w: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center"/>
        <w:textAlignment w:val="auto"/>
        <w:rPr>
          <w:rFonts w:ascii="Times New Roman" w:hAnsi="Times New Roman"/>
          <w:b/>
          <w:noProof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b/>
          <w:noProof/>
          <w:sz w:val="24"/>
          <w:szCs w:val="24"/>
          <w:lang w:val="bg-BG" w:eastAsia="bg-BG"/>
        </w:rPr>
        <w:t>за определяне комплексната оценка на офертите</w:t>
      </w: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b/>
          <w:noProof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b/>
          <w:sz w:val="24"/>
          <w:szCs w:val="24"/>
          <w:lang w:val="bg-BG" w:eastAsia="bg-BG"/>
        </w:rPr>
        <w:t xml:space="preserve">Критерий за оценка е </w:t>
      </w:r>
      <w:r w:rsidRPr="00367A5F">
        <w:rPr>
          <w:rFonts w:ascii="Times New Roman" w:hAnsi="Times New Roman"/>
          <w:b/>
          <w:noProof/>
          <w:sz w:val="24"/>
          <w:szCs w:val="24"/>
          <w:lang w:val="bg-BG" w:eastAsia="bg-BG"/>
        </w:rPr>
        <w:t>„икономически най-изгодна оферта”.</w:t>
      </w: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vertAlign w:val="subscript"/>
          <w:lang w:val="ru-RU" w:eastAsia="bg-BG"/>
        </w:rPr>
      </w:pPr>
      <w:r w:rsidRPr="00367A5F">
        <w:rPr>
          <w:rFonts w:ascii="Times New Roman" w:hAnsi="Times New Roman"/>
          <w:noProof/>
          <w:sz w:val="24"/>
          <w:szCs w:val="24"/>
          <w:lang w:val="bg-BG" w:eastAsia="bg-BG"/>
        </w:rPr>
        <w:t xml:space="preserve">Класирането се извършва на база на комплексна оценка (К), получена по следната формула: </w:t>
      </w:r>
      <w:r w:rsidRPr="00367A5F">
        <w:rPr>
          <w:rFonts w:ascii="Times New Roman" w:hAnsi="Times New Roman"/>
          <w:b/>
          <w:noProof/>
          <w:sz w:val="24"/>
          <w:szCs w:val="24"/>
          <w:lang w:val="bg-BG" w:eastAsia="bg-BG"/>
        </w:rPr>
        <w:t>К = (П</w:t>
      </w:r>
      <w:r w:rsidRPr="00367A5F">
        <w:rPr>
          <w:rFonts w:ascii="Times New Roman" w:hAnsi="Times New Roman"/>
          <w:b/>
          <w:noProof/>
          <w:sz w:val="24"/>
          <w:szCs w:val="24"/>
          <w:vertAlign w:val="subscript"/>
          <w:lang w:val="bg-BG" w:eastAsia="bg-BG"/>
        </w:rPr>
        <w:t>1</w:t>
      </w:r>
      <w:r w:rsidRPr="00367A5F">
        <w:rPr>
          <w:rFonts w:ascii="Times New Roman" w:hAnsi="Times New Roman"/>
          <w:b/>
          <w:noProof/>
          <w:sz w:val="24"/>
          <w:szCs w:val="24"/>
          <w:lang w:val="bg-BG" w:eastAsia="bg-BG"/>
        </w:rPr>
        <w:t xml:space="preserve"> + </w:t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>П</w:t>
      </w:r>
      <w:r w:rsidRPr="00367A5F">
        <w:rPr>
          <w:rFonts w:ascii="Times New Roman" w:hAnsi="Times New Roman"/>
          <w:b/>
          <w:sz w:val="24"/>
          <w:szCs w:val="24"/>
          <w:vertAlign w:val="subscript"/>
          <w:lang w:val="ru-RU" w:eastAsia="bg-BG"/>
        </w:rPr>
        <w:t>2</w:t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 xml:space="preserve"> ), </w:t>
      </w:r>
      <w:r w:rsidRPr="00367A5F">
        <w:rPr>
          <w:rFonts w:ascii="Times New Roman" w:hAnsi="Times New Roman"/>
          <w:b/>
          <w:i/>
          <w:sz w:val="24"/>
          <w:szCs w:val="24"/>
          <w:lang w:val="bg-BG" w:eastAsia="bg-BG"/>
        </w:rPr>
        <w:t xml:space="preserve">където 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>П</w:t>
      </w:r>
      <w:r w:rsidRPr="00367A5F">
        <w:rPr>
          <w:rFonts w:ascii="Times New Roman" w:hAnsi="Times New Roman"/>
          <w:sz w:val="24"/>
          <w:szCs w:val="24"/>
          <w:vertAlign w:val="subscript"/>
          <w:lang w:val="ru-RU" w:eastAsia="bg-BG"/>
        </w:rPr>
        <w:t>1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 и </w:t>
      </w:r>
      <w:r w:rsidRPr="00367A5F">
        <w:rPr>
          <w:rFonts w:ascii="Times New Roman" w:hAnsi="Times New Roman"/>
          <w:sz w:val="24"/>
          <w:szCs w:val="24"/>
          <w:lang w:val="bg-BG" w:eastAsia="bg-BG"/>
        </w:rPr>
        <w:t>П</w:t>
      </w:r>
      <w:r w:rsidRPr="00367A5F">
        <w:rPr>
          <w:rFonts w:ascii="Times New Roman" w:hAnsi="Times New Roman"/>
          <w:sz w:val="24"/>
          <w:szCs w:val="24"/>
          <w:vertAlign w:val="subscript"/>
          <w:lang w:val="bg-BG" w:eastAsia="bg-BG"/>
        </w:rPr>
        <w:t xml:space="preserve">2 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>са точките по първия (Тц) и втория (Тбр.) показател.</w:t>
      </w: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sz w:val="24"/>
          <w:szCs w:val="24"/>
          <w:lang w:val="bg-BG" w:eastAsia="bg-BG"/>
        </w:rPr>
        <w:t>Показатели при класиране на предложенията и тяхната относителна тежест в комплексната оценка са:</w:t>
      </w:r>
    </w:p>
    <w:tbl>
      <w:tblPr>
        <w:tblW w:w="8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5213"/>
        <w:gridCol w:w="3166"/>
      </w:tblGrid>
      <w:tr w:rsidR="005C1C21" w:rsidRPr="00367A5F" w:rsidTr="002D3F36">
        <w:tc>
          <w:tcPr>
            <w:tcW w:w="565" w:type="dxa"/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№</w:t>
            </w:r>
          </w:p>
        </w:tc>
        <w:tc>
          <w:tcPr>
            <w:tcW w:w="5213" w:type="dxa"/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 xml:space="preserve">Показатели </w:t>
            </w:r>
          </w:p>
        </w:tc>
        <w:tc>
          <w:tcPr>
            <w:tcW w:w="3166" w:type="dxa"/>
            <w:tcBorders>
              <w:left w:val="nil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Максимално възможен брой точки</w:t>
            </w:r>
          </w:p>
        </w:tc>
      </w:tr>
      <w:tr w:rsidR="005C1C21" w:rsidRPr="00367A5F" w:rsidTr="002D3F36"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5213" w:type="dxa"/>
            <w:tcBorders>
              <w:bottom w:val="single" w:sz="4" w:space="0" w:color="auto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vertAlign w:val="subscript"/>
                <w:lang w:val="ru-RU" w:eastAsia="bg-BG"/>
              </w:rPr>
            </w:pPr>
            <w:r w:rsidRPr="00367A5F"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Финансов:П</w:t>
            </w:r>
            <w:r w:rsidRPr="00367A5F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ru-RU" w:eastAsia="bg-BG"/>
              </w:rPr>
              <w:t>1</w:t>
            </w:r>
            <w:r w:rsidRPr="00367A5F">
              <w:rPr>
                <w:rFonts w:ascii="Times New Roman" w:hAnsi="Times New Roman"/>
                <w:sz w:val="24"/>
                <w:szCs w:val="24"/>
                <w:vertAlign w:val="subscript"/>
                <w:lang w:val="ru-RU" w:eastAsia="bg-BG"/>
              </w:rPr>
              <w:t xml:space="preserve"> </w:t>
            </w:r>
          </w:p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vertAlign w:val="subscript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Търговска отстъпка в % от официално обявените цени в бензиностанциите на участника</w:t>
            </w:r>
          </w:p>
        </w:tc>
        <w:tc>
          <w:tcPr>
            <w:tcW w:w="3166" w:type="dxa"/>
            <w:tcBorders>
              <w:left w:val="nil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0</w:t>
            </w:r>
          </w:p>
        </w:tc>
      </w:tr>
      <w:tr w:rsidR="005C1C21" w:rsidRPr="00367A5F" w:rsidTr="002D3F36"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2</w:t>
            </w:r>
          </w:p>
        </w:tc>
        <w:tc>
          <w:tcPr>
            <w:tcW w:w="5213" w:type="dxa"/>
            <w:tcBorders>
              <w:bottom w:val="single" w:sz="4" w:space="0" w:color="auto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vertAlign w:val="subscript"/>
                <w:lang w:val="ru-RU" w:eastAsia="bg-BG"/>
              </w:rPr>
            </w:pPr>
            <w:r w:rsidRPr="00367A5F"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Технически:П</w:t>
            </w:r>
            <w:r w:rsidRPr="00367A5F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ru-RU" w:eastAsia="bg-BG"/>
              </w:rPr>
              <w:t>2</w:t>
            </w:r>
          </w:p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vertAlign w:val="subscript"/>
                <w:lang w:val="ru-RU" w:eastAsia="bg-BG"/>
              </w:rPr>
            </w:pP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 xml:space="preserve">Брой търговски обекти (бензиностанции) на участника </w:t>
            </w: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>–</w:t>
            </w: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(</w:t>
            </w: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собствени, наети или франчайз</w:t>
            </w: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 xml:space="preserve"> или на подизпълнител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)</w:t>
            </w: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, на територи</w:t>
            </w: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>ята на общините в Област Благоевград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 xml:space="preserve"> </w:t>
            </w:r>
          </w:p>
        </w:tc>
        <w:tc>
          <w:tcPr>
            <w:tcW w:w="3166" w:type="dxa"/>
            <w:tcBorders>
              <w:left w:val="nil"/>
            </w:tcBorders>
            <w:vAlign w:val="center"/>
          </w:tcPr>
          <w:p w:rsidR="005C1C21" w:rsidRPr="00367A5F" w:rsidRDefault="005C1C21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  <w:r w:rsidRPr="00367A5F">
              <w:rPr>
                <w:rFonts w:ascii="Times New Roman" w:hAnsi="Times New Roman"/>
                <w:sz w:val="24"/>
                <w:szCs w:val="24"/>
                <w:lang w:val="ru-RU" w:eastAsia="bg-BG"/>
              </w:rPr>
              <w:t>0</w:t>
            </w:r>
          </w:p>
        </w:tc>
      </w:tr>
    </w:tbl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367A5F">
        <w:rPr>
          <w:rFonts w:ascii="Times New Roman" w:hAnsi="Times New Roman"/>
          <w:sz w:val="24"/>
          <w:szCs w:val="24"/>
          <w:lang w:val="ru-RU" w:eastAsia="bg-BG"/>
        </w:rPr>
        <w:t>Оценката на офертите по всеки показател ще се извърши по следния начин: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367A5F">
        <w:rPr>
          <w:rFonts w:ascii="Times New Roman" w:hAnsi="Times New Roman"/>
          <w:b/>
          <w:sz w:val="24"/>
          <w:szCs w:val="24"/>
          <w:bdr w:val="single" w:sz="4" w:space="0" w:color="auto"/>
          <w:lang w:val="ru-RU" w:eastAsia="bg-BG"/>
        </w:rPr>
        <w:t>Показател 1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ab/>
        <w:t xml:space="preserve"> </w:t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>“Търговска отстъпка от официално обявените цени в бензиностанциите на участника”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 с максимален брой точки </w:t>
      </w:r>
      <w:r>
        <w:rPr>
          <w:rFonts w:ascii="Times New Roman" w:hAnsi="Times New Roman"/>
          <w:sz w:val="24"/>
          <w:szCs w:val="24"/>
          <w:lang w:eastAsia="bg-BG"/>
        </w:rPr>
        <w:t>7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0 т. Максимален брой точки получава офертата с предложена най-голяма отстъпка – </w:t>
      </w:r>
      <w:r>
        <w:rPr>
          <w:rFonts w:ascii="Times New Roman" w:hAnsi="Times New Roman"/>
          <w:sz w:val="24"/>
          <w:szCs w:val="24"/>
          <w:lang w:eastAsia="bg-BG"/>
        </w:rPr>
        <w:t>7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>0 точки. Точките на останалите участници се определят в съотношение към най-високата търговска отстъпка по следната формула: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12"/>
          <w:szCs w:val="12"/>
          <w:u w:val="single"/>
          <w:lang w:val="bg-BG" w:eastAsia="bg-BG"/>
        </w:rPr>
      </w:pP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sz w:val="24"/>
          <w:szCs w:val="24"/>
          <w:u w:val="single"/>
          <w:lang w:val="bg-BG" w:eastAsia="bg-BG"/>
        </w:rPr>
        <w:t>отстъпката, предложена от съответния участник</w:t>
      </w:r>
      <w:r w:rsidRPr="00367A5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367A5F">
        <w:rPr>
          <w:rFonts w:ascii="Times New Roman" w:hAnsi="Times New Roman"/>
          <w:b/>
          <w:sz w:val="24"/>
          <w:szCs w:val="24"/>
          <w:lang w:val="bg-BG" w:eastAsia="bg-BG"/>
        </w:rPr>
        <w:t xml:space="preserve">х </w:t>
      </w:r>
      <w:r>
        <w:rPr>
          <w:rFonts w:ascii="Times New Roman" w:hAnsi="Times New Roman"/>
          <w:b/>
          <w:sz w:val="24"/>
          <w:szCs w:val="24"/>
          <w:lang w:eastAsia="bg-BG"/>
        </w:rPr>
        <w:t>7</w:t>
      </w:r>
      <w:r w:rsidRPr="00367A5F">
        <w:rPr>
          <w:rFonts w:ascii="Times New Roman" w:hAnsi="Times New Roman"/>
          <w:b/>
          <w:sz w:val="24"/>
          <w:szCs w:val="24"/>
          <w:lang w:val="bg-BG" w:eastAsia="bg-BG"/>
        </w:rPr>
        <w:t>0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sz w:val="24"/>
          <w:szCs w:val="24"/>
          <w:lang w:val="bg-BG" w:eastAsia="bg-BG"/>
        </w:rPr>
        <w:t>най-голямата отстъпка, предложена от участник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12"/>
          <w:szCs w:val="12"/>
          <w:bdr w:val="single" w:sz="4" w:space="0" w:color="auto"/>
          <w:lang w:val="ru-RU" w:eastAsia="bg-BG"/>
        </w:rPr>
      </w:pPr>
    </w:p>
    <w:p w:rsidR="005C1C21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367A5F">
        <w:rPr>
          <w:rFonts w:ascii="Times New Roman" w:hAnsi="Times New Roman"/>
          <w:b/>
          <w:sz w:val="24"/>
          <w:szCs w:val="24"/>
          <w:bdr w:val="single" w:sz="4" w:space="0" w:color="auto"/>
          <w:lang w:val="ru-RU" w:eastAsia="bg-BG"/>
        </w:rPr>
        <w:t>Показател 2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ab/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 xml:space="preserve">“Брой </w:t>
      </w:r>
      <w:r w:rsidRPr="00367A5F">
        <w:rPr>
          <w:rFonts w:ascii="Times New Roman" w:hAnsi="Times New Roman"/>
          <w:b/>
          <w:sz w:val="24"/>
          <w:szCs w:val="24"/>
          <w:lang w:val="bg-BG" w:eastAsia="bg-BG"/>
        </w:rPr>
        <w:t>търговски обекти (</w:t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 xml:space="preserve">бензиностанции) на участника 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–</w:t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bg-BG"/>
        </w:rPr>
        <w:t>(</w:t>
      </w:r>
      <w:r w:rsidRPr="00367A5F">
        <w:rPr>
          <w:rFonts w:ascii="Times New Roman" w:hAnsi="Times New Roman"/>
          <w:b/>
          <w:sz w:val="24"/>
          <w:szCs w:val="24"/>
          <w:lang w:val="ru-RU" w:eastAsia="bg-BG"/>
        </w:rPr>
        <w:t>собствени, наети или фран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чайз или на подизпълнител</w:t>
      </w:r>
      <w:r>
        <w:rPr>
          <w:rFonts w:ascii="Times New Roman" w:hAnsi="Times New Roman"/>
          <w:b/>
          <w:sz w:val="24"/>
          <w:szCs w:val="24"/>
          <w:lang w:eastAsia="bg-BG"/>
        </w:rPr>
        <w:t>)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 xml:space="preserve">, на територията на общините в Област Благоевград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с максимален брой точки </w:t>
      </w:r>
      <w:r>
        <w:rPr>
          <w:rFonts w:ascii="Times New Roman" w:hAnsi="Times New Roman"/>
          <w:sz w:val="24"/>
          <w:szCs w:val="24"/>
          <w:lang w:eastAsia="bg-BG"/>
        </w:rPr>
        <w:t>30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. </w:t>
      </w: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>Максимален брой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точки 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получава офертата с най-голям брой бензиностанции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 посочени от участника в </w:t>
      </w:r>
      <w:r>
        <w:rPr>
          <w:rFonts w:ascii="Times New Roman" w:hAnsi="Times New Roman"/>
          <w:sz w:val="24"/>
          <w:szCs w:val="24"/>
          <w:lang w:val="ru-RU" w:eastAsia="bg-BG"/>
        </w:rPr>
        <w:t>с</w:t>
      </w:r>
      <w:r w:rsidRPr="00841A75">
        <w:rPr>
          <w:rFonts w:ascii="Times New Roman" w:hAnsi="Times New Roman"/>
          <w:sz w:val="24"/>
          <w:szCs w:val="24"/>
          <w:lang w:val="ru-RU" w:eastAsia="bg-BG"/>
        </w:rPr>
        <w:t>писък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а, който е приложение към техническата оферта – </w:t>
      </w:r>
      <w:r>
        <w:rPr>
          <w:rFonts w:ascii="Times New Roman" w:hAnsi="Times New Roman"/>
          <w:sz w:val="24"/>
          <w:szCs w:val="24"/>
          <w:lang w:eastAsia="bg-BG"/>
        </w:rPr>
        <w:t>(</w:t>
      </w:r>
      <w:r>
        <w:rPr>
          <w:rFonts w:ascii="Times New Roman" w:hAnsi="Times New Roman"/>
          <w:sz w:val="24"/>
          <w:szCs w:val="24"/>
          <w:lang w:val="bg-BG" w:eastAsia="bg-BG"/>
        </w:rPr>
        <w:t>Приложение №10</w:t>
      </w:r>
      <w:r>
        <w:rPr>
          <w:rFonts w:ascii="Times New Roman" w:hAnsi="Times New Roman"/>
          <w:sz w:val="24"/>
          <w:szCs w:val="24"/>
          <w:lang w:eastAsia="bg-BG"/>
        </w:rPr>
        <w:t>)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 Точките на останалите участници се определят в съотношение към най-големия брой бензиностанции по следната формула: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12"/>
          <w:szCs w:val="12"/>
          <w:lang w:val="ru-RU" w:eastAsia="bg-BG"/>
        </w:rPr>
      </w:pPr>
    </w:p>
    <w:p w:rsidR="005C1C21" w:rsidRPr="00993BB3" w:rsidRDefault="005C1C21" w:rsidP="005C1C21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2"/>
          <w:szCs w:val="22"/>
          <w:lang w:val="bg-BG" w:eastAsia="bg-BG"/>
        </w:rPr>
      </w:pPr>
      <w:r w:rsidRPr="00993BB3">
        <w:rPr>
          <w:rFonts w:ascii="Times New Roman" w:hAnsi="Times New Roman"/>
          <w:sz w:val="22"/>
          <w:szCs w:val="22"/>
          <w:u w:val="single"/>
          <w:lang w:val="bg-BG" w:eastAsia="bg-BG"/>
        </w:rPr>
        <w:t>бр</w:t>
      </w:r>
      <w:r>
        <w:rPr>
          <w:rFonts w:ascii="Times New Roman" w:hAnsi="Times New Roman"/>
          <w:sz w:val="22"/>
          <w:szCs w:val="22"/>
          <w:u w:val="single"/>
          <w:lang w:val="bg-BG" w:eastAsia="bg-BG"/>
        </w:rPr>
        <w:t>ой</w:t>
      </w:r>
      <w:r w:rsidRPr="00993BB3">
        <w:rPr>
          <w:rFonts w:ascii="Times New Roman" w:hAnsi="Times New Roman"/>
          <w:sz w:val="22"/>
          <w:szCs w:val="22"/>
          <w:u w:val="single"/>
          <w:lang w:val="bg-BG" w:eastAsia="bg-BG"/>
        </w:rPr>
        <w:t xml:space="preserve"> търг</w:t>
      </w:r>
      <w:r>
        <w:rPr>
          <w:rFonts w:ascii="Times New Roman" w:hAnsi="Times New Roman"/>
          <w:sz w:val="22"/>
          <w:szCs w:val="22"/>
          <w:u w:val="single"/>
          <w:lang w:val="bg-BG" w:eastAsia="bg-BG"/>
        </w:rPr>
        <w:t xml:space="preserve">овски </w:t>
      </w:r>
      <w:r w:rsidRPr="00993BB3">
        <w:rPr>
          <w:rFonts w:ascii="Times New Roman" w:hAnsi="Times New Roman"/>
          <w:sz w:val="22"/>
          <w:szCs w:val="22"/>
          <w:u w:val="single"/>
          <w:lang w:val="bg-BG" w:eastAsia="bg-BG"/>
        </w:rPr>
        <w:t xml:space="preserve">обекти </w:t>
      </w:r>
      <w:r>
        <w:rPr>
          <w:rFonts w:ascii="Times New Roman" w:hAnsi="Times New Roman"/>
          <w:sz w:val="22"/>
          <w:szCs w:val="22"/>
          <w:u w:val="single"/>
          <w:lang w:val="bg-BG" w:eastAsia="bg-BG"/>
        </w:rPr>
        <w:t xml:space="preserve">посочени в списъка на участника </w:t>
      </w:r>
      <w:r w:rsidRPr="00993BB3">
        <w:rPr>
          <w:rFonts w:ascii="Times New Roman" w:hAnsi="Times New Roman"/>
          <w:sz w:val="22"/>
          <w:szCs w:val="22"/>
          <w:lang w:val="ru-RU" w:eastAsia="bg-BG"/>
        </w:rPr>
        <w:t xml:space="preserve"> </w:t>
      </w:r>
      <w:r w:rsidRPr="00993BB3">
        <w:rPr>
          <w:rFonts w:ascii="Times New Roman" w:hAnsi="Times New Roman"/>
          <w:b/>
          <w:sz w:val="22"/>
          <w:szCs w:val="22"/>
          <w:lang w:val="bg-BG" w:eastAsia="bg-BG"/>
        </w:rPr>
        <w:t xml:space="preserve">х </w:t>
      </w:r>
      <w:r>
        <w:rPr>
          <w:rFonts w:ascii="Times New Roman" w:hAnsi="Times New Roman"/>
          <w:b/>
          <w:sz w:val="22"/>
          <w:szCs w:val="22"/>
          <w:lang w:eastAsia="bg-BG"/>
        </w:rPr>
        <w:t>3</w:t>
      </w:r>
      <w:r w:rsidRPr="00993BB3">
        <w:rPr>
          <w:rFonts w:ascii="Times New Roman" w:hAnsi="Times New Roman"/>
          <w:b/>
          <w:sz w:val="22"/>
          <w:szCs w:val="22"/>
          <w:lang w:val="bg-BG" w:eastAsia="bg-BG"/>
        </w:rPr>
        <w:t>0</w:t>
      </w:r>
    </w:p>
    <w:p w:rsidR="005C1C21" w:rsidRPr="00993BB3" w:rsidRDefault="005C1C21" w:rsidP="005C1C21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993BB3">
        <w:rPr>
          <w:rFonts w:ascii="Times New Roman" w:hAnsi="Times New Roman"/>
          <w:sz w:val="22"/>
          <w:szCs w:val="22"/>
          <w:lang w:val="bg-BG" w:eastAsia="bg-BG"/>
        </w:rPr>
        <w:t>най-големия бр</w:t>
      </w:r>
      <w:r>
        <w:rPr>
          <w:rFonts w:ascii="Times New Roman" w:hAnsi="Times New Roman"/>
          <w:sz w:val="22"/>
          <w:szCs w:val="22"/>
          <w:lang w:val="bg-BG" w:eastAsia="bg-BG"/>
        </w:rPr>
        <w:t>ой</w:t>
      </w:r>
      <w:r w:rsidRPr="00993BB3">
        <w:rPr>
          <w:rFonts w:ascii="Times New Roman" w:hAnsi="Times New Roman"/>
          <w:sz w:val="22"/>
          <w:szCs w:val="22"/>
          <w:lang w:val="bg-BG" w:eastAsia="bg-BG"/>
        </w:rPr>
        <w:t xml:space="preserve"> търг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овски </w:t>
      </w:r>
      <w:r w:rsidRPr="00993BB3">
        <w:rPr>
          <w:rFonts w:ascii="Times New Roman" w:hAnsi="Times New Roman"/>
          <w:sz w:val="22"/>
          <w:szCs w:val="22"/>
          <w:lang w:val="bg-BG" w:eastAsia="bg-BG"/>
        </w:rPr>
        <w:t xml:space="preserve">обекти </w:t>
      </w:r>
      <w:r>
        <w:rPr>
          <w:rFonts w:ascii="Times New Roman" w:hAnsi="Times New Roman"/>
          <w:sz w:val="22"/>
          <w:szCs w:val="22"/>
          <w:lang w:val="bg-BG" w:eastAsia="bg-BG"/>
        </w:rPr>
        <w:t>п</w:t>
      </w:r>
      <w:r w:rsidRPr="00993BB3">
        <w:rPr>
          <w:rFonts w:ascii="Times New Roman" w:hAnsi="Times New Roman"/>
          <w:sz w:val="22"/>
          <w:szCs w:val="22"/>
          <w:lang w:val="bg-BG" w:eastAsia="bg-BG"/>
        </w:rPr>
        <w:t>редложен от участник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12"/>
          <w:szCs w:val="12"/>
          <w:lang w:val="ru-RU" w:eastAsia="bg-BG"/>
        </w:rPr>
      </w:pPr>
    </w:p>
    <w:p w:rsidR="005C1C21" w:rsidRPr="00367A5F" w:rsidRDefault="005C1C21" w:rsidP="005C1C2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sz w:val="24"/>
          <w:szCs w:val="24"/>
          <w:lang w:val="ru-RU" w:eastAsia="bg-BG"/>
        </w:rPr>
        <w:t>На база комплексната оценка, офертите ще бъдат класирани по низходящ ред, т.е. офертата, получила най-висока комплексна оценка, се класира на първо място, а офертата получила най-ниска комплексна оценка се класира на последно място.</w:t>
      </w:r>
    </w:p>
    <w:p w:rsidR="005C1C21" w:rsidRPr="00367A5F" w:rsidRDefault="005C1C21" w:rsidP="005C1C2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952C5F" w:rsidRDefault="00952C5F">
      <w:bookmarkStart w:id="0" w:name="_GoBack"/>
      <w:bookmarkEnd w:id="0"/>
    </w:p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21"/>
    <w:rsid w:val="005C1C21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C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C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2012-11-12T09:10:00Z</dcterms:created>
  <dcterms:modified xsi:type="dcterms:W3CDTF">2012-11-12T09:11:00Z</dcterms:modified>
</cp:coreProperties>
</file>