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5135"/>
      </w:tblGrid>
      <w:tr w:rsidR="0003047A">
        <w:trPr>
          <w:trHeight w:val="321"/>
        </w:trPr>
        <w:tc>
          <w:tcPr>
            <w:tcW w:w="5039" w:type="dxa"/>
          </w:tcPr>
          <w:p w:rsidR="0003047A" w:rsidRDefault="00DB0940" w:rsidP="00DB0940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Държавни такси/ Наемни вноски</w:t>
            </w:r>
          </w:p>
        </w:tc>
        <w:tc>
          <w:tcPr>
            <w:tcW w:w="5135" w:type="dxa"/>
          </w:tcPr>
          <w:p w:rsidR="0003047A" w:rsidRDefault="00DB0940" w:rsidP="00DB0940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Банкови сметки</w:t>
            </w:r>
          </w:p>
        </w:tc>
      </w:tr>
      <w:tr w:rsidR="0003047A">
        <w:trPr>
          <w:trHeight w:val="3249"/>
        </w:trPr>
        <w:tc>
          <w:tcPr>
            <w:tcW w:w="5039" w:type="dxa"/>
          </w:tcPr>
          <w:p w:rsidR="00DB0940" w:rsidRDefault="00DB0940" w:rsidP="00DB09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95" w:firstLine="0"/>
              <w:jc w:val="both"/>
            </w:pPr>
            <w:r>
              <w:t>Държавни такси, които се заплащат при промяна на предназначението на земеделските земи, съгласно Тарифа на таксите е необходимо да се преведат по банкова сметка на Министерство на земеделието, храните и горите</w:t>
            </w:r>
          </w:p>
          <w:p w:rsidR="0003047A" w:rsidRDefault="00DB0940" w:rsidP="00DB09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95" w:firstLine="0"/>
              <w:jc w:val="both"/>
            </w:pPr>
            <w:r>
              <w:t>Наемни и арендни вноски по сключени договори за ползване на земеделски земи от Държавния поземлен</w:t>
            </w:r>
            <w:r>
              <w:rPr>
                <w:spacing w:val="-1"/>
              </w:rPr>
              <w:t xml:space="preserve"> </w:t>
            </w:r>
            <w:r>
              <w:t>фонд</w:t>
            </w:r>
          </w:p>
          <w:p w:rsidR="0003047A" w:rsidRDefault="00DB0940" w:rsidP="00DB0940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spacing w:line="276" w:lineRule="auto"/>
              <w:ind w:right="94" w:firstLine="0"/>
              <w:jc w:val="both"/>
            </w:pPr>
            <w:r>
              <w:t xml:space="preserve">Държавни такси за предоставяне на административни услуги от Общинските служби по земеделие, съгласно Тарифа за </w:t>
            </w:r>
            <w:r>
              <w:rPr>
                <w:spacing w:val="-3"/>
              </w:rPr>
              <w:t xml:space="preserve">таксите, </w:t>
            </w:r>
            <w:r>
              <w:t>събирани от органите по поземлена</w:t>
            </w:r>
            <w:r>
              <w:rPr>
                <w:spacing w:val="-6"/>
              </w:rPr>
              <w:t xml:space="preserve"> </w:t>
            </w:r>
            <w:r>
              <w:t>собственост</w:t>
            </w:r>
          </w:p>
          <w:p w:rsidR="0003047A" w:rsidRDefault="00DB0940" w:rsidP="00DB0940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right="94" w:firstLine="0"/>
              <w:jc w:val="both"/>
            </w:pPr>
            <w:r>
              <w:t>Държавни такси, съгласно Т</w:t>
            </w:r>
            <w:bookmarkStart w:id="0" w:name="_GoBack"/>
            <w:bookmarkEnd w:id="0"/>
            <w:r>
              <w:t>арифа за таксите, събирани по Закона за регистрация и контрол на</w:t>
            </w:r>
            <w:r>
              <w:t xml:space="preserve"> земеделската и горската техника е необходимо да се преведат по приходна банкова сметка </w:t>
            </w:r>
            <w:r>
              <w:rPr>
                <w:spacing w:val="-3"/>
              </w:rPr>
              <w:t xml:space="preserve">на </w:t>
            </w:r>
            <w:r>
              <w:t>Областна дирекция „Земеделие“</w:t>
            </w:r>
            <w:r>
              <w:rPr>
                <w:spacing w:val="49"/>
              </w:rPr>
              <w:t xml:space="preserve"> </w:t>
            </w:r>
            <w:r>
              <w:t>Благоевград</w:t>
            </w:r>
          </w:p>
        </w:tc>
        <w:tc>
          <w:tcPr>
            <w:tcW w:w="5135" w:type="dxa"/>
          </w:tcPr>
          <w:p w:rsidR="0003047A" w:rsidRDefault="00DB0940" w:rsidP="00DB0940">
            <w:pPr>
              <w:pStyle w:val="TableParagraph"/>
              <w:spacing w:line="276" w:lineRule="auto"/>
              <w:ind w:right="2003"/>
              <w:rPr>
                <w:b/>
              </w:rPr>
            </w:pPr>
            <w:r>
              <w:rPr>
                <w:b/>
              </w:rPr>
              <w:t>УНИКРЕДИТ БУЛБАНК АД, ГР. БЛАГОЕВГРАД</w:t>
            </w:r>
          </w:p>
          <w:p w:rsidR="0003047A" w:rsidRDefault="0003047A" w:rsidP="00DB0940">
            <w:pPr>
              <w:pStyle w:val="TableParagraph"/>
              <w:spacing w:before="6" w:line="276" w:lineRule="auto"/>
              <w:ind w:left="0"/>
              <w:rPr>
                <w:sz w:val="21"/>
              </w:rPr>
            </w:pPr>
          </w:p>
          <w:p w:rsidR="0003047A" w:rsidRDefault="00DB0940" w:rsidP="00DB0940">
            <w:pPr>
              <w:pStyle w:val="TableParagraph"/>
              <w:spacing w:before="1" w:line="276" w:lineRule="auto"/>
              <w:ind w:right="1392"/>
            </w:pPr>
            <w:r>
              <w:t>IBAN: BG35 UNCR 9660 3188 2329 10 BIС: UNCRBGSF</w:t>
            </w:r>
          </w:p>
        </w:tc>
      </w:tr>
      <w:tr w:rsidR="0003047A">
        <w:trPr>
          <w:trHeight w:val="2980"/>
        </w:trPr>
        <w:tc>
          <w:tcPr>
            <w:tcW w:w="5039" w:type="dxa"/>
          </w:tcPr>
          <w:p w:rsidR="0003047A" w:rsidRDefault="00DB0940" w:rsidP="00DB094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76" w:lineRule="auto"/>
              <w:ind w:right="97" w:firstLine="0"/>
              <w:jc w:val="both"/>
            </w:pPr>
            <w:r>
              <w:t>Депозити за участие в тръжни процедури за отдаване под наем и аренда на земеделски земи от Държавния поземлен</w:t>
            </w:r>
            <w:r>
              <w:rPr>
                <w:spacing w:val="-6"/>
              </w:rPr>
              <w:t xml:space="preserve"> </w:t>
            </w:r>
            <w:r>
              <w:t>фонд</w:t>
            </w:r>
          </w:p>
          <w:p w:rsidR="0003047A" w:rsidRDefault="00DB0940" w:rsidP="00DB094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76" w:lineRule="auto"/>
              <w:ind w:right="96" w:firstLine="0"/>
              <w:jc w:val="both"/>
            </w:pPr>
            <w:r>
              <w:t>Гаранции по договори след проведени процедури по Закона за обществените</w:t>
            </w:r>
            <w:r>
              <w:rPr>
                <w:spacing w:val="-4"/>
              </w:rPr>
              <w:t xml:space="preserve"> </w:t>
            </w:r>
            <w:r>
              <w:t>поръчки</w:t>
            </w:r>
          </w:p>
          <w:p w:rsidR="0003047A" w:rsidRDefault="00DB0940" w:rsidP="00DB0940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76" w:lineRule="auto"/>
              <w:ind w:right="92" w:firstLine="0"/>
              <w:jc w:val="both"/>
            </w:pPr>
            <w:r>
              <w:t xml:space="preserve">Суми за ползване на земеделските земи по </w:t>
            </w:r>
            <w:r w:rsidRPr="00DB0940">
              <w:t xml:space="preserve">чл.37в, ал.3, т.2 и </w:t>
            </w:r>
            <w:r w:rsidRPr="00DB0940">
              <w:t>чл.37ж, ал.12</w:t>
            </w:r>
            <w:r>
              <w:rPr>
                <w:b/>
              </w:rPr>
              <w:t xml:space="preserve"> </w:t>
            </w:r>
            <w:r>
              <w:t xml:space="preserve">от Закона за собствеността и ползването на земеделските земи („бели петна“) е необходимо да се преведат по </w:t>
            </w:r>
            <w:proofErr w:type="spellStart"/>
            <w:r>
              <w:t>набирателна</w:t>
            </w:r>
            <w:proofErr w:type="spellEnd"/>
            <w:r>
              <w:t xml:space="preserve"> банкова сметка на Областна</w:t>
            </w:r>
            <w:r>
              <w:rPr>
                <w:spacing w:val="-5"/>
              </w:rPr>
              <w:t xml:space="preserve"> </w:t>
            </w:r>
            <w:r>
              <w:t>дирекция</w:t>
            </w:r>
          </w:p>
          <w:p w:rsidR="0003047A" w:rsidRDefault="00DB0940" w:rsidP="00DB0940">
            <w:pPr>
              <w:pStyle w:val="TableParagraph"/>
              <w:spacing w:line="276" w:lineRule="auto"/>
              <w:jc w:val="both"/>
            </w:pPr>
            <w:r>
              <w:t>„Земеделие“</w:t>
            </w:r>
            <w:r>
              <w:rPr>
                <w:spacing w:val="53"/>
              </w:rPr>
              <w:t xml:space="preserve"> </w:t>
            </w:r>
            <w:r>
              <w:t>Благоевград</w:t>
            </w:r>
          </w:p>
        </w:tc>
        <w:tc>
          <w:tcPr>
            <w:tcW w:w="5135" w:type="dxa"/>
          </w:tcPr>
          <w:p w:rsidR="0003047A" w:rsidRDefault="00DB0940" w:rsidP="00DB0940">
            <w:pPr>
              <w:pStyle w:val="TableParagraph"/>
              <w:spacing w:before="1" w:line="276" w:lineRule="auto"/>
              <w:ind w:right="2003"/>
              <w:rPr>
                <w:b/>
              </w:rPr>
            </w:pPr>
            <w:r>
              <w:rPr>
                <w:b/>
              </w:rPr>
              <w:t>УНИКРЕДИТ БУЛБАНК АД, ГР. БЛАГОЕВГРАД</w:t>
            </w:r>
          </w:p>
          <w:p w:rsidR="0003047A" w:rsidRDefault="0003047A" w:rsidP="00DB0940">
            <w:pPr>
              <w:pStyle w:val="TableParagraph"/>
              <w:spacing w:before="6" w:line="276" w:lineRule="auto"/>
              <w:ind w:left="0"/>
              <w:rPr>
                <w:sz w:val="21"/>
              </w:rPr>
            </w:pPr>
          </w:p>
          <w:p w:rsidR="0003047A" w:rsidRDefault="00DB0940" w:rsidP="00DB0940">
            <w:pPr>
              <w:pStyle w:val="TableParagraph"/>
              <w:spacing w:line="276" w:lineRule="auto"/>
              <w:ind w:right="1392"/>
            </w:pPr>
            <w:r>
              <w:t>IBAN: BG30 UNCR 7000 3319 7136 59 BIС: UNCRBGSF</w:t>
            </w:r>
          </w:p>
        </w:tc>
      </w:tr>
    </w:tbl>
    <w:p w:rsidR="00000000" w:rsidRDefault="00DB0940" w:rsidP="00DB0940">
      <w:pPr>
        <w:spacing w:line="276" w:lineRule="auto"/>
      </w:pPr>
    </w:p>
    <w:sectPr w:rsidR="00000000">
      <w:type w:val="continuous"/>
      <w:pgSz w:w="11910" w:h="16850"/>
      <w:pgMar w:top="92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99D"/>
    <w:multiLevelType w:val="hybridMultilevel"/>
    <w:tmpl w:val="06F07D78"/>
    <w:lvl w:ilvl="0" w:tplc="0AB63A1A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6A22F0DE">
      <w:numFmt w:val="bullet"/>
      <w:lvlText w:val="•"/>
      <w:lvlJc w:val="left"/>
      <w:pPr>
        <w:ind w:left="592" w:hanging="137"/>
      </w:pPr>
      <w:rPr>
        <w:rFonts w:hint="default"/>
        <w:lang w:val="bg-BG" w:eastAsia="en-US" w:bidi="ar-SA"/>
      </w:rPr>
    </w:lvl>
    <w:lvl w:ilvl="2" w:tplc="2A7AED4C">
      <w:numFmt w:val="bullet"/>
      <w:lvlText w:val="•"/>
      <w:lvlJc w:val="left"/>
      <w:pPr>
        <w:ind w:left="1085" w:hanging="137"/>
      </w:pPr>
      <w:rPr>
        <w:rFonts w:hint="default"/>
        <w:lang w:val="bg-BG" w:eastAsia="en-US" w:bidi="ar-SA"/>
      </w:rPr>
    </w:lvl>
    <w:lvl w:ilvl="3" w:tplc="FA2ABDDC">
      <w:numFmt w:val="bullet"/>
      <w:lvlText w:val="•"/>
      <w:lvlJc w:val="left"/>
      <w:pPr>
        <w:ind w:left="1578" w:hanging="137"/>
      </w:pPr>
      <w:rPr>
        <w:rFonts w:hint="default"/>
        <w:lang w:val="bg-BG" w:eastAsia="en-US" w:bidi="ar-SA"/>
      </w:rPr>
    </w:lvl>
    <w:lvl w:ilvl="4" w:tplc="419EA2CC">
      <w:numFmt w:val="bullet"/>
      <w:lvlText w:val="•"/>
      <w:lvlJc w:val="left"/>
      <w:pPr>
        <w:ind w:left="2071" w:hanging="137"/>
      </w:pPr>
      <w:rPr>
        <w:rFonts w:hint="default"/>
        <w:lang w:val="bg-BG" w:eastAsia="en-US" w:bidi="ar-SA"/>
      </w:rPr>
    </w:lvl>
    <w:lvl w:ilvl="5" w:tplc="E446DE64">
      <w:numFmt w:val="bullet"/>
      <w:lvlText w:val="•"/>
      <w:lvlJc w:val="left"/>
      <w:pPr>
        <w:ind w:left="2564" w:hanging="137"/>
      </w:pPr>
      <w:rPr>
        <w:rFonts w:hint="default"/>
        <w:lang w:val="bg-BG" w:eastAsia="en-US" w:bidi="ar-SA"/>
      </w:rPr>
    </w:lvl>
    <w:lvl w:ilvl="6" w:tplc="1CE6F318">
      <w:numFmt w:val="bullet"/>
      <w:lvlText w:val="•"/>
      <w:lvlJc w:val="left"/>
      <w:pPr>
        <w:ind w:left="3057" w:hanging="137"/>
      </w:pPr>
      <w:rPr>
        <w:rFonts w:hint="default"/>
        <w:lang w:val="bg-BG" w:eastAsia="en-US" w:bidi="ar-SA"/>
      </w:rPr>
    </w:lvl>
    <w:lvl w:ilvl="7" w:tplc="8298769E">
      <w:numFmt w:val="bullet"/>
      <w:lvlText w:val="•"/>
      <w:lvlJc w:val="left"/>
      <w:pPr>
        <w:ind w:left="3550" w:hanging="137"/>
      </w:pPr>
      <w:rPr>
        <w:rFonts w:hint="default"/>
        <w:lang w:val="bg-BG" w:eastAsia="en-US" w:bidi="ar-SA"/>
      </w:rPr>
    </w:lvl>
    <w:lvl w:ilvl="8" w:tplc="23D4CFCA">
      <w:numFmt w:val="bullet"/>
      <w:lvlText w:val="•"/>
      <w:lvlJc w:val="left"/>
      <w:pPr>
        <w:ind w:left="4043" w:hanging="137"/>
      </w:pPr>
      <w:rPr>
        <w:rFonts w:hint="default"/>
        <w:lang w:val="bg-BG" w:eastAsia="en-US" w:bidi="ar-SA"/>
      </w:rPr>
    </w:lvl>
  </w:abstractNum>
  <w:abstractNum w:abstractNumId="1" w15:restartNumberingAfterBreak="0">
    <w:nsid w:val="5EC32FAF"/>
    <w:multiLevelType w:val="hybridMultilevel"/>
    <w:tmpl w:val="169E2A72"/>
    <w:lvl w:ilvl="0" w:tplc="C76868C2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421CBDC4">
      <w:numFmt w:val="bullet"/>
      <w:lvlText w:val="•"/>
      <w:lvlJc w:val="left"/>
      <w:pPr>
        <w:ind w:left="592" w:hanging="207"/>
      </w:pPr>
      <w:rPr>
        <w:rFonts w:hint="default"/>
        <w:lang w:val="bg-BG" w:eastAsia="en-US" w:bidi="ar-SA"/>
      </w:rPr>
    </w:lvl>
    <w:lvl w:ilvl="2" w:tplc="8A9603BE">
      <w:numFmt w:val="bullet"/>
      <w:lvlText w:val="•"/>
      <w:lvlJc w:val="left"/>
      <w:pPr>
        <w:ind w:left="1085" w:hanging="207"/>
      </w:pPr>
      <w:rPr>
        <w:rFonts w:hint="default"/>
        <w:lang w:val="bg-BG" w:eastAsia="en-US" w:bidi="ar-SA"/>
      </w:rPr>
    </w:lvl>
    <w:lvl w:ilvl="3" w:tplc="0A5245BC">
      <w:numFmt w:val="bullet"/>
      <w:lvlText w:val="•"/>
      <w:lvlJc w:val="left"/>
      <w:pPr>
        <w:ind w:left="1578" w:hanging="207"/>
      </w:pPr>
      <w:rPr>
        <w:rFonts w:hint="default"/>
        <w:lang w:val="bg-BG" w:eastAsia="en-US" w:bidi="ar-SA"/>
      </w:rPr>
    </w:lvl>
    <w:lvl w:ilvl="4" w:tplc="8DBE1794">
      <w:numFmt w:val="bullet"/>
      <w:lvlText w:val="•"/>
      <w:lvlJc w:val="left"/>
      <w:pPr>
        <w:ind w:left="2071" w:hanging="207"/>
      </w:pPr>
      <w:rPr>
        <w:rFonts w:hint="default"/>
        <w:lang w:val="bg-BG" w:eastAsia="en-US" w:bidi="ar-SA"/>
      </w:rPr>
    </w:lvl>
    <w:lvl w:ilvl="5" w:tplc="D268959E">
      <w:numFmt w:val="bullet"/>
      <w:lvlText w:val="•"/>
      <w:lvlJc w:val="left"/>
      <w:pPr>
        <w:ind w:left="2564" w:hanging="207"/>
      </w:pPr>
      <w:rPr>
        <w:rFonts w:hint="default"/>
        <w:lang w:val="bg-BG" w:eastAsia="en-US" w:bidi="ar-SA"/>
      </w:rPr>
    </w:lvl>
    <w:lvl w:ilvl="6" w:tplc="366047A8">
      <w:numFmt w:val="bullet"/>
      <w:lvlText w:val="•"/>
      <w:lvlJc w:val="left"/>
      <w:pPr>
        <w:ind w:left="3057" w:hanging="207"/>
      </w:pPr>
      <w:rPr>
        <w:rFonts w:hint="default"/>
        <w:lang w:val="bg-BG" w:eastAsia="en-US" w:bidi="ar-SA"/>
      </w:rPr>
    </w:lvl>
    <w:lvl w:ilvl="7" w:tplc="6FFEC9CC">
      <w:numFmt w:val="bullet"/>
      <w:lvlText w:val="•"/>
      <w:lvlJc w:val="left"/>
      <w:pPr>
        <w:ind w:left="3550" w:hanging="207"/>
      </w:pPr>
      <w:rPr>
        <w:rFonts w:hint="default"/>
        <w:lang w:val="bg-BG" w:eastAsia="en-US" w:bidi="ar-SA"/>
      </w:rPr>
    </w:lvl>
    <w:lvl w:ilvl="8" w:tplc="40E61730">
      <w:numFmt w:val="bullet"/>
      <w:lvlText w:val="•"/>
      <w:lvlJc w:val="left"/>
      <w:pPr>
        <w:ind w:left="4043" w:hanging="207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3047A"/>
    <w:rsid w:val="0003047A"/>
    <w:rsid w:val="00D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286C"/>
  <w15:docId w15:val="{B3667E9D-D6A0-4FBC-ABD2-05947B0D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Vladimir</dc:creator>
  <cp:lastModifiedBy>Simona Stoilova</cp:lastModifiedBy>
  <cp:revision>2</cp:revision>
  <dcterms:created xsi:type="dcterms:W3CDTF">2021-01-04T13:03:00Z</dcterms:created>
  <dcterms:modified xsi:type="dcterms:W3CDTF">2021-01-04T13:12:00Z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2021-01-04T00:00:00Z</vt:filetime>
  </property>
</Properties>
</file>