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377CB0" w:rsidRDefault="00377CB0" w:rsidP="00377CB0">
      <w:pPr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lang w:val="en-US"/>
        </w:rPr>
      </w:pPr>
    </w:p>
    <w:p w:rsidR="00377CB0" w:rsidRPr="00463198" w:rsidRDefault="006C2FA2" w:rsidP="00463198">
      <w:pPr>
        <w:spacing w:after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377CB0" w:rsidRPr="00463198">
        <w:rPr>
          <w:rFonts w:ascii="Arial" w:hAnsi="Arial" w:cs="Arial"/>
          <w:b/>
          <w:noProof/>
          <w:sz w:val="20"/>
        </w:rPr>
        <w:t>.</w:t>
      </w:r>
      <w:r w:rsidR="00377CB0" w:rsidRPr="00463198">
        <w:rPr>
          <w:rFonts w:ascii="Arial" w:hAnsi="Arial" w:cs="Arial"/>
          <w:noProof/>
          <w:sz w:val="20"/>
        </w:rPr>
        <w:t xml:space="preserve"> </w:t>
      </w:r>
      <w:r w:rsidR="00031E05" w:rsidRPr="00031E05">
        <w:rPr>
          <w:rFonts w:ascii="Arial" w:hAnsi="Arial" w:cs="Arial"/>
          <w:b/>
          <w:noProof/>
          <w:sz w:val="20"/>
        </w:rPr>
        <w:t>В п</w:t>
      </w:r>
      <w:r w:rsidR="00377CB0" w:rsidRPr="00463198">
        <w:rPr>
          <w:rFonts w:ascii="Arial" w:hAnsi="Arial" w:cs="Arial"/>
          <w:b/>
          <w:noProof/>
          <w:sz w:val="20"/>
        </w:rPr>
        <w:t xml:space="preserve">роцес на разработване </w:t>
      </w:r>
      <w:r w:rsidR="00031E05">
        <w:rPr>
          <w:rFonts w:ascii="Arial" w:hAnsi="Arial" w:cs="Arial"/>
          <w:b/>
          <w:noProof/>
          <w:sz w:val="20"/>
        </w:rPr>
        <w:t>е</w:t>
      </w:r>
      <w:r w:rsidR="00377CB0" w:rsidRPr="00463198">
        <w:rPr>
          <w:rFonts w:ascii="Arial" w:hAnsi="Arial" w:cs="Arial"/>
          <w:b/>
          <w:noProof/>
          <w:sz w:val="20"/>
        </w:rPr>
        <w:t xml:space="preserve"> вторичното европейско законодателство за новата ОСП (2023-2027).</w:t>
      </w:r>
      <w:r w:rsidR="00377CB0" w:rsidRPr="00463198">
        <w:rPr>
          <w:rFonts w:ascii="Arial" w:hAnsi="Arial" w:cs="Arial"/>
          <w:noProof/>
          <w:sz w:val="20"/>
        </w:rPr>
        <w:t xml:space="preserve"> </w:t>
      </w:r>
      <w:r w:rsidR="00377CB0" w:rsidRPr="00463198">
        <w:rPr>
          <w:rFonts w:ascii="Arial" w:hAnsi="Arial" w:cs="Arial"/>
          <w:sz w:val="20"/>
        </w:rPr>
        <w:t>Успоредно с работата по официално</w:t>
      </w:r>
      <w:r w:rsidR="00463198" w:rsidRPr="00463198">
        <w:rPr>
          <w:rFonts w:ascii="Arial" w:hAnsi="Arial" w:cs="Arial"/>
          <w:sz w:val="20"/>
        </w:rPr>
        <w:t>то</w:t>
      </w:r>
      <w:r w:rsidR="00377CB0" w:rsidRPr="00463198">
        <w:rPr>
          <w:rFonts w:ascii="Arial" w:hAnsi="Arial" w:cs="Arial"/>
          <w:sz w:val="20"/>
        </w:rPr>
        <w:t xml:space="preserve"> приемане и публикуване на базовите регламенти за </w:t>
      </w:r>
      <w:r w:rsidR="004A127B">
        <w:rPr>
          <w:rFonts w:ascii="Arial" w:hAnsi="Arial" w:cs="Arial"/>
          <w:sz w:val="20"/>
        </w:rPr>
        <w:t xml:space="preserve">бъдещата </w:t>
      </w:r>
      <w:r w:rsidR="00377CB0" w:rsidRPr="00463198">
        <w:rPr>
          <w:rFonts w:ascii="Arial" w:hAnsi="Arial" w:cs="Arial"/>
          <w:sz w:val="20"/>
        </w:rPr>
        <w:t>ОСП, Европейската комисия започна процес по представяне пред държавите</w:t>
      </w:r>
      <w:r w:rsidR="00463198" w:rsidRPr="00463198">
        <w:rPr>
          <w:rFonts w:ascii="Arial" w:hAnsi="Arial" w:cs="Arial"/>
          <w:sz w:val="20"/>
        </w:rPr>
        <w:t xml:space="preserve"> </w:t>
      </w:r>
      <w:r w:rsidR="00377CB0" w:rsidRPr="00463198">
        <w:rPr>
          <w:rFonts w:ascii="Arial" w:hAnsi="Arial" w:cs="Arial"/>
          <w:sz w:val="20"/>
        </w:rPr>
        <w:t xml:space="preserve">членки на отделни части от бъдещите делегирани и прилагащи регламенти. До момента, в рамките на Експертната група и Комитета по директни плащания, Комисията представи проекти на разпоредби относно интервенциите за коноп, памук и ИСАК. Очакванията и намерението на Комисията </w:t>
      </w:r>
      <w:r w:rsidR="005F401E">
        <w:rPr>
          <w:rFonts w:ascii="Arial" w:hAnsi="Arial" w:cs="Arial"/>
          <w:sz w:val="20"/>
        </w:rPr>
        <w:t>са</w:t>
      </w:r>
      <w:r w:rsidR="00377CB0" w:rsidRPr="00463198">
        <w:rPr>
          <w:rFonts w:ascii="Arial" w:hAnsi="Arial" w:cs="Arial"/>
          <w:sz w:val="20"/>
        </w:rPr>
        <w:t xml:space="preserve"> първата част от вторичното законодателство да бъде обсъден</w:t>
      </w:r>
      <w:r w:rsidR="005F401E">
        <w:rPr>
          <w:rFonts w:ascii="Arial" w:hAnsi="Arial" w:cs="Arial"/>
          <w:sz w:val="20"/>
        </w:rPr>
        <w:t>а</w:t>
      </w:r>
      <w:r w:rsidR="00377CB0" w:rsidRPr="00463198">
        <w:rPr>
          <w:rFonts w:ascii="Arial" w:hAnsi="Arial" w:cs="Arial"/>
          <w:sz w:val="20"/>
        </w:rPr>
        <w:t xml:space="preserve"> и приет</w:t>
      </w:r>
      <w:r w:rsidR="005F401E">
        <w:rPr>
          <w:rFonts w:ascii="Arial" w:hAnsi="Arial" w:cs="Arial"/>
          <w:sz w:val="20"/>
        </w:rPr>
        <w:t>а</w:t>
      </w:r>
      <w:r w:rsidR="00377CB0" w:rsidRPr="00463198">
        <w:rPr>
          <w:rFonts w:ascii="Arial" w:hAnsi="Arial" w:cs="Arial"/>
          <w:sz w:val="20"/>
        </w:rPr>
        <w:t xml:space="preserve"> до края на 2021 г., предвид прогнозата за гласуване в Европейския парламент на текстовете </w:t>
      </w:r>
      <w:r w:rsidR="005F401E">
        <w:rPr>
          <w:rFonts w:ascii="Arial" w:hAnsi="Arial" w:cs="Arial"/>
          <w:sz w:val="20"/>
        </w:rPr>
        <w:t>от</w:t>
      </w:r>
      <w:r w:rsidR="00377CB0" w:rsidRPr="00463198">
        <w:rPr>
          <w:rFonts w:ascii="Arial" w:hAnsi="Arial" w:cs="Arial"/>
          <w:sz w:val="20"/>
        </w:rPr>
        <w:t xml:space="preserve"> Регламента за стратегическите планове и новия Хоризонтален регламент, към края на месец ноември ил</w:t>
      </w:r>
      <w:r w:rsidR="005F401E">
        <w:rPr>
          <w:rFonts w:ascii="Arial" w:hAnsi="Arial" w:cs="Arial"/>
          <w:sz w:val="20"/>
        </w:rPr>
        <w:t>и началото на декември</w:t>
      </w:r>
      <w:r w:rsidR="00377CB0" w:rsidRPr="00463198">
        <w:rPr>
          <w:rFonts w:ascii="Arial" w:hAnsi="Arial" w:cs="Arial"/>
          <w:sz w:val="20"/>
        </w:rPr>
        <w:t xml:space="preserve"> 2021 г.</w:t>
      </w:r>
    </w:p>
    <w:p w:rsidR="00BF72EA" w:rsidRDefault="006C2FA2" w:rsidP="00BF72EA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0"/>
          <w:lang w:val="en-US"/>
        </w:rPr>
      </w:pPr>
      <w:r>
        <w:rPr>
          <w:rFonts w:ascii="Arial" w:eastAsiaTheme="minorHAnsi" w:hAnsi="Arial" w:cs="Arial"/>
          <w:b/>
          <w:bCs/>
          <w:sz w:val="20"/>
        </w:rPr>
        <w:t>2</w:t>
      </w:r>
      <w:r w:rsidR="00C57C8B">
        <w:rPr>
          <w:rFonts w:ascii="Arial" w:eastAsiaTheme="minorHAnsi" w:hAnsi="Arial" w:cs="Arial"/>
          <w:b/>
          <w:bCs/>
          <w:sz w:val="20"/>
        </w:rPr>
        <w:t xml:space="preserve">. </w:t>
      </w:r>
      <w:r w:rsidR="00C57C8B" w:rsidRPr="00C95093">
        <w:rPr>
          <w:rFonts w:ascii="Arial" w:hAnsi="Arial" w:cs="Arial"/>
          <w:b/>
          <w:color w:val="3C4043"/>
          <w:sz w:val="20"/>
        </w:rPr>
        <w:t xml:space="preserve">Общата селскостопанска политика (ОСП) е допринесла за постигане на целта за жизнеспособно производство на храни </w:t>
      </w:r>
      <w:r w:rsidR="00D47F3C">
        <w:rPr>
          <w:rFonts w:ascii="Arial" w:hAnsi="Arial" w:cs="Arial"/>
          <w:b/>
          <w:color w:val="3C4043"/>
          <w:sz w:val="20"/>
        </w:rPr>
        <w:t xml:space="preserve">в периода 2014- </w:t>
      </w:r>
      <w:r w:rsidR="00D47F3C" w:rsidRPr="00C95093">
        <w:rPr>
          <w:rFonts w:ascii="Arial" w:hAnsi="Arial" w:cs="Arial"/>
          <w:b/>
          <w:color w:val="3C4043"/>
          <w:sz w:val="20"/>
        </w:rPr>
        <w:t xml:space="preserve">2020 г. </w:t>
      </w:r>
      <w:r w:rsidR="004229E5">
        <w:rPr>
          <w:rFonts w:ascii="Arial" w:hAnsi="Arial" w:cs="Arial"/>
          <w:b/>
          <w:color w:val="3C4043"/>
          <w:sz w:val="20"/>
        </w:rPr>
        <w:t>чрез</w:t>
      </w:r>
      <w:r w:rsidR="00C57C8B" w:rsidRPr="00C95093">
        <w:rPr>
          <w:rFonts w:ascii="Arial" w:hAnsi="Arial" w:cs="Arial"/>
          <w:b/>
          <w:color w:val="3C4043"/>
          <w:sz w:val="20"/>
        </w:rPr>
        <w:t xml:space="preserve"> нарастване на доходите и ефективност</w:t>
      </w:r>
      <w:r w:rsidR="004378E5">
        <w:rPr>
          <w:rFonts w:ascii="Arial" w:hAnsi="Arial" w:cs="Arial"/>
          <w:b/>
          <w:color w:val="3C4043"/>
          <w:sz w:val="20"/>
        </w:rPr>
        <w:t>та</w:t>
      </w:r>
      <w:r w:rsidR="004229E5">
        <w:rPr>
          <w:rFonts w:ascii="Arial" w:hAnsi="Arial" w:cs="Arial"/>
          <w:b/>
          <w:color w:val="3C4043"/>
          <w:sz w:val="20"/>
        </w:rPr>
        <w:t xml:space="preserve">. </w:t>
      </w:r>
      <w:r w:rsidR="00D47F3C" w:rsidRPr="00D47F3C">
        <w:rPr>
          <w:rFonts w:ascii="Arial" w:hAnsi="Arial" w:cs="Arial"/>
          <w:color w:val="3C4043"/>
          <w:sz w:val="20"/>
        </w:rPr>
        <w:t xml:space="preserve">Този извод беше представен от </w:t>
      </w:r>
      <w:r w:rsidR="00C57C8B" w:rsidRPr="003861B0">
        <w:rPr>
          <w:rFonts w:ascii="Arial" w:hAnsi="Arial" w:cs="Arial"/>
          <w:sz w:val="20"/>
        </w:rPr>
        <w:t xml:space="preserve">Тасос </w:t>
      </w:r>
      <w:proofErr w:type="spellStart"/>
      <w:r w:rsidR="00C57C8B" w:rsidRPr="003861B0">
        <w:rPr>
          <w:rFonts w:ascii="Arial" w:hAnsi="Arial" w:cs="Arial"/>
          <w:sz w:val="20"/>
        </w:rPr>
        <w:t>Ханиотис</w:t>
      </w:r>
      <w:proofErr w:type="spellEnd"/>
      <w:r w:rsidR="00C57C8B" w:rsidRPr="003861B0">
        <w:rPr>
          <w:rFonts w:ascii="Arial" w:hAnsi="Arial" w:cs="Arial"/>
          <w:sz w:val="20"/>
        </w:rPr>
        <w:t xml:space="preserve">, заместник-генерален директор на ГД „Земеделие </w:t>
      </w:r>
      <w:r w:rsidR="00D47F3C">
        <w:rPr>
          <w:rFonts w:ascii="Arial" w:hAnsi="Arial" w:cs="Arial"/>
          <w:sz w:val="20"/>
        </w:rPr>
        <w:t xml:space="preserve">и развитие на селските райони“ </w:t>
      </w:r>
      <w:r w:rsidR="004229E5" w:rsidRPr="00D47F3C">
        <w:rPr>
          <w:rFonts w:ascii="Arial" w:hAnsi="Arial" w:cs="Arial"/>
          <w:sz w:val="20"/>
        </w:rPr>
        <w:t>пред</w:t>
      </w:r>
      <w:r w:rsidR="004229E5" w:rsidRPr="00D47F3C">
        <w:rPr>
          <w:rFonts w:ascii="Arial" w:hAnsi="Arial" w:cs="Arial"/>
          <w:color w:val="3C4043"/>
          <w:sz w:val="20"/>
        </w:rPr>
        <w:t xml:space="preserve"> депутати от </w:t>
      </w:r>
      <w:r w:rsidR="004229E5" w:rsidRPr="00D47F3C">
        <w:rPr>
          <w:rFonts w:ascii="Arial" w:hAnsi="Arial" w:cs="Arial"/>
          <w:sz w:val="20"/>
        </w:rPr>
        <w:t>Комисията по земеделие и развитие на селските райони</w:t>
      </w:r>
      <w:r w:rsidR="004229E5" w:rsidRPr="00D47F3C">
        <w:rPr>
          <w:rFonts w:ascii="Arial" w:hAnsi="Arial" w:cs="Arial"/>
          <w:color w:val="3C4043"/>
          <w:sz w:val="20"/>
        </w:rPr>
        <w:t xml:space="preserve"> </w:t>
      </w:r>
      <w:r w:rsidR="004378E5">
        <w:rPr>
          <w:rFonts w:ascii="Arial" w:hAnsi="Arial" w:cs="Arial"/>
          <w:color w:val="3C4043"/>
          <w:sz w:val="20"/>
        </w:rPr>
        <w:t xml:space="preserve">на </w:t>
      </w:r>
      <w:r w:rsidR="004229E5" w:rsidRPr="00D47F3C">
        <w:rPr>
          <w:rFonts w:ascii="Arial" w:hAnsi="Arial" w:cs="Arial"/>
          <w:color w:val="3C4043"/>
          <w:sz w:val="20"/>
        </w:rPr>
        <w:t>Европейския парламент (COMAGRI), на 25 октомври</w:t>
      </w:r>
      <w:r w:rsidR="004378E5">
        <w:rPr>
          <w:rFonts w:ascii="Arial" w:hAnsi="Arial" w:cs="Arial"/>
          <w:color w:val="3C4043"/>
          <w:sz w:val="20"/>
        </w:rPr>
        <w:t xml:space="preserve">, във връзка с </w:t>
      </w:r>
      <w:r w:rsidR="00D47F3C">
        <w:rPr>
          <w:rFonts w:ascii="Arial" w:hAnsi="Arial" w:cs="Arial"/>
          <w:color w:val="3C4043"/>
          <w:sz w:val="20"/>
        </w:rPr>
        <w:t>р</w:t>
      </w:r>
      <w:r w:rsidR="00D47F3C" w:rsidRPr="00D47F3C">
        <w:rPr>
          <w:rFonts w:ascii="Arial" w:hAnsi="Arial" w:cs="Arial"/>
          <w:color w:val="3C4043"/>
          <w:sz w:val="20"/>
        </w:rPr>
        <w:t xml:space="preserve">езултати </w:t>
      </w:r>
      <w:r w:rsidR="00C57C8B" w:rsidRPr="003861B0">
        <w:rPr>
          <w:rFonts w:ascii="Arial" w:hAnsi="Arial" w:cs="Arial"/>
          <w:sz w:val="20"/>
        </w:rPr>
        <w:t>от проучване за оценка на въздействието на инструм</w:t>
      </w:r>
      <w:r w:rsidR="00D47F3C">
        <w:rPr>
          <w:rFonts w:ascii="Arial" w:hAnsi="Arial" w:cs="Arial"/>
          <w:sz w:val="20"/>
        </w:rPr>
        <w:t>ентите на ОСП върху общата цел за</w:t>
      </w:r>
      <w:r w:rsidR="00C57C8B" w:rsidRPr="003861B0">
        <w:rPr>
          <w:rFonts w:ascii="Arial" w:hAnsi="Arial" w:cs="Arial"/>
          <w:sz w:val="20"/>
        </w:rPr>
        <w:t xml:space="preserve"> жизнеспособно производство на храни</w:t>
      </w:r>
      <w:r w:rsidR="00D47F3C">
        <w:rPr>
          <w:rFonts w:ascii="Arial" w:hAnsi="Arial" w:cs="Arial"/>
          <w:sz w:val="20"/>
        </w:rPr>
        <w:t xml:space="preserve">. </w:t>
      </w:r>
      <w:r w:rsidR="00C57C8B" w:rsidRPr="003861B0">
        <w:rPr>
          <w:rFonts w:ascii="Arial" w:hAnsi="Arial" w:cs="Arial"/>
          <w:sz w:val="20"/>
        </w:rPr>
        <w:t xml:space="preserve"> </w:t>
      </w:r>
      <w:r w:rsidR="006F762F">
        <w:rPr>
          <w:rFonts w:ascii="Arial" w:hAnsi="Arial" w:cs="Arial"/>
          <w:sz w:val="20"/>
        </w:rPr>
        <w:t xml:space="preserve">Г-н </w:t>
      </w:r>
      <w:proofErr w:type="spellStart"/>
      <w:r w:rsidR="006F762F">
        <w:rPr>
          <w:rFonts w:ascii="Arial" w:hAnsi="Arial" w:cs="Arial"/>
          <w:sz w:val="20"/>
        </w:rPr>
        <w:t>Ханиотис</w:t>
      </w:r>
      <w:proofErr w:type="spellEnd"/>
      <w:r w:rsidR="00D47F3C">
        <w:rPr>
          <w:rFonts w:ascii="Arial" w:hAnsi="Arial" w:cs="Arial"/>
          <w:sz w:val="20"/>
        </w:rPr>
        <w:t xml:space="preserve"> изтъкна,</w:t>
      </w:r>
      <w:r w:rsidR="00C57C8B" w:rsidRPr="003861B0">
        <w:rPr>
          <w:rFonts w:ascii="Arial" w:hAnsi="Arial" w:cs="Arial"/>
          <w:sz w:val="20"/>
        </w:rPr>
        <w:t xml:space="preserve"> че освен </w:t>
      </w:r>
      <w:r w:rsidR="00D47F3C">
        <w:rPr>
          <w:rFonts w:ascii="Arial" w:hAnsi="Arial" w:cs="Arial"/>
          <w:sz w:val="20"/>
        </w:rPr>
        <w:t>това изследване</w:t>
      </w:r>
      <w:r w:rsidR="00C57C8B" w:rsidRPr="003861B0">
        <w:rPr>
          <w:rFonts w:ascii="Arial" w:hAnsi="Arial" w:cs="Arial"/>
          <w:sz w:val="20"/>
        </w:rPr>
        <w:t xml:space="preserve"> има и друго, обхващащо устойчивото използване на природните ресурси</w:t>
      </w:r>
      <w:r w:rsidR="004378E5">
        <w:rPr>
          <w:rFonts w:ascii="Arial" w:hAnsi="Arial" w:cs="Arial"/>
          <w:sz w:val="20"/>
        </w:rPr>
        <w:t>, както</w:t>
      </w:r>
      <w:r w:rsidR="00C57C8B" w:rsidRPr="003861B0">
        <w:rPr>
          <w:rFonts w:ascii="Arial" w:hAnsi="Arial" w:cs="Arial"/>
          <w:sz w:val="20"/>
        </w:rPr>
        <w:t xml:space="preserve"> и още едно</w:t>
      </w:r>
      <w:r w:rsidR="004378E5">
        <w:rPr>
          <w:rFonts w:ascii="Arial" w:hAnsi="Arial" w:cs="Arial"/>
          <w:sz w:val="20"/>
        </w:rPr>
        <w:t xml:space="preserve"> </w:t>
      </w:r>
      <w:r w:rsidR="00C57C8B" w:rsidRPr="003861B0">
        <w:rPr>
          <w:rFonts w:ascii="Arial" w:hAnsi="Arial" w:cs="Arial"/>
          <w:sz w:val="20"/>
        </w:rPr>
        <w:t>в процес на разработване</w:t>
      </w:r>
      <w:r w:rsidR="004378E5">
        <w:rPr>
          <w:rFonts w:ascii="Arial" w:hAnsi="Arial" w:cs="Arial"/>
          <w:sz w:val="20"/>
        </w:rPr>
        <w:t>,</w:t>
      </w:r>
      <w:r w:rsidR="00C57C8B" w:rsidRPr="003861B0">
        <w:rPr>
          <w:rFonts w:ascii="Arial" w:hAnsi="Arial" w:cs="Arial"/>
          <w:sz w:val="20"/>
        </w:rPr>
        <w:t xml:space="preserve"> по отношение на териториалното измерение на ОСП. Едно от заключенията на проучването е, че земеделието в ЕС допринася за продоволствената сигурност. Доходите на земеделските стопани обаче все още са значително под средните доходи, въпреки постигнатия известен напредък. Между 2013 и 2019 г. има 15% увеличение на </w:t>
      </w:r>
      <w:proofErr w:type="spellStart"/>
      <w:r w:rsidR="00C57C8B" w:rsidRPr="003861B0">
        <w:rPr>
          <w:rFonts w:ascii="Arial" w:hAnsi="Arial" w:cs="Arial"/>
          <w:sz w:val="20"/>
        </w:rPr>
        <w:t>факторния</w:t>
      </w:r>
      <w:proofErr w:type="spellEnd"/>
      <w:r w:rsidR="00C57C8B" w:rsidRPr="003861B0">
        <w:rPr>
          <w:rFonts w:ascii="Arial" w:hAnsi="Arial" w:cs="Arial"/>
          <w:sz w:val="20"/>
        </w:rPr>
        <w:t xml:space="preserve"> доход в земеделието в ЕС. Това е доходът, който отразява трите фактора на производство -  капитал, труд и земя. Приблизително около 25% или ¼ от приходите на земеделските стопани са от директни плащания. Представените резултати за влиянието на ОСП </w:t>
      </w:r>
      <w:r w:rsidR="006F762F">
        <w:rPr>
          <w:rFonts w:ascii="Arial" w:hAnsi="Arial" w:cs="Arial"/>
          <w:sz w:val="20"/>
        </w:rPr>
        <w:t>върху</w:t>
      </w:r>
      <w:r w:rsidR="00C57C8B" w:rsidRPr="003861B0">
        <w:rPr>
          <w:rFonts w:ascii="Arial" w:hAnsi="Arial" w:cs="Arial"/>
          <w:sz w:val="20"/>
        </w:rPr>
        <w:t xml:space="preserve"> </w:t>
      </w:r>
      <w:r w:rsidR="006F762F">
        <w:rPr>
          <w:rFonts w:ascii="Arial" w:hAnsi="Arial" w:cs="Arial"/>
          <w:sz w:val="20"/>
        </w:rPr>
        <w:t>устойчивото</w:t>
      </w:r>
      <w:r w:rsidR="00C57C8B" w:rsidRPr="003861B0">
        <w:rPr>
          <w:rFonts w:ascii="Arial" w:hAnsi="Arial" w:cs="Arial"/>
          <w:sz w:val="20"/>
        </w:rPr>
        <w:t xml:space="preserve"> производство на храни предизвика широк дебат, в който бяха засегнати различни наболели теми. Беше повдигнат въпрос за разпределението на подкрепата, в посока, че делът на </w:t>
      </w:r>
      <w:r w:rsidR="006F762F">
        <w:rPr>
          <w:rFonts w:ascii="Arial" w:hAnsi="Arial" w:cs="Arial"/>
          <w:sz w:val="20"/>
        </w:rPr>
        <w:t xml:space="preserve">подпомагането по двата стълба в </w:t>
      </w:r>
      <w:r w:rsidR="00C57C8B" w:rsidRPr="003861B0">
        <w:rPr>
          <w:rFonts w:ascii="Arial" w:hAnsi="Arial" w:cs="Arial"/>
          <w:sz w:val="20"/>
        </w:rPr>
        <w:t>доходите на фермер</w:t>
      </w:r>
      <w:r w:rsidR="00BF72EA">
        <w:rPr>
          <w:rFonts w:ascii="Arial" w:hAnsi="Arial" w:cs="Arial"/>
          <w:sz w:val="20"/>
        </w:rPr>
        <w:t xml:space="preserve">ите </w:t>
      </w:r>
      <w:r w:rsidR="00BF72EA" w:rsidRPr="003861B0">
        <w:rPr>
          <w:rFonts w:ascii="Arial" w:hAnsi="Arial" w:cs="Arial"/>
          <w:sz w:val="20"/>
        </w:rPr>
        <w:t xml:space="preserve">в планинските райони </w:t>
      </w:r>
      <w:r w:rsidR="00C57C8B" w:rsidRPr="003861B0">
        <w:rPr>
          <w:rFonts w:ascii="Arial" w:hAnsi="Arial" w:cs="Arial"/>
          <w:sz w:val="20"/>
        </w:rPr>
        <w:t xml:space="preserve">е нараснал до почти 50% и дори </w:t>
      </w:r>
      <w:r w:rsidR="00BF72EA">
        <w:rPr>
          <w:rFonts w:ascii="Arial" w:hAnsi="Arial" w:cs="Arial"/>
          <w:sz w:val="20"/>
        </w:rPr>
        <w:t xml:space="preserve">до </w:t>
      </w:r>
      <w:r w:rsidR="00C57C8B" w:rsidRPr="003861B0">
        <w:rPr>
          <w:rFonts w:ascii="Arial" w:hAnsi="Arial" w:cs="Arial"/>
          <w:sz w:val="20"/>
        </w:rPr>
        <w:t xml:space="preserve">по-висок процент в някои екстензивни животновъдни сектори. </w:t>
      </w:r>
      <w:r w:rsidR="00EF0DFD">
        <w:rPr>
          <w:rFonts w:ascii="Arial" w:hAnsi="Arial" w:cs="Arial"/>
          <w:sz w:val="20"/>
        </w:rPr>
        <w:t>Казано беше</w:t>
      </w:r>
      <w:r w:rsidR="00C57C8B" w:rsidRPr="003861B0">
        <w:rPr>
          <w:rFonts w:ascii="Arial" w:hAnsi="Arial" w:cs="Arial"/>
          <w:sz w:val="20"/>
        </w:rPr>
        <w:t xml:space="preserve">, че 20% от шестте милиона бенефициенти на ОСП получават 80% от плащанията. Това е отражение на </w:t>
      </w:r>
      <w:r w:rsidR="00BF72EA">
        <w:rPr>
          <w:rFonts w:ascii="Arial" w:hAnsi="Arial" w:cs="Arial"/>
          <w:sz w:val="20"/>
        </w:rPr>
        <w:t>факта</w:t>
      </w:r>
      <w:r w:rsidR="00C57C8B" w:rsidRPr="003861B0">
        <w:rPr>
          <w:rFonts w:ascii="Arial" w:hAnsi="Arial" w:cs="Arial"/>
          <w:sz w:val="20"/>
        </w:rPr>
        <w:t xml:space="preserve">, че плащанията </w:t>
      </w:r>
      <w:r w:rsidR="00BF72EA">
        <w:rPr>
          <w:rFonts w:ascii="Arial" w:hAnsi="Arial" w:cs="Arial"/>
          <w:sz w:val="20"/>
        </w:rPr>
        <w:t>са на площ</w:t>
      </w:r>
      <w:r w:rsidR="00C57C8B" w:rsidRPr="003861B0">
        <w:rPr>
          <w:rFonts w:ascii="Arial" w:hAnsi="Arial" w:cs="Arial"/>
          <w:sz w:val="20"/>
        </w:rPr>
        <w:t xml:space="preserve"> и </w:t>
      </w:r>
      <w:r w:rsidR="00BF72EA">
        <w:rPr>
          <w:rFonts w:ascii="Arial" w:hAnsi="Arial" w:cs="Arial"/>
          <w:sz w:val="20"/>
        </w:rPr>
        <w:t>има</w:t>
      </w:r>
      <w:r w:rsidR="00C57C8B" w:rsidRPr="003861B0">
        <w:rPr>
          <w:rFonts w:ascii="Arial" w:hAnsi="Arial" w:cs="Arial"/>
          <w:sz w:val="20"/>
        </w:rPr>
        <w:t xml:space="preserve"> неравномерно</w:t>
      </w:r>
      <w:r w:rsidR="00BF72EA">
        <w:rPr>
          <w:rFonts w:ascii="Arial" w:hAnsi="Arial" w:cs="Arial"/>
          <w:sz w:val="20"/>
        </w:rPr>
        <w:t xml:space="preserve"> </w:t>
      </w:r>
      <w:r w:rsidR="00C57C8B" w:rsidRPr="003861B0">
        <w:rPr>
          <w:rFonts w:ascii="Arial" w:hAnsi="Arial" w:cs="Arial"/>
          <w:sz w:val="20"/>
        </w:rPr>
        <w:t xml:space="preserve">разпределение на земята в целия ЕС. </w:t>
      </w:r>
      <w:r w:rsidR="00EF0DFD">
        <w:rPr>
          <w:rFonts w:ascii="Arial" w:hAnsi="Arial" w:cs="Arial"/>
          <w:sz w:val="20"/>
        </w:rPr>
        <w:t>Необходимо е</w:t>
      </w:r>
      <w:r w:rsidR="00C57C8B" w:rsidRPr="003861B0">
        <w:rPr>
          <w:rFonts w:ascii="Arial" w:hAnsi="Arial" w:cs="Arial"/>
          <w:sz w:val="20"/>
        </w:rPr>
        <w:t xml:space="preserve"> подобряване на ефективност</w:t>
      </w:r>
      <w:r w:rsidR="00BF72EA">
        <w:rPr>
          <w:rFonts w:ascii="Arial" w:hAnsi="Arial" w:cs="Arial"/>
          <w:sz w:val="20"/>
        </w:rPr>
        <w:t>та</w:t>
      </w:r>
      <w:r w:rsidR="00C57C8B" w:rsidRPr="003861B0">
        <w:rPr>
          <w:rFonts w:ascii="Arial" w:hAnsi="Arial" w:cs="Arial"/>
          <w:sz w:val="20"/>
        </w:rPr>
        <w:t xml:space="preserve"> на зелените директни плащания и </w:t>
      </w:r>
      <w:r w:rsidR="00BF72EA">
        <w:rPr>
          <w:rFonts w:ascii="Arial" w:hAnsi="Arial" w:cs="Arial"/>
          <w:sz w:val="20"/>
        </w:rPr>
        <w:t>на „</w:t>
      </w:r>
      <w:r w:rsidR="00C57C8B" w:rsidRPr="003861B0">
        <w:rPr>
          <w:rFonts w:ascii="Arial" w:hAnsi="Arial" w:cs="Arial"/>
          <w:sz w:val="20"/>
        </w:rPr>
        <w:t>активен фермер</w:t>
      </w:r>
      <w:r w:rsidR="00BF72EA">
        <w:rPr>
          <w:rFonts w:ascii="Arial" w:hAnsi="Arial" w:cs="Arial"/>
          <w:sz w:val="20"/>
        </w:rPr>
        <w:t>“</w:t>
      </w:r>
      <w:r w:rsidR="00C57C8B" w:rsidRPr="003861B0">
        <w:rPr>
          <w:rFonts w:ascii="Arial" w:hAnsi="Arial" w:cs="Arial"/>
          <w:sz w:val="20"/>
        </w:rPr>
        <w:t xml:space="preserve">. Продоволствената сигурност остава решаващ политически приоритет. </w:t>
      </w:r>
      <w:r w:rsidR="00EC40B6">
        <w:rPr>
          <w:rFonts w:ascii="Arial" w:hAnsi="Arial" w:cs="Arial"/>
          <w:sz w:val="20"/>
        </w:rPr>
        <w:t>Г</w:t>
      </w:r>
      <w:r w:rsidR="00EF0DFD">
        <w:rPr>
          <w:rFonts w:ascii="Arial" w:hAnsi="Arial" w:cs="Arial"/>
          <w:sz w:val="20"/>
        </w:rPr>
        <w:t xml:space="preserve">-н </w:t>
      </w:r>
      <w:proofErr w:type="spellStart"/>
      <w:r w:rsidR="00C57C8B" w:rsidRPr="003861B0">
        <w:rPr>
          <w:rFonts w:ascii="Arial" w:hAnsi="Arial" w:cs="Arial"/>
          <w:sz w:val="20"/>
        </w:rPr>
        <w:t>Ханиотис</w:t>
      </w:r>
      <w:proofErr w:type="spellEnd"/>
      <w:r w:rsidR="00C57C8B" w:rsidRPr="003861B0">
        <w:rPr>
          <w:rFonts w:ascii="Arial" w:hAnsi="Arial" w:cs="Arial"/>
          <w:sz w:val="20"/>
        </w:rPr>
        <w:t xml:space="preserve"> </w:t>
      </w:r>
      <w:r w:rsidR="00EF0DFD">
        <w:rPr>
          <w:rFonts w:ascii="Arial" w:hAnsi="Arial" w:cs="Arial"/>
          <w:sz w:val="20"/>
        </w:rPr>
        <w:t>каза</w:t>
      </w:r>
      <w:r w:rsidR="00C57C8B" w:rsidRPr="003861B0">
        <w:rPr>
          <w:rFonts w:ascii="Arial" w:hAnsi="Arial" w:cs="Arial"/>
          <w:sz w:val="20"/>
        </w:rPr>
        <w:t xml:space="preserve">, че представените резултати и това, което предстои да бъде представено, </w:t>
      </w:r>
      <w:r w:rsidR="00EF0DFD">
        <w:rPr>
          <w:rFonts w:ascii="Arial" w:hAnsi="Arial" w:cs="Arial"/>
          <w:sz w:val="20"/>
        </w:rPr>
        <w:t>се основава на</w:t>
      </w:r>
      <w:r w:rsidR="00C57C8B" w:rsidRPr="003861B0">
        <w:rPr>
          <w:rFonts w:ascii="Arial" w:hAnsi="Arial" w:cs="Arial"/>
          <w:sz w:val="20"/>
        </w:rPr>
        <w:t xml:space="preserve"> факти какво е работило и какво не е работило през този период и защо. Той подчерта, че концепцията за производителността не е същата като през 50-те или 60-те години на миналия век, когато е била основ</w:t>
      </w:r>
      <w:r w:rsidR="00BF72EA">
        <w:rPr>
          <w:rFonts w:ascii="Arial" w:hAnsi="Arial" w:cs="Arial"/>
          <w:sz w:val="20"/>
        </w:rPr>
        <w:t>а</w:t>
      </w:r>
      <w:r w:rsidR="00C57C8B" w:rsidRPr="003861B0">
        <w:rPr>
          <w:rFonts w:ascii="Arial" w:hAnsi="Arial" w:cs="Arial"/>
          <w:sz w:val="20"/>
        </w:rPr>
        <w:t>н</w:t>
      </w:r>
      <w:r w:rsidR="00BF72EA">
        <w:rPr>
          <w:rFonts w:ascii="Arial" w:hAnsi="Arial" w:cs="Arial"/>
          <w:sz w:val="20"/>
        </w:rPr>
        <w:t>а</w:t>
      </w:r>
      <w:r w:rsidR="00C57C8B" w:rsidRPr="003861B0">
        <w:rPr>
          <w:rFonts w:ascii="Arial" w:hAnsi="Arial" w:cs="Arial"/>
          <w:sz w:val="20"/>
        </w:rPr>
        <w:t xml:space="preserve"> </w:t>
      </w:r>
      <w:r w:rsidR="00BF72EA">
        <w:rPr>
          <w:rFonts w:ascii="Arial" w:hAnsi="Arial" w:cs="Arial"/>
          <w:sz w:val="20"/>
        </w:rPr>
        <w:t xml:space="preserve">на </w:t>
      </w:r>
      <w:r w:rsidR="00C57C8B" w:rsidRPr="003861B0">
        <w:rPr>
          <w:rFonts w:ascii="Arial" w:hAnsi="Arial" w:cs="Arial"/>
          <w:sz w:val="20"/>
        </w:rPr>
        <w:t>производство</w:t>
      </w:r>
      <w:r w:rsidR="00BF72EA">
        <w:rPr>
          <w:rFonts w:ascii="Arial" w:hAnsi="Arial" w:cs="Arial"/>
          <w:sz w:val="20"/>
        </w:rPr>
        <w:t>то</w:t>
      </w:r>
      <w:r w:rsidR="00C57C8B" w:rsidRPr="003861B0">
        <w:rPr>
          <w:rFonts w:ascii="Arial" w:hAnsi="Arial" w:cs="Arial"/>
          <w:sz w:val="20"/>
        </w:rPr>
        <w:t xml:space="preserve"> на същото количество</w:t>
      </w:r>
      <w:r w:rsidR="00BF72EA">
        <w:rPr>
          <w:rFonts w:ascii="Arial" w:hAnsi="Arial" w:cs="Arial"/>
          <w:sz w:val="20"/>
        </w:rPr>
        <w:t>,</w:t>
      </w:r>
      <w:r w:rsidR="00C57C8B" w:rsidRPr="003861B0">
        <w:rPr>
          <w:rFonts w:ascii="Arial" w:hAnsi="Arial" w:cs="Arial"/>
          <w:sz w:val="20"/>
        </w:rPr>
        <w:t xml:space="preserve"> с по-ниски вложения. </w:t>
      </w:r>
      <w:r w:rsidR="00BF72EA">
        <w:rPr>
          <w:rFonts w:ascii="Arial" w:hAnsi="Arial" w:cs="Arial"/>
          <w:sz w:val="20"/>
        </w:rPr>
        <w:t>„</w:t>
      </w:r>
      <w:r w:rsidR="00C57C8B" w:rsidRPr="003861B0">
        <w:rPr>
          <w:rFonts w:ascii="Arial" w:hAnsi="Arial" w:cs="Arial"/>
          <w:sz w:val="20"/>
        </w:rPr>
        <w:t>Каквото и да правим днес, ние трябва да го правим по начин, който намалява отпечатъка върху околната среда или използваните суровини</w:t>
      </w:r>
      <w:r w:rsidR="00BF72EA">
        <w:rPr>
          <w:rFonts w:ascii="Arial" w:hAnsi="Arial" w:cs="Arial"/>
          <w:sz w:val="20"/>
        </w:rPr>
        <w:t>“- отбеляза</w:t>
      </w:r>
      <w:r w:rsidR="00EC40B6">
        <w:rPr>
          <w:rFonts w:ascii="Arial" w:hAnsi="Arial" w:cs="Arial"/>
          <w:sz w:val="20"/>
        </w:rPr>
        <w:t xml:space="preserve"> в заключение</w:t>
      </w:r>
      <w:r w:rsidR="00BF72EA">
        <w:rPr>
          <w:rFonts w:ascii="Arial" w:hAnsi="Arial" w:cs="Arial"/>
          <w:sz w:val="20"/>
        </w:rPr>
        <w:t xml:space="preserve"> той</w:t>
      </w:r>
      <w:r w:rsidR="00C57C8B" w:rsidRPr="003861B0">
        <w:rPr>
          <w:rFonts w:ascii="Arial" w:hAnsi="Arial" w:cs="Arial"/>
          <w:sz w:val="20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6E0654" w:rsidRDefault="006E0654" w:rsidP="001A2FDE">
      <w:pPr>
        <w:shd w:val="clear" w:color="auto" w:fill="FFFFFF"/>
        <w:spacing w:after="300"/>
        <w:jc w:val="both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95618" w:rsidRDefault="006C2FA2" w:rsidP="001A2FDE">
      <w:pPr>
        <w:shd w:val="clear" w:color="auto" w:fill="FFFFFF"/>
        <w:spacing w:after="300"/>
        <w:jc w:val="both"/>
        <w:outlineLvl w:val="0"/>
        <w:rPr>
          <w:rStyle w:val="longtext"/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sz w:val="20"/>
        </w:rPr>
        <w:t>3</w:t>
      </w:r>
      <w:r w:rsidR="00895618">
        <w:rPr>
          <w:rFonts w:ascii="Arial" w:hAnsi="Arial" w:cs="Arial"/>
          <w:b/>
          <w:sz w:val="20"/>
        </w:rPr>
        <w:t xml:space="preserve">. </w:t>
      </w:r>
      <w:r w:rsidR="00895618">
        <w:rPr>
          <w:rFonts w:ascii="Arial" w:eastAsiaTheme="minorHAnsi" w:hAnsi="Arial" w:cs="Arial"/>
          <w:b/>
          <w:bCs/>
          <w:sz w:val="20"/>
        </w:rPr>
        <w:t>Членовете на К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омисията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по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земеделие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и 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развитие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на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селските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>райони</w:t>
      </w:r>
      <w:proofErr w:type="spellEnd"/>
      <w:r w:rsidR="00895618" w:rsidRPr="004B7467">
        <w:rPr>
          <w:rFonts w:ascii="Arial" w:eastAsiaTheme="minorHAnsi" w:hAnsi="Arial" w:cs="Arial"/>
          <w:b/>
          <w:bCs/>
          <w:sz w:val="20"/>
          <w:lang w:val="en-US"/>
        </w:rPr>
        <w:t xml:space="preserve"> в Е</w:t>
      </w:r>
      <w:proofErr w:type="spellStart"/>
      <w:r w:rsidR="00895618">
        <w:rPr>
          <w:rFonts w:ascii="Arial" w:eastAsiaTheme="minorHAnsi" w:hAnsi="Arial" w:cs="Arial"/>
          <w:b/>
          <w:bCs/>
          <w:sz w:val="20"/>
        </w:rPr>
        <w:t>вропейския</w:t>
      </w:r>
      <w:proofErr w:type="spellEnd"/>
      <w:r w:rsidR="00895618">
        <w:rPr>
          <w:rFonts w:ascii="Arial" w:eastAsiaTheme="minorHAnsi" w:hAnsi="Arial" w:cs="Arial"/>
          <w:b/>
          <w:bCs/>
          <w:sz w:val="20"/>
        </w:rPr>
        <w:t xml:space="preserve"> парламент</w:t>
      </w:r>
      <w:r w:rsidR="00895618" w:rsidRPr="004B7467">
        <w:rPr>
          <w:rFonts w:ascii="Arial" w:eastAsiaTheme="minorHAnsi" w:hAnsi="Arial" w:cs="Arial"/>
          <w:b/>
          <w:bCs/>
          <w:sz w:val="20"/>
        </w:rPr>
        <w:t xml:space="preserve"> са загрижени, че </w:t>
      </w:r>
      <w:r w:rsidR="00895618" w:rsidRPr="004B7467">
        <w:rPr>
          <w:rFonts w:ascii="Arial" w:hAnsi="Arial" w:cs="Arial"/>
          <w:b/>
          <w:color w:val="202124"/>
          <w:sz w:val="20"/>
        </w:rPr>
        <w:t xml:space="preserve">намаляването на емисиите на парникови газове (ПГ) в селското стопанство ще доведе до износ </w:t>
      </w:r>
      <w:r w:rsidR="00895618">
        <w:rPr>
          <w:rFonts w:ascii="Arial" w:hAnsi="Arial" w:cs="Arial"/>
          <w:b/>
          <w:color w:val="202124"/>
          <w:sz w:val="20"/>
        </w:rPr>
        <w:t xml:space="preserve">на европейска </w:t>
      </w:r>
      <w:r w:rsidR="00895618" w:rsidRPr="004B7467">
        <w:rPr>
          <w:rFonts w:ascii="Arial" w:hAnsi="Arial" w:cs="Arial"/>
          <w:b/>
          <w:color w:val="202124"/>
          <w:sz w:val="20"/>
        </w:rPr>
        <w:t>животновъдна продукция в части от света, които са по-малко загрижени</w:t>
      </w:r>
      <w:r w:rsidR="00895618">
        <w:rPr>
          <w:rFonts w:ascii="Arial" w:hAnsi="Arial" w:cs="Arial"/>
          <w:b/>
          <w:color w:val="202124"/>
          <w:sz w:val="20"/>
        </w:rPr>
        <w:t xml:space="preserve"> за въздействието на изменението</w:t>
      </w:r>
      <w:r w:rsidR="00895618" w:rsidRPr="004B7467">
        <w:rPr>
          <w:rFonts w:ascii="Arial" w:hAnsi="Arial" w:cs="Arial"/>
          <w:b/>
          <w:color w:val="202124"/>
          <w:sz w:val="20"/>
        </w:rPr>
        <w:t xml:space="preserve"> на климата.</w:t>
      </w:r>
      <w:r w:rsidR="00895618" w:rsidRPr="004B7467">
        <w:rPr>
          <w:rFonts w:ascii="Arial" w:hAnsi="Arial" w:cs="Arial"/>
          <w:color w:val="202124"/>
          <w:sz w:val="20"/>
        </w:rPr>
        <w:t xml:space="preserve"> На 26 октомври</w:t>
      </w:r>
      <w:r w:rsidR="00895618">
        <w:rPr>
          <w:rFonts w:ascii="Arial" w:hAnsi="Arial" w:cs="Arial"/>
          <w:color w:val="202124"/>
          <w:sz w:val="20"/>
        </w:rPr>
        <w:t xml:space="preserve"> се проведе обсъждане по темата</w:t>
      </w:r>
      <w:r w:rsidR="00895618" w:rsidRPr="004B7467">
        <w:rPr>
          <w:rFonts w:ascii="Arial" w:hAnsi="Arial" w:cs="Arial"/>
          <w:color w:val="202124"/>
          <w:sz w:val="20"/>
        </w:rPr>
        <w:t xml:space="preserve"> с </w:t>
      </w:r>
      <w:r w:rsidR="00895618">
        <w:rPr>
          <w:rFonts w:ascii="Arial" w:hAnsi="Arial" w:cs="Arial"/>
          <w:color w:val="202124"/>
          <w:sz w:val="20"/>
        </w:rPr>
        <w:t xml:space="preserve">г-н </w:t>
      </w:r>
      <w:r w:rsidR="00895618" w:rsidRPr="004B7467">
        <w:rPr>
          <w:rFonts w:ascii="Arial" w:hAnsi="Arial" w:cs="Arial"/>
          <w:color w:val="202124"/>
          <w:sz w:val="20"/>
        </w:rPr>
        <w:t xml:space="preserve">Тасос </w:t>
      </w:r>
      <w:proofErr w:type="spellStart"/>
      <w:r w:rsidR="00895618">
        <w:rPr>
          <w:rFonts w:ascii="Arial" w:hAnsi="Arial" w:cs="Arial"/>
          <w:color w:val="202124"/>
          <w:sz w:val="20"/>
        </w:rPr>
        <w:t>Ханиотис</w:t>
      </w:r>
      <w:proofErr w:type="spellEnd"/>
      <w:r w:rsidR="00895618">
        <w:rPr>
          <w:rFonts w:ascii="Arial" w:hAnsi="Arial" w:cs="Arial"/>
          <w:color w:val="202124"/>
          <w:sz w:val="20"/>
        </w:rPr>
        <w:t xml:space="preserve">, </w:t>
      </w:r>
      <w:r w:rsidR="00895618" w:rsidRPr="004B7467">
        <w:rPr>
          <w:rFonts w:ascii="Arial" w:hAnsi="Arial" w:cs="Arial"/>
          <w:color w:val="202124"/>
          <w:sz w:val="20"/>
        </w:rPr>
        <w:t>заместник-генерален директор на ГД „Земеделие и развитие на селските райони“</w:t>
      </w:r>
      <w:r w:rsidR="00895618">
        <w:rPr>
          <w:rFonts w:ascii="Arial" w:hAnsi="Arial" w:cs="Arial"/>
          <w:color w:val="202124"/>
          <w:sz w:val="20"/>
        </w:rPr>
        <w:t xml:space="preserve">. Дискусията се </w:t>
      </w:r>
      <w:r w:rsidR="00895618" w:rsidRPr="004B7467">
        <w:rPr>
          <w:rFonts w:ascii="Arial" w:hAnsi="Arial" w:cs="Arial"/>
          <w:color w:val="202124"/>
          <w:sz w:val="20"/>
        </w:rPr>
        <w:t xml:space="preserve">основава на „Проучване за оценка на въздействието на ОСП върху изменението </w:t>
      </w:r>
      <w:r w:rsidR="00895618" w:rsidRPr="004B7467">
        <w:rPr>
          <w:rFonts w:ascii="Arial" w:hAnsi="Arial" w:cs="Arial"/>
          <w:color w:val="202124"/>
          <w:sz w:val="20"/>
        </w:rPr>
        <w:lastRenderedPageBreak/>
        <w:t>на климата и емисиите на парникови газове“.</w:t>
      </w:r>
      <w:r w:rsidR="00895618" w:rsidRPr="004B7467">
        <w:rPr>
          <w:rFonts w:ascii="Arial" w:hAnsi="Arial" w:cs="Arial"/>
          <w:color w:val="202124"/>
          <w:sz w:val="20"/>
          <w:lang w:val="en-US"/>
        </w:rPr>
        <w:t xml:space="preserve"> </w:t>
      </w:r>
      <w:r w:rsidR="00895618" w:rsidRPr="004B7467">
        <w:rPr>
          <w:rFonts w:ascii="Arial" w:hAnsi="Arial" w:cs="Arial"/>
          <w:color w:val="202124"/>
          <w:sz w:val="20"/>
        </w:rPr>
        <w:t>Разглеждайки тенденцията в емисиите на парникови газове от европейското селско стопанство,</w:t>
      </w:r>
      <w:r w:rsidR="00895618">
        <w:rPr>
          <w:rFonts w:ascii="Arial" w:hAnsi="Arial" w:cs="Arial"/>
          <w:color w:val="202124"/>
          <w:sz w:val="20"/>
        </w:rPr>
        <w:t xml:space="preserve"> г-н </w:t>
      </w:r>
      <w:proofErr w:type="spellStart"/>
      <w:r w:rsidR="00895618" w:rsidRPr="004B7467">
        <w:rPr>
          <w:rFonts w:ascii="Arial" w:hAnsi="Arial" w:cs="Arial"/>
          <w:color w:val="202124"/>
          <w:sz w:val="20"/>
        </w:rPr>
        <w:t>Ханиотис</w:t>
      </w:r>
      <w:proofErr w:type="spellEnd"/>
      <w:r w:rsidR="00895618" w:rsidRPr="004B7467">
        <w:rPr>
          <w:rFonts w:ascii="Arial" w:hAnsi="Arial" w:cs="Arial"/>
          <w:color w:val="202124"/>
          <w:sz w:val="20"/>
        </w:rPr>
        <w:t xml:space="preserve"> </w:t>
      </w:r>
      <w:r w:rsidR="00895618">
        <w:rPr>
          <w:rFonts w:ascii="Arial" w:hAnsi="Arial" w:cs="Arial"/>
          <w:color w:val="202124"/>
          <w:sz w:val="20"/>
        </w:rPr>
        <w:t xml:space="preserve">подчерта, </w:t>
      </w:r>
      <w:r w:rsidR="00895618" w:rsidRPr="004B7467">
        <w:rPr>
          <w:rFonts w:ascii="Arial" w:hAnsi="Arial" w:cs="Arial"/>
          <w:color w:val="202124"/>
          <w:sz w:val="20"/>
        </w:rPr>
        <w:t xml:space="preserve">че </w:t>
      </w:r>
      <w:r w:rsidR="00895618">
        <w:rPr>
          <w:rFonts w:ascii="Arial" w:hAnsi="Arial" w:cs="Arial"/>
          <w:color w:val="202124"/>
          <w:sz w:val="20"/>
        </w:rPr>
        <w:t>въпреки намалението</w:t>
      </w:r>
      <w:r w:rsidR="00895618" w:rsidRPr="004B7467">
        <w:rPr>
          <w:rFonts w:ascii="Arial" w:hAnsi="Arial" w:cs="Arial"/>
          <w:color w:val="202124"/>
          <w:sz w:val="20"/>
        </w:rPr>
        <w:t xml:space="preserve"> с 20% от 1990 г. </w:t>
      </w:r>
      <w:r w:rsidR="00895618">
        <w:rPr>
          <w:rFonts w:ascii="Arial" w:hAnsi="Arial" w:cs="Arial"/>
          <w:color w:val="202124"/>
          <w:sz w:val="20"/>
        </w:rPr>
        <w:t>досега</w:t>
      </w:r>
      <w:r w:rsidR="00895618" w:rsidRPr="004B7467">
        <w:rPr>
          <w:rFonts w:ascii="Arial" w:hAnsi="Arial" w:cs="Arial"/>
          <w:color w:val="202124"/>
          <w:sz w:val="20"/>
        </w:rPr>
        <w:t>, всъщност емисиите на парников</w:t>
      </w:r>
      <w:r w:rsidR="00895618">
        <w:rPr>
          <w:rFonts w:ascii="Arial" w:hAnsi="Arial" w:cs="Arial"/>
          <w:color w:val="202124"/>
          <w:sz w:val="20"/>
        </w:rPr>
        <w:t xml:space="preserve">и газове са в застой от 2010 г., </w:t>
      </w:r>
      <w:r w:rsidR="00895618" w:rsidRPr="004B7467">
        <w:rPr>
          <w:rFonts w:ascii="Arial" w:hAnsi="Arial" w:cs="Arial"/>
          <w:color w:val="202124"/>
          <w:sz w:val="20"/>
        </w:rPr>
        <w:t>може би с изключение на последните няколко години. Това означава, че „делът на селското стопанство в общите емисии на парникови га</w:t>
      </w:r>
      <w:r w:rsidR="00895618">
        <w:rPr>
          <w:rFonts w:ascii="Arial" w:hAnsi="Arial" w:cs="Arial"/>
          <w:color w:val="202124"/>
          <w:sz w:val="20"/>
        </w:rPr>
        <w:t xml:space="preserve">зове, който </w:t>
      </w:r>
      <w:r w:rsidR="00895618" w:rsidRPr="004B7467">
        <w:rPr>
          <w:rFonts w:ascii="Arial" w:hAnsi="Arial" w:cs="Arial"/>
          <w:color w:val="202124"/>
          <w:sz w:val="20"/>
        </w:rPr>
        <w:t xml:space="preserve">е намалял до 10% е нараснал до 12%“, тъй като останалата част от икономиката е направила съкращения на емисиите. „Когато става въпрос за смекчаване на изменението на климата, оценката на проучването установи, че то се постига главно чрез системи за отглеждане на </w:t>
      </w:r>
      <w:r w:rsidR="00895618">
        <w:rPr>
          <w:rFonts w:ascii="Arial" w:hAnsi="Arial" w:cs="Arial"/>
          <w:color w:val="202124"/>
          <w:sz w:val="20"/>
        </w:rPr>
        <w:t>животни</w:t>
      </w:r>
      <w:r w:rsidR="00895618" w:rsidRPr="004B7467">
        <w:rPr>
          <w:rFonts w:ascii="Arial" w:hAnsi="Arial" w:cs="Arial"/>
          <w:color w:val="202124"/>
          <w:sz w:val="20"/>
        </w:rPr>
        <w:t>, които имат капацитет да съхраняват въглерод в почвата, оптимизиране на фуражите, третиране на оборски тор, което включва анаеробно смилане и поддържане на въглерод</w:t>
      </w:r>
      <w:r w:rsidR="00895618">
        <w:rPr>
          <w:rFonts w:ascii="Arial" w:hAnsi="Arial" w:cs="Arial"/>
          <w:color w:val="202124"/>
          <w:sz w:val="20"/>
        </w:rPr>
        <w:t>ни</w:t>
      </w:r>
      <w:r w:rsidR="00895618" w:rsidRPr="004B7467">
        <w:rPr>
          <w:rFonts w:ascii="Arial" w:hAnsi="Arial" w:cs="Arial"/>
          <w:color w:val="202124"/>
          <w:sz w:val="20"/>
        </w:rPr>
        <w:t xml:space="preserve"> запаси, благодарение на поддърж</w:t>
      </w:r>
      <w:r w:rsidR="00895618">
        <w:rPr>
          <w:rFonts w:ascii="Arial" w:hAnsi="Arial" w:cs="Arial"/>
          <w:color w:val="202124"/>
          <w:sz w:val="20"/>
        </w:rPr>
        <w:t xml:space="preserve">ането на постоянни пасища“, заяви той. </w:t>
      </w:r>
      <w:proofErr w:type="spellStart"/>
      <w:r w:rsidR="00895618" w:rsidRPr="004B7467">
        <w:rPr>
          <w:rFonts w:ascii="Arial" w:hAnsi="Arial" w:cs="Arial"/>
          <w:color w:val="202124"/>
          <w:sz w:val="20"/>
        </w:rPr>
        <w:t>Ханиотис</w:t>
      </w:r>
      <w:proofErr w:type="spellEnd"/>
      <w:r w:rsidR="00895618" w:rsidRPr="004B7467">
        <w:rPr>
          <w:rFonts w:ascii="Arial" w:hAnsi="Arial" w:cs="Arial"/>
          <w:color w:val="202124"/>
          <w:sz w:val="20"/>
        </w:rPr>
        <w:t xml:space="preserve"> подчерта необходимостта от функциониращи системи за съвети в земеделието.</w:t>
      </w:r>
      <w:r w:rsidR="00895618">
        <w:rPr>
          <w:rFonts w:ascii="Arial" w:hAnsi="Arial" w:cs="Arial"/>
          <w:color w:val="202124"/>
          <w:sz w:val="20"/>
        </w:rPr>
        <w:t xml:space="preserve"> </w:t>
      </w:r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Херберт </w:t>
      </w:r>
      <w:proofErr w:type="spellStart"/>
      <w:r w:rsidR="00895618" w:rsidRPr="004B7467">
        <w:rPr>
          <w:rFonts w:ascii="Arial" w:eastAsiaTheme="minorHAnsi" w:hAnsi="Arial" w:cs="Arial"/>
          <w:color w:val="202124"/>
          <w:sz w:val="20"/>
        </w:rPr>
        <w:t>Дорфман</w:t>
      </w:r>
      <w:proofErr w:type="spellEnd"/>
      <w:r w:rsidR="00895618">
        <w:rPr>
          <w:rFonts w:ascii="Arial" w:eastAsiaTheme="minorHAnsi" w:hAnsi="Arial" w:cs="Arial"/>
          <w:color w:val="202124"/>
          <w:sz w:val="20"/>
        </w:rPr>
        <w:t xml:space="preserve"> (</w:t>
      </w:r>
      <w:r w:rsidR="00895618" w:rsidRPr="004B7467">
        <w:rPr>
          <w:rFonts w:ascii="Arial" w:eastAsiaTheme="minorHAnsi" w:hAnsi="Arial" w:cs="Arial"/>
          <w:color w:val="202124"/>
          <w:sz w:val="20"/>
        </w:rPr>
        <w:t>ЕНП</w:t>
      </w:r>
      <w:r w:rsidR="00895618">
        <w:rPr>
          <w:rFonts w:ascii="Arial" w:eastAsiaTheme="minorHAnsi" w:hAnsi="Arial" w:cs="Arial"/>
          <w:color w:val="202124"/>
          <w:sz w:val="20"/>
        </w:rPr>
        <w:t>)</w:t>
      </w:r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подчерта значението на постоянните пасища, особено за фотосинтезата и задържането на парникови газове. Румънската социалистка Кармен Аврам </w:t>
      </w:r>
      <w:r w:rsidR="00895618">
        <w:rPr>
          <w:rFonts w:ascii="Arial" w:eastAsiaTheme="minorHAnsi" w:hAnsi="Arial" w:cs="Arial"/>
          <w:color w:val="202124"/>
          <w:sz w:val="20"/>
        </w:rPr>
        <w:t xml:space="preserve">изказа </w:t>
      </w:r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загрижен</w:t>
      </w:r>
      <w:r w:rsidR="00895618">
        <w:rPr>
          <w:rFonts w:ascii="Arial" w:eastAsiaTheme="minorHAnsi" w:hAnsi="Arial" w:cs="Arial"/>
          <w:color w:val="202124"/>
          <w:sz w:val="20"/>
        </w:rPr>
        <w:t>ост</w:t>
      </w:r>
      <w:r w:rsidR="00895618" w:rsidRPr="004B7467">
        <w:rPr>
          <w:rFonts w:ascii="Arial" w:eastAsiaTheme="minorHAnsi" w:hAnsi="Arial" w:cs="Arial"/>
          <w:color w:val="202124"/>
          <w:sz w:val="20"/>
        </w:rPr>
        <w:t>, че мерките на ЕС за борба с изменението на климата ще означават намалено европейско производство на месо и по-голям внос</w:t>
      </w:r>
      <w:r w:rsidR="00895618">
        <w:rPr>
          <w:rFonts w:ascii="Arial" w:eastAsiaTheme="minorHAnsi" w:hAnsi="Arial" w:cs="Arial"/>
          <w:color w:val="202124"/>
          <w:sz w:val="20"/>
        </w:rPr>
        <w:t>, „Т</w:t>
      </w:r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ака нашият въглероден отпечатък ще бъде още по-висок“. Датчанинът </w:t>
      </w:r>
      <w:proofErr w:type="spellStart"/>
      <w:r w:rsidR="00895618" w:rsidRPr="004B7467">
        <w:rPr>
          <w:rFonts w:ascii="Arial" w:eastAsiaTheme="minorHAnsi" w:hAnsi="Arial" w:cs="Arial"/>
          <w:color w:val="202124"/>
          <w:sz w:val="20"/>
        </w:rPr>
        <w:t>Асгер</w:t>
      </w:r>
      <w:proofErr w:type="spellEnd"/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color w:val="202124"/>
          <w:sz w:val="20"/>
        </w:rPr>
        <w:t>Кристенсен</w:t>
      </w:r>
      <w:proofErr w:type="spellEnd"/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от </w:t>
      </w:r>
      <w:proofErr w:type="spellStart"/>
      <w:r w:rsidR="00895618" w:rsidRPr="004B7467">
        <w:rPr>
          <w:rFonts w:ascii="Arial" w:eastAsiaTheme="minorHAnsi" w:hAnsi="Arial" w:cs="Arial"/>
          <w:color w:val="202124"/>
          <w:sz w:val="20"/>
        </w:rPr>
        <w:t>Renew</w:t>
      </w:r>
      <w:proofErr w:type="spellEnd"/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</w:t>
      </w:r>
      <w:proofErr w:type="spellStart"/>
      <w:r w:rsidR="00895618" w:rsidRPr="004B7467">
        <w:rPr>
          <w:rFonts w:ascii="Arial" w:eastAsiaTheme="minorHAnsi" w:hAnsi="Arial" w:cs="Arial"/>
          <w:color w:val="202124"/>
          <w:sz w:val="20"/>
        </w:rPr>
        <w:t>Europe</w:t>
      </w:r>
      <w:proofErr w:type="spellEnd"/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призова за „зелени и устойчиви решения“ за европейското селско стопанство, като предложи рециклиране на емисии от едър рогат добитък. „Земеделските </w:t>
      </w:r>
      <w:r w:rsidR="00895618">
        <w:rPr>
          <w:rFonts w:ascii="Arial" w:eastAsiaTheme="minorHAnsi" w:hAnsi="Arial" w:cs="Arial"/>
          <w:color w:val="202124"/>
          <w:sz w:val="20"/>
        </w:rPr>
        <w:t>стопани</w:t>
      </w:r>
      <w:r w:rsidR="00895618" w:rsidRPr="004B7467">
        <w:rPr>
          <w:rFonts w:ascii="Arial" w:eastAsiaTheme="minorHAnsi" w:hAnsi="Arial" w:cs="Arial"/>
          <w:color w:val="202124"/>
          <w:sz w:val="20"/>
        </w:rPr>
        <w:t xml:space="preserve"> трябва да направят повече за биоразнообразието и за устойчиви земеделски практики“, каза той.</w:t>
      </w:r>
    </w:p>
    <w:p w:rsidR="001A2FDE" w:rsidRPr="0086311F" w:rsidRDefault="006C2FA2" w:rsidP="001A2FDE">
      <w:pPr>
        <w:shd w:val="clear" w:color="auto" w:fill="FFFFFF"/>
        <w:spacing w:after="300"/>
        <w:jc w:val="both"/>
        <w:outlineLvl w:val="0"/>
        <w:rPr>
          <w:rFonts w:ascii="Arial" w:hAnsi="Arial" w:cs="Arial"/>
          <w:b/>
          <w:bCs/>
          <w:kern w:val="36"/>
          <w:sz w:val="20"/>
          <w:lang w:val="en-US"/>
        </w:rPr>
      </w:pPr>
      <w:r>
        <w:rPr>
          <w:rStyle w:val="longtext"/>
          <w:rFonts w:ascii="Arial" w:hAnsi="Arial" w:cs="Arial"/>
          <w:b/>
          <w:noProof/>
          <w:sz w:val="20"/>
        </w:rPr>
        <w:t>4</w:t>
      </w:r>
      <w:r w:rsidR="00FC642C">
        <w:rPr>
          <w:rStyle w:val="longtext"/>
          <w:rFonts w:ascii="Arial" w:hAnsi="Arial" w:cs="Arial"/>
          <w:b/>
          <w:noProof/>
          <w:sz w:val="20"/>
          <w:lang w:val="en-US"/>
        </w:rPr>
        <w:t xml:space="preserve">. </w:t>
      </w:r>
      <w:proofErr w:type="spellStart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>Срещата</w:t>
      </w:r>
      <w:proofErr w:type="spellEnd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>върха</w:t>
      </w:r>
      <w:proofErr w:type="spellEnd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>световните</w:t>
      </w:r>
      <w:proofErr w:type="spellEnd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bCs/>
          <w:color w:val="3F4A52"/>
          <w:sz w:val="20"/>
          <w:lang w:val="en-US"/>
        </w:rPr>
        <w:t>лидери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 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1 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ноември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2021 г.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ще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постави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началото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26-ата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конференция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страните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по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Рамковата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конвенция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ООН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по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изменение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на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</w:t>
      </w:r>
      <w:proofErr w:type="spellStart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>климата</w:t>
      </w:r>
      <w:proofErr w:type="spellEnd"/>
      <w:r w:rsidR="001A2FDE" w:rsidRPr="0015146C">
        <w:rPr>
          <w:rFonts w:ascii="Arial" w:hAnsi="Arial" w:cs="Arial"/>
          <w:b/>
          <w:color w:val="3F4A52"/>
          <w:sz w:val="20"/>
          <w:lang w:val="en-US"/>
        </w:rPr>
        <w:t xml:space="preserve"> (COP26).</w:t>
      </w:r>
      <w:r w:rsidR="001A2FDE" w:rsidRPr="0015146C">
        <w:rPr>
          <w:rFonts w:ascii="Arial" w:hAnsi="Arial" w:cs="Arial"/>
          <w:b/>
          <w:bCs/>
          <w:color w:val="3F4A52"/>
          <w:kern w:val="36"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31 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октомври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до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12 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ноемвр</w:t>
      </w:r>
      <w:r w:rsidR="0086311F" w:rsidRPr="0086311F">
        <w:rPr>
          <w:rFonts w:ascii="Arial" w:hAnsi="Arial" w:cs="Arial"/>
          <w:sz w:val="20"/>
          <w:lang w:val="en-US"/>
        </w:rPr>
        <w:t>и</w:t>
      </w:r>
      <w:proofErr w:type="spellEnd"/>
      <w:r w:rsidR="0086311F" w:rsidRPr="0086311F">
        <w:rPr>
          <w:rFonts w:ascii="Arial" w:hAnsi="Arial" w:cs="Arial"/>
          <w:sz w:val="20"/>
          <w:lang w:val="en-US"/>
        </w:rPr>
        <w:t xml:space="preserve"> COP26 </w:t>
      </w:r>
      <w:proofErr w:type="spellStart"/>
      <w:r w:rsidR="0086311F" w:rsidRPr="0086311F">
        <w:rPr>
          <w:rFonts w:ascii="Arial" w:hAnsi="Arial" w:cs="Arial"/>
          <w:sz w:val="20"/>
          <w:lang w:val="en-US"/>
        </w:rPr>
        <w:t>ще</w:t>
      </w:r>
      <w:proofErr w:type="spellEnd"/>
      <w:r w:rsidR="0086311F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6311F" w:rsidRPr="0086311F">
        <w:rPr>
          <w:rFonts w:ascii="Arial" w:hAnsi="Arial" w:cs="Arial"/>
          <w:sz w:val="20"/>
          <w:lang w:val="en-US"/>
        </w:rPr>
        <w:t>събере</w:t>
      </w:r>
      <w:proofErr w:type="spellEnd"/>
      <w:r w:rsidR="0086311F" w:rsidRPr="0086311F">
        <w:rPr>
          <w:rFonts w:ascii="Arial" w:hAnsi="Arial" w:cs="Arial"/>
          <w:sz w:val="20"/>
          <w:lang w:val="en-US"/>
        </w:rPr>
        <w:t xml:space="preserve"> 197-те </w:t>
      </w:r>
      <w:proofErr w:type="spellStart"/>
      <w:r w:rsidR="0086311F" w:rsidRPr="0086311F">
        <w:rPr>
          <w:rFonts w:ascii="Arial" w:hAnsi="Arial" w:cs="Arial"/>
          <w:sz w:val="20"/>
          <w:lang w:val="en-US"/>
        </w:rPr>
        <w:t>страни</w:t>
      </w:r>
      <w:proofErr w:type="spellEnd"/>
      <w:r w:rsidR="0086311F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> 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Рамковата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конвенция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 xml:space="preserve"> ООН </w:t>
      </w:r>
      <w:r w:rsidR="0086311F" w:rsidRPr="0086311F">
        <w:rPr>
          <w:rFonts w:ascii="Arial" w:hAnsi="Arial" w:cs="Arial"/>
          <w:bCs/>
          <w:sz w:val="20"/>
        </w:rPr>
        <w:t xml:space="preserve">за </w:t>
      </w:r>
      <w:proofErr w:type="spellStart"/>
      <w:r w:rsidR="0086311F" w:rsidRPr="0086311F">
        <w:rPr>
          <w:rFonts w:ascii="Arial" w:hAnsi="Arial" w:cs="Arial"/>
          <w:bCs/>
          <w:sz w:val="20"/>
          <w:lang w:val="en-US"/>
        </w:rPr>
        <w:t>изменение</w:t>
      </w:r>
      <w:proofErr w:type="spellEnd"/>
      <w:r w:rsidR="0086311F" w:rsidRPr="0086311F">
        <w:rPr>
          <w:rFonts w:ascii="Arial" w:hAnsi="Arial" w:cs="Arial"/>
          <w:bCs/>
          <w:sz w:val="20"/>
          <w:lang w:val="en-US"/>
        </w:rPr>
        <w:t xml:space="preserve"> </w:t>
      </w:r>
      <w:proofErr w:type="spellStart"/>
      <w:r w:rsidR="0086311F" w:rsidRPr="0086311F">
        <w:rPr>
          <w:rFonts w:ascii="Arial" w:hAnsi="Arial" w:cs="Arial"/>
          <w:bCs/>
          <w:sz w:val="20"/>
          <w:lang w:val="en-US"/>
        </w:rPr>
        <w:t>на</w:t>
      </w:r>
      <w:proofErr w:type="spellEnd"/>
      <w:r w:rsidR="0086311F" w:rsidRPr="0086311F">
        <w:rPr>
          <w:rFonts w:ascii="Arial" w:hAnsi="Arial" w:cs="Arial"/>
          <w:bCs/>
          <w:sz w:val="20"/>
          <w:lang w:val="en-US"/>
        </w:rPr>
        <w:t xml:space="preserve"> </w:t>
      </w:r>
      <w:proofErr w:type="spellStart"/>
      <w:r w:rsidR="0086311F" w:rsidRPr="0086311F">
        <w:rPr>
          <w:rFonts w:ascii="Arial" w:hAnsi="Arial" w:cs="Arial"/>
          <w:bCs/>
          <w:sz w:val="20"/>
          <w:lang w:val="en-US"/>
        </w:rPr>
        <w:t>климата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Сред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тях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ЕС и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всички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държави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–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членки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ЕС.</w:t>
      </w:r>
      <w:r w:rsidR="001A2FDE" w:rsidRPr="0086311F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Домакин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конференцията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ще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бъде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Обединеното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кралство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което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председателства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COP26 в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партньорство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с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Италия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Първоначално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насрочена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2020 г.,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конференцията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беше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отложена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с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една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година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поради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пандемията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COVID-19.</w:t>
      </w:r>
      <w:r w:rsidR="001A2FDE" w:rsidRPr="0086311F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време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COP26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страните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ще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направят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преглед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напредъка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r w:rsidR="00FD160B">
        <w:rPr>
          <w:rFonts w:ascii="Arial" w:hAnsi="Arial" w:cs="Arial"/>
          <w:sz w:val="20"/>
        </w:rPr>
        <w:t>на</w:t>
      </w:r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ангажиментите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си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r w:rsidR="00FD160B">
        <w:rPr>
          <w:rFonts w:ascii="Arial" w:hAnsi="Arial" w:cs="Arial"/>
          <w:sz w:val="20"/>
        </w:rPr>
        <w:t>по</w:t>
      </w:r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целта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> 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Парижкото</w:t>
      </w:r>
      <w:proofErr w:type="spellEnd"/>
      <w:r w:rsidR="0086311F" w:rsidRPr="0086311F">
        <w:rPr>
          <w:rFonts w:ascii="Arial" w:hAnsi="Arial" w:cs="Arial"/>
          <w:bCs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споразумение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> 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</w:t>
      </w:r>
      <w:proofErr w:type="spellEnd"/>
      <w:r w:rsidR="0086311F" w:rsidRPr="0086311F">
        <w:rPr>
          <w:rFonts w:ascii="Arial" w:hAnsi="Arial" w:cs="Arial"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задържане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глобалното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затопляне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значително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под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2°C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прединдустриалните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равнища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и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продължаване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усилията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ограничаването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му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до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1,5°C.</w:t>
      </w:r>
      <w:r w:rsidR="001A2FDE" w:rsidRPr="0086311F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Делегацията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 xml:space="preserve"> ЕС</w:t>
      </w:r>
      <w:r w:rsidR="001A2FDE" w:rsidRPr="0086311F">
        <w:rPr>
          <w:rFonts w:ascii="Arial" w:hAnsi="Arial" w:cs="Arial"/>
          <w:sz w:val="20"/>
          <w:lang w:val="en-US"/>
        </w:rPr>
        <w:t> 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ще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бъде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ръководена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председателя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Европейския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съвет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Шарл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Мишел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председателя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Европейската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комисия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Урсула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фон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дер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Лайен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и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министър-председателя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Словения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Янез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Янша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представляващ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словенското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председателство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Съвета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ЕС.</w:t>
      </w:r>
      <w:r w:rsidR="001A2FDE" w:rsidRPr="0086311F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Изявленията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лидерите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време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срещата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върха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ще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послужат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за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основа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преговорите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между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страните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> 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заключителния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bCs/>
          <w:sz w:val="20"/>
          <w:lang w:val="en-US"/>
        </w:rPr>
        <w:t>документ</w:t>
      </w:r>
      <w:proofErr w:type="spellEnd"/>
      <w:r w:rsidR="001A2FDE" w:rsidRPr="0086311F">
        <w:rPr>
          <w:rFonts w:ascii="Arial" w:hAnsi="Arial" w:cs="Arial"/>
          <w:bCs/>
          <w:sz w:val="20"/>
          <w:lang w:val="en-US"/>
        </w:rPr>
        <w:t>,</w:t>
      </w:r>
      <w:r w:rsidR="001A2FDE" w:rsidRPr="0086311F">
        <w:rPr>
          <w:rFonts w:ascii="Arial" w:hAnsi="Arial" w:cs="Arial"/>
          <w:sz w:val="20"/>
          <w:lang w:val="en-US"/>
        </w:rPr>
        <w:t> 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който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ще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бъде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приет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в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края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на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2FDE" w:rsidRPr="0086311F">
        <w:rPr>
          <w:rFonts w:ascii="Arial" w:hAnsi="Arial" w:cs="Arial"/>
          <w:sz w:val="20"/>
          <w:lang w:val="en-US"/>
        </w:rPr>
        <w:t>конференцията</w:t>
      </w:r>
      <w:proofErr w:type="spellEnd"/>
      <w:r w:rsidR="001A2FDE" w:rsidRPr="0086311F">
        <w:rPr>
          <w:rFonts w:ascii="Arial" w:hAnsi="Arial" w:cs="Arial"/>
          <w:sz w:val="20"/>
          <w:lang w:val="en-US"/>
        </w:rPr>
        <w:t>.</w:t>
      </w:r>
    </w:p>
    <w:p w:rsidR="001B1430" w:rsidRPr="00FC642C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  <w:lang w:val="en-US"/>
        </w:rPr>
      </w:pPr>
    </w:p>
    <w:sectPr w:rsidR="001B1430" w:rsidRPr="00FC642C" w:rsidSect="00C57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24" w:bottom="357" w:left="1077" w:header="533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1C" w:rsidRDefault="005B4F1C">
      <w:r>
        <w:separator/>
      </w:r>
    </w:p>
  </w:endnote>
  <w:endnote w:type="continuationSeparator" w:id="0">
    <w:p w:rsidR="005B4F1C" w:rsidRDefault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6C2F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C2FA2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C2FA2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C2FA2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1C" w:rsidRDefault="005B4F1C">
      <w:r>
        <w:separator/>
      </w:r>
    </w:p>
  </w:footnote>
  <w:footnote w:type="continuationSeparator" w:id="0">
    <w:p w:rsidR="005B4F1C" w:rsidRDefault="005B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6"/>
      <w:gridCol w:w="2511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C2FA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C2FA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C45809">
      <w:rPr>
        <w:rFonts w:ascii="Arial" w:hAnsi="Arial"/>
        <w:b/>
        <w:bCs/>
        <w:color w:val="800080"/>
        <w:sz w:val="20"/>
      </w:rPr>
      <w:t>1</w:t>
    </w:r>
    <w:r w:rsidR="006A11C8">
      <w:rPr>
        <w:rFonts w:ascii="Arial" w:hAnsi="Arial"/>
        <w:b/>
        <w:bCs/>
        <w:color w:val="800080"/>
        <w:sz w:val="20"/>
      </w:rPr>
      <w:t>/</w:t>
    </w:r>
    <w:r w:rsidR="00C45809">
      <w:rPr>
        <w:rFonts w:ascii="Arial" w:hAnsi="Arial"/>
        <w:b/>
        <w:bCs/>
        <w:color w:val="800080"/>
        <w:sz w:val="20"/>
        <w:lang w:val="en-US"/>
      </w:rPr>
      <w:t>01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C45809">
      <w:rPr>
        <w:rFonts w:ascii="Arial" w:hAnsi="Arial"/>
        <w:b/>
        <w:bCs/>
        <w:color w:val="800080"/>
        <w:sz w:val="20"/>
        <w:lang w:val="en-US"/>
      </w:rPr>
      <w:t>11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36BB"/>
    <w:rsid w:val="0002497A"/>
    <w:rsid w:val="00024DB1"/>
    <w:rsid w:val="00031331"/>
    <w:rsid w:val="00031E05"/>
    <w:rsid w:val="00032EDB"/>
    <w:rsid w:val="0004366B"/>
    <w:rsid w:val="00046BB0"/>
    <w:rsid w:val="00046D50"/>
    <w:rsid w:val="00050832"/>
    <w:rsid w:val="000518AE"/>
    <w:rsid w:val="00052CA8"/>
    <w:rsid w:val="00053D18"/>
    <w:rsid w:val="00056231"/>
    <w:rsid w:val="00056AE0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2FDE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1F0D"/>
    <w:rsid w:val="001F2EC7"/>
    <w:rsid w:val="001F396B"/>
    <w:rsid w:val="001F71C2"/>
    <w:rsid w:val="001F7464"/>
    <w:rsid w:val="0020356B"/>
    <w:rsid w:val="00210721"/>
    <w:rsid w:val="00211722"/>
    <w:rsid w:val="002118F6"/>
    <w:rsid w:val="00214497"/>
    <w:rsid w:val="00215B7E"/>
    <w:rsid w:val="002163C0"/>
    <w:rsid w:val="00221CDF"/>
    <w:rsid w:val="0023218C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4629"/>
    <w:rsid w:val="002F6211"/>
    <w:rsid w:val="002F6822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77CB0"/>
    <w:rsid w:val="00383E9F"/>
    <w:rsid w:val="003861B0"/>
    <w:rsid w:val="003877CA"/>
    <w:rsid w:val="003952CE"/>
    <w:rsid w:val="00395737"/>
    <w:rsid w:val="0039630B"/>
    <w:rsid w:val="00396C28"/>
    <w:rsid w:val="003A3674"/>
    <w:rsid w:val="003A56BA"/>
    <w:rsid w:val="003A62C9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14A61"/>
    <w:rsid w:val="00422311"/>
    <w:rsid w:val="004229E5"/>
    <w:rsid w:val="00422CDC"/>
    <w:rsid w:val="004317EA"/>
    <w:rsid w:val="0043388D"/>
    <w:rsid w:val="004349C2"/>
    <w:rsid w:val="004378E5"/>
    <w:rsid w:val="0044148C"/>
    <w:rsid w:val="00446398"/>
    <w:rsid w:val="00452F9D"/>
    <w:rsid w:val="0045500B"/>
    <w:rsid w:val="004577D8"/>
    <w:rsid w:val="00463198"/>
    <w:rsid w:val="0046415A"/>
    <w:rsid w:val="00465689"/>
    <w:rsid w:val="00467DF0"/>
    <w:rsid w:val="004923C1"/>
    <w:rsid w:val="00493D20"/>
    <w:rsid w:val="00496775"/>
    <w:rsid w:val="004A0254"/>
    <w:rsid w:val="004A127B"/>
    <w:rsid w:val="004A1AE6"/>
    <w:rsid w:val="004A4C92"/>
    <w:rsid w:val="004B46D9"/>
    <w:rsid w:val="004C1EE5"/>
    <w:rsid w:val="004C2C61"/>
    <w:rsid w:val="004C4EB0"/>
    <w:rsid w:val="004D1BE3"/>
    <w:rsid w:val="004E4561"/>
    <w:rsid w:val="004F4705"/>
    <w:rsid w:val="004F4E79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B4F1C"/>
    <w:rsid w:val="005C1BB7"/>
    <w:rsid w:val="005C31B6"/>
    <w:rsid w:val="005D5EBB"/>
    <w:rsid w:val="005E559C"/>
    <w:rsid w:val="005E74FE"/>
    <w:rsid w:val="005F3548"/>
    <w:rsid w:val="005F401E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C2FA2"/>
    <w:rsid w:val="006D3A68"/>
    <w:rsid w:val="006D57EA"/>
    <w:rsid w:val="006E0654"/>
    <w:rsid w:val="006E3C82"/>
    <w:rsid w:val="006E7A46"/>
    <w:rsid w:val="006F38F7"/>
    <w:rsid w:val="006F5A28"/>
    <w:rsid w:val="006F5B9A"/>
    <w:rsid w:val="006F762F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448"/>
    <w:rsid w:val="00736B38"/>
    <w:rsid w:val="00742CC5"/>
    <w:rsid w:val="00747761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0B3C"/>
    <w:rsid w:val="007A155D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311F"/>
    <w:rsid w:val="00863F19"/>
    <w:rsid w:val="00865E24"/>
    <w:rsid w:val="00866D36"/>
    <w:rsid w:val="00870A2F"/>
    <w:rsid w:val="00872F5D"/>
    <w:rsid w:val="0087702E"/>
    <w:rsid w:val="0087763E"/>
    <w:rsid w:val="008803A4"/>
    <w:rsid w:val="008836F2"/>
    <w:rsid w:val="008933AB"/>
    <w:rsid w:val="00894A77"/>
    <w:rsid w:val="00895618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D7EB3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303"/>
    <w:rsid w:val="00AB2AA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3CB3"/>
    <w:rsid w:val="00AF58F5"/>
    <w:rsid w:val="00B03285"/>
    <w:rsid w:val="00B16835"/>
    <w:rsid w:val="00B16C07"/>
    <w:rsid w:val="00B200ED"/>
    <w:rsid w:val="00B24F05"/>
    <w:rsid w:val="00B25F79"/>
    <w:rsid w:val="00B3223C"/>
    <w:rsid w:val="00B34793"/>
    <w:rsid w:val="00B36BBC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E6EF7"/>
    <w:rsid w:val="00BF0A4C"/>
    <w:rsid w:val="00BF118B"/>
    <w:rsid w:val="00BF28EC"/>
    <w:rsid w:val="00BF72EA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57C8B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07FC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47F3C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3A3C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19B8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0B6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0DFD"/>
    <w:rsid w:val="00EF71AC"/>
    <w:rsid w:val="00F00ACE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C642C"/>
    <w:rsid w:val="00FD160B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304B3"/>
  <w15:docId w15:val="{9A0F6B3D-9749-4D2B-8BE7-CA0B63A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uiPriority w:val="99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paragraph" w:styleId="af7">
    <w:name w:val="footnote text"/>
    <w:aliases w:val="Testo nota a piè di pagina_Rientro,stile 1,Footnote1,Footnote2,Footnote3,Footnote4,Footnote5,Footnote6,Footnote7,Footnote8,Footnote9,Footnote10,Footnote11,Footnote21,Footnote31,Footnote41,Footnote51,Footnote61,ft,fn,Reference"/>
    <w:basedOn w:val="a"/>
    <w:link w:val="af8"/>
    <w:uiPriority w:val="99"/>
    <w:unhideWhenUsed/>
    <w:qFormat/>
    <w:rsid w:val="0020356B"/>
    <w:pPr>
      <w:ind w:left="60" w:hanging="60"/>
      <w:jc w:val="both"/>
    </w:pPr>
    <w:rPr>
      <w:rFonts w:ascii="Times New Roman" w:hAnsi="Times New Roman"/>
      <w:sz w:val="20"/>
      <w:lang w:eastAsia="en-GB"/>
    </w:rPr>
  </w:style>
  <w:style w:type="character" w:customStyle="1" w:styleId="af8">
    <w:name w:val="Текст под линия Знак"/>
    <w:aliases w:val="Testo nota a piè di pagina_Rientro Знак,stile 1 Знак,Footnote1 Знак,Footnote2 Знак,Footnote3 Знак,Footnote4 Знак,Footnote5 Знак,Footnote6 Знак,Footnote7 Знак,Footnote8 Знак,Footnote9 Знак,Footnote10 Знак,Footnote11 Знак,ft Знак"/>
    <w:basedOn w:val="a0"/>
    <w:link w:val="af7"/>
    <w:uiPriority w:val="99"/>
    <w:rsid w:val="0020356B"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character" w:styleId="af9">
    <w:name w:val="footnote reference"/>
    <w:aliases w:val="BVI fnr,Footnote symbol,SUPERS,Footnote reference number,note TESI,-E Fußnotenzeichen,number,Appel note de bas de p,Nota,Footnote,Footnote number,Footnote Reference Superscript,EN Footnote Reference,number Char Char,Ref"/>
    <w:uiPriority w:val="99"/>
    <w:unhideWhenUsed/>
    <w:qFormat/>
    <w:rsid w:val="0020356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CD96-7CA4-4FCE-ACC2-98C288E7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41</cp:revision>
  <dcterms:created xsi:type="dcterms:W3CDTF">2021-10-29T18:07:00Z</dcterms:created>
  <dcterms:modified xsi:type="dcterms:W3CDTF">2021-11-02T15:25:00Z</dcterms:modified>
</cp:coreProperties>
</file>