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46" w:rsidRPr="0002016E" w:rsidRDefault="00CA3846"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0591E" w:rsidRPr="009A3560" w:rsidRDefault="007A5FEB" w:rsidP="00C0591E">
      <w:pPr>
        <w:pStyle w:val="Default"/>
        <w:jc w:val="both"/>
        <w:rPr>
          <w:rStyle w:val="tlid-translation"/>
          <w:color w:val="auto"/>
          <w:sz w:val="20"/>
          <w:szCs w:val="20"/>
          <w:lang w:val="ru-RU"/>
        </w:rPr>
      </w:pPr>
      <w:r>
        <w:rPr>
          <w:b/>
          <w:noProof/>
          <w:sz w:val="20"/>
          <w:lang w:val="ru-RU"/>
        </w:rPr>
        <w:t>1</w:t>
      </w:r>
      <w:r w:rsidR="00CA40F5" w:rsidRPr="009A3560">
        <w:rPr>
          <w:b/>
          <w:noProof/>
          <w:color w:val="auto"/>
          <w:sz w:val="20"/>
          <w:lang w:val="ru-RU"/>
        </w:rPr>
        <w:t xml:space="preserve">. </w:t>
      </w:r>
      <w:r w:rsidR="00C0591E" w:rsidRPr="00C0591E">
        <w:rPr>
          <w:rStyle w:val="tlid-translation"/>
          <w:b/>
          <w:color w:val="auto"/>
          <w:sz w:val="20"/>
          <w:szCs w:val="20"/>
          <w:lang w:val="bg-BG"/>
        </w:rPr>
        <w:t>Комисията по земеделие и развитие на селските райони към Европейския парламент (COMAGRI) приветства допълнителните финансови средства за Общата селскостопанска политика</w:t>
      </w:r>
      <w:r w:rsidR="00C0591E" w:rsidRPr="00C0591E">
        <w:rPr>
          <w:rStyle w:val="tlid-translation"/>
          <w:b/>
          <w:color w:val="auto"/>
          <w:sz w:val="20"/>
          <w:lang w:val="bg-BG"/>
        </w:rPr>
        <w:t xml:space="preserve"> </w:t>
      </w:r>
      <w:r w:rsidR="00C0591E" w:rsidRPr="00C0591E">
        <w:rPr>
          <w:rStyle w:val="tlid-translation"/>
          <w:b/>
          <w:color w:val="auto"/>
          <w:sz w:val="20"/>
          <w:szCs w:val="20"/>
          <w:lang w:val="bg-BG"/>
        </w:rPr>
        <w:t xml:space="preserve">(ОСП) в размер на 7.5 млрд. евро за справяне с последствията от кризата, причинена от </w:t>
      </w:r>
      <w:r w:rsidR="00C0591E" w:rsidRPr="00C0591E">
        <w:rPr>
          <w:rStyle w:val="tlid-translation"/>
          <w:b/>
          <w:color w:val="auto"/>
          <w:sz w:val="20"/>
          <w:szCs w:val="20"/>
        </w:rPr>
        <w:t>Covid</w:t>
      </w:r>
      <w:r w:rsidR="00C0591E" w:rsidRPr="009A3560">
        <w:rPr>
          <w:rStyle w:val="tlid-translation"/>
          <w:b/>
          <w:color w:val="auto"/>
          <w:sz w:val="20"/>
          <w:szCs w:val="20"/>
          <w:lang w:val="ru-RU"/>
        </w:rPr>
        <w:t>-19</w:t>
      </w:r>
      <w:r w:rsidR="00C0591E" w:rsidRPr="00C0591E">
        <w:rPr>
          <w:rStyle w:val="tlid-translation"/>
          <w:b/>
          <w:color w:val="auto"/>
          <w:sz w:val="20"/>
          <w:szCs w:val="20"/>
          <w:lang w:val="bg-BG"/>
        </w:rPr>
        <w:t>, които комисарят по земеделие Януш Войчеховски обеща да бъдат предоставени на фермерите възможно най-скоро.</w:t>
      </w:r>
      <w:r w:rsidR="00C0591E" w:rsidRPr="00C0591E">
        <w:rPr>
          <w:rStyle w:val="tlid-translation"/>
          <w:color w:val="auto"/>
          <w:sz w:val="20"/>
          <w:szCs w:val="20"/>
          <w:lang w:val="bg-BG"/>
        </w:rPr>
        <w:t xml:space="preserve"> Тази седмица имаше положителен отзвук за усилията на комисаря по земеделие Януш Войчеховски заради получаването на допълнителните средства за бюджета на ОСП за възстановяване на земеделския сектор от последствията от пандемията. На заседанието на Комисията по земеделие и развитие на селските райони към Европейския парламент на 7 септември членовете на Европейския парламент настояха комисар</w:t>
      </w:r>
      <w:r w:rsidR="008D4067">
        <w:rPr>
          <w:rStyle w:val="tlid-translation"/>
          <w:color w:val="auto"/>
          <w:sz w:val="20"/>
          <w:szCs w:val="20"/>
          <w:lang w:val="bg-BG"/>
        </w:rPr>
        <w:t>ят</w:t>
      </w:r>
      <w:r w:rsidR="00C0591E" w:rsidRPr="00C0591E">
        <w:rPr>
          <w:rStyle w:val="tlid-translation"/>
          <w:color w:val="auto"/>
          <w:sz w:val="20"/>
          <w:szCs w:val="20"/>
          <w:lang w:val="bg-BG"/>
        </w:rPr>
        <w:t xml:space="preserve"> да гарантира, че средствата ще бъдат насочени към фермерите възможно най-скоро, за да се осигури бързо и навременно подпомагане на сектора във връзка със създалата се заради пандемията ситуация. </w:t>
      </w:r>
      <w:r w:rsidR="00C0591E" w:rsidRPr="00C0591E">
        <w:rPr>
          <w:rStyle w:val="tlid-translation"/>
          <w:color w:val="auto"/>
          <w:sz w:val="20"/>
          <w:lang w:val="bg-BG"/>
        </w:rPr>
        <w:t xml:space="preserve">В отговор </w:t>
      </w:r>
      <w:r w:rsidR="008D4067">
        <w:rPr>
          <w:rStyle w:val="tlid-translation"/>
          <w:color w:val="auto"/>
          <w:sz w:val="20"/>
          <w:lang w:val="bg-BG"/>
        </w:rPr>
        <w:t xml:space="preserve">той </w:t>
      </w:r>
      <w:r w:rsidR="00C0591E" w:rsidRPr="00C0591E">
        <w:rPr>
          <w:rStyle w:val="tlid-translation"/>
          <w:color w:val="auto"/>
          <w:sz w:val="20"/>
          <w:lang w:val="bg-BG"/>
        </w:rPr>
        <w:t>се съгласи</w:t>
      </w:r>
      <w:r w:rsidR="00C0591E" w:rsidRPr="00C0591E">
        <w:rPr>
          <w:rStyle w:val="tlid-translation"/>
          <w:color w:val="auto"/>
          <w:sz w:val="20"/>
          <w:szCs w:val="20"/>
          <w:lang w:val="bg-BG"/>
        </w:rPr>
        <w:t>, че средствата следва да стигнат до фермерите възможно най-бързо, тъй като това е фонд за възстановяване, а възстановяването трябва да започне сега, не след две или три години. Той също така изрази становище, че това не трябва да бъдат единствените пари, които ще бъдат насочени към фермерската общност от фондове на ЕС, според него е добре да се потърсят и други възможности, не само парите</w:t>
      </w:r>
      <w:r w:rsidR="00C0591E" w:rsidRPr="00C0591E">
        <w:rPr>
          <w:color w:val="auto"/>
          <w:sz w:val="20"/>
          <w:szCs w:val="20"/>
          <w:lang w:val="bg-BG"/>
        </w:rPr>
        <w:t xml:space="preserve">, </w:t>
      </w:r>
      <w:r w:rsidR="00C0591E" w:rsidRPr="00C0591E">
        <w:rPr>
          <w:rStyle w:val="tlid-translation"/>
          <w:color w:val="auto"/>
          <w:sz w:val="20"/>
          <w:szCs w:val="20"/>
          <w:lang w:val="bg-BG"/>
        </w:rPr>
        <w:t>предвидени за ОСП. Войчеховски подчерта, че фермерите имат нов имидж след кризата</w:t>
      </w:r>
      <w:r w:rsidR="00C0591E" w:rsidRPr="00C0591E">
        <w:rPr>
          <w:rStyle w:val="tlid-translation"/>
          <w:color w:val="auto"/>
          <w:sz w:val="20"/>
          <w:lang w:val="bg-BG"/>
        </w:rPr>
        <w:t>, х</w:t>
      </w:r>
      <w:r w:rsidR="00C0591E" w:rsidRPr="00C0591E">
        <w:rPr>
          <w:rStyle w:val="tlid-translation"/>
          <w:color w:val="auto"/>
          <w:sz w:val="20"/>
          <w:szCs w:val="20"/>
          <w:lang w:val="bg-BG"/>
        </w:rPr>
        <w:t>ората с по-голяма сила осъзнават колко важно е земеделието.</w:t>
      </w:r>
      <w:r w:rsidR="00C0591E" w:rsidRPr="00C0591E">
        <w:rPr>
          <w:rStyle w:val="tlid-translation"/>
          <w:color w:val="auto"/>
          <w:sz w:val="20"/>
          <w:lang w:val="bg-BG"/>
        </w:rPr>
        <w:t xml:space="preserve"> </w:t>
      </w:r>
      <w:r w:rsidR="00C0591E" w:rsidRPr="00C0591E">
        <w:rPr>
          <w:rStyle w:val="tlid-translation"/>
          <w:color w:val="auto"/>
          <w:sz w:val="20"/>
          <w:szCs w:val="20"/>
          <w:lang w:val="bg-BG"/>
        </w:rPr>
        <w:t>Що се отнася до бюджета, Войчеховски нарече заключенията от срещата на върха на 17-21 юли, с общо разпределените средства за ОСП в размер на 386,7 милиарда евро, „много добър резултат за селското стопанство като цяло и признание за стратегическата му роля в Европа“. Той обясни, че за първи стълб на ОСП са заделени 291,1 млрд. Евро, което е с 1,7% повече в сравнение с предложението на Комисията от 2018 г., от които 270 млрд. евро</w:t>
      </w:r>
      <w:r w:rsidR="00C0591E" w:rsidRPr="00C0591E">
        <w:rPr>
          <w:rStyle w:val="tlid-translation"/>
          <w:color w:val="auto"/>
          <w:sz w:val="20"/>
          <w:lang w:val="bg-BG"/>
        </w:rPr>
        <w:t xml:space="preserve"> ще бъдат за директни плащания. </w:t>
      </w:r>
      <w:r w:rsidR="00C0591E" w:rsidRPr="00C0591E">
        <w:rPr>
          <w:rStyle w:val="tlid-translation"/>
          <w:color w:val="auto"/>
          <w:sz w:val="20"/>
          <w:szCs w:val="20"/>
          <w:lang w:val="bg-BG"/>
        </w:rPr>
        <w:t xml:space="preserve">Комисарят по земеделие съобщи още, че нивата на директните плащания на хектар между </w:t>
      </w:r>
      <w:r w:rsidR="00C0591E" w:rsidRPr="00C0591E">
        <w:rPr>
          <w:rStyle w:val="tlid-translation"/>
          <w:color w:val="auto"/>
          <w:sz w:val="20"/>
          <w:lang w:val="bg-BG"/>
        </w:rPr>
        <w:t>отделните държави</w:t>
      </w:r>
      <w:r w:rsidR="002953A0">
        <w:rPr>
          <w:rStyle w:val="tlid-translation"/>
          <w:color w:val="auto"/>
          <w:sz w:val="20"/>
          <w:szCs w:val="20"/>
          <w:lang w:val="bg-BG"/>
        </w:rPr>
        <w:t>-</w:t>
      </w:r>
      <w:r w:rsidR="00C0591E" w:rsidRPr="00C0591E">
        <w:rPr>
          <w:rStyle w:val="tlid-translation"/>
          <w:color w:val="auto"/>
          <w:sz w:val="20"/>
          <w:szCs w:val="20"/>
          <w:lang w:val="bg-BG"/>
        </w:rPr>
        <w:t xml:space="preserve">членки ще продължат да се сближават в съответствие с предложението на Комисията от 2018 г., </w:t>
      </w:r>
      <w:r w:rsidR="00C0591E" w:rsidRPr="00C0591E">
        <w:rPr>
          <w:rStyle w:val="tlid-translation"/>
          <w:color w:val="auto"/>
          <w:sz w:val="20"/>
          <w:lang w:val="bg-BG"/>
        </w:rPr>
        <w:t xml:space="preserve">както и </w:t>
      </w:r>
      <w:r w:rsidR="00C0591E" w:rsidRPr="00C0591E">
        <w:rPr>
          <w:rStyle w:val="tlid-translation"/>
          <w:color w:val="auto"/>
          <w:sz w:val="20"/>
          <w:szCs w:val="20"/>
          <w:lang w:val="bg-BG"/>
        </w:rPr>
        <w:t>че всички</w:t>
      </w:r>
      <w:r w:rsidR="00C0591E" w:rsidRPr="00C0591E">
        <w:rPr>
          <w:rStyle w:val="tlid-translation"/>
          <w:color w:val="auto"/>
          <w:sz w:val="20"/>
          <w:lang w:val="bg-BG"/>
        </w:rPr>
        <w:t xml:space="preserve"> държави-членки ще имат средн</w:t>
      </w:r>
      <w:r w:rsidR="002953A0">
        <w:rPr>
          <w:rStyle w:val="tlid-translation"/>
          <w:color w:val="auto"/>
          <w:sz w:val="20"/>
          <w:lang w:val="bg-BG"/>
        </w:rPr>
        <w:t>о</w:t>
      </w:r>
      <w:r w:rsidR="00C0591E" w:rsidRPr="00C0591E">
        <w:rPr>
          <w:rStyle w:val="tlid-translation"/>
          <w:color w:val="auto"/>
          <w:sz w:val="20"/>
          <w:lang w:val="bg-BG"/>
        </w:rPr>
        <w:t xml:space="preserve"> национално плащане</w:t>
      </w:r>
      <w:r w:rsidR="00C0591E" w:rsidRPr="00C0591E">
        <w:rPr>
          <w:rStyle w:val="tlid-translation"/>
          <w:color w:val="auto"/>
          <w:sz w:val="20"/>
          <w:szCs w:val="20"/>
          <w:lang w:val="bg-BG"/>
        </w:rPr>
        <w:t xml:space="preserve"> на хектар от поне 200 евро през 2022 г. и от поне 215 евро до 2027 г. (в текущи цени), продължи той. Държавите-членки също биха могли да решат да ограничат доходите на фермите до 100 000 евро. Той подчерта, че бюджетът за ОСП може да се разглежда като ясен знак за значение</w:t>
      </w:r>
      <w:r w:rsidR="00C0591E" w:rsidRPr="00C0591E">
        <w:rPr>
          <w:rStyle w:val="tlid-translation"/>
          <w:color w:val="auto"/>
          <w:sz w:val="20"/>
          <w:lang w:val="bg-BG"/>
        </w:rPr>
        <w:t>то</w:t>
      </w:r>
      <w:r w:rsidR="00C0591E" w:rsidRPr="00C0591E">
        <w:rPr>
          <w:rStyle w:val="tlid-translation"/>
          <w:color w:val="auto"/>
          <w:sz w:val="20"/>
          <w:szCs w:val="20"/>
          <w:lang w:val="bg-BG"/>
        </w:rPr>
        <w:t>, доверие</w:t>
      </w:r>
      <w:r w:rsidR="00C0591E" w:rsidRPr="00C0591E">
        <w:rPr>
          <w:rStyle w:val="tlid-translation"/>
          <w:color w:val="auto"/>
          <w:sz w:val="20"/>
          <w:lang w:val="bg-BG"/>
        </w:rPr>
        <w:t>то</w:t>
      </w:r>
      <w:r w:rsidR="00C0591E" w:rsidRPr="00C0591E">
        <w:rPr>
          <w:rStyle w:val="tlid-translation"/>
          <w:color w:val="auto"/>
          <w:sz w:val="20"/>
          <w:szCs w:val="20"/>
          <w:lang w:val="bg-BG"/>
        </w:rPr>
        <w:t xml:space="preserve"> и подкрепа</w:t>
      </w:r>
      <w:r w:rsidR="00C0591E" w:rsidRPr="00C0591E">
        <w:rPr>
          <w:rStyle w:val="tlid-translation"/>
          <w:color w:val="auto"/>
          <w:sz w:val="20"/>
          <w:lang w:val="bg-BG"/>
        </w:rPr>
        <w:t>та</w:t>
      </w:r>
      <w:r w:rsidR="00C0591E" w:rsidRPr="00C0591E">
        <w:rPr>
          <w:rStyle w:val="tlid-translation"/>
          <w:color w:val="auto"/>
          <w:sz w:val="20"/>
          <w:szCs w:val="20"/>
          <w:lang w:val="bg-BG"/>
        </w:rPr>
        <w:t xml:space="preserve"> за европейските фермери и селските икономики. По отношение на реформата на ОСП призова преговарящите да положат максимални усилия за постигане на споразумение възможно най-скоро, напомняйки на членовете на ЕП, че германското председателство цели да постигне съгласие за общ подход през октомври. Законодателите трябва да бъдат готови да започнат тристранни диалози по този въпрос есента, за да може новата ОСП да влезе в сила от 1 януари 2022 г. По отношение на преходния регламент той увери членовете на комисията, че въпреки разликата във възгледите за продължителността на преходния период, Комисията по земеделие и развитие на селските райони към Европейския парламент ще работи конструктивно с</w:t>
      </w:r>
      <w:r w:rsidR="00C0591E" w:rsidRPr="00C0591E">
        <w:rPr>
          <w:rStyle w:val="tlid-translation"/>
          <w:color w:val="auto"/>
          <w:sz w:val="20"/>
          <w:lang w:val="bg-BG"/>
        </w:rPr>
        <w:t xml:space="preserve"> останалите, ангажирани в законодателния процес, страни,</w:t>
      </w:r>
      <w:r w:rsidR="00C0591E" w:rsidRPr="00C0591E">
        <w:rPr>
          <w:rStyle w:val="tlid-translation"/>
          <w:color w:val="auto"/>
          <w:sz w:val="20"/>
          <w:szCs w:val="20"/>
          <w:lang w:val="bg-BG"/>
        </w:rPr>
        <w:t xml:space="preserve"> за да намери решения, съвместими с общата цел на приемственост на подкрепата през едногодишния преходен период. </w:t>
      </w:r>
    </w:p>
    <w:p w:rsidR="00111517" w:rsidRPr="009A3560" w:rsidRDefault="00111517" w:rsidP="00C0591E">
      <w:pPr>
        <w:pStyle w:val="Default"/>
        <w:jc w:val="both"/>
        <w:rPr>
          <w:rStyle w:val="tlid-translation"/>
          <w:color w:val="auto"/>
          <w:sz w:val="20"/>
          <w:szCs w:val="20"/>
          <w:lang w:val="ru-RU"/>
        </w:rPr>
      </w:pPr>
    </w:p>
    <w:p w:rsidR="00111517" w:rsidRDefault="007A5FEB" w:rsidP="00C0591E">
      <w:pPr>
        <w:pStyle w:val="Default"/>
        <w:jc w:val="both"/>
        <w:rPr>
          <w:noProof/>
          <w:sz w:val="20"/>
        </w:rPr>
      </w:pPr>
      <w:r>
        <w:rPr>
          <w:b/>
          <w:noProof/>
          <w:sz w:val="20"/>
          <w:szCs w:val="20"/>
          <w:lang w:val="ru-RU"/>
        </w:rPr>
        <w:t>2</w:t>
      </w:r>
      <w:r w:rsidR="00111517" w:rsidRPr="009A3560">
        <w:rPr>
          <w:b/>
          <w:noProof/>
          <w:sz w:val="20"/>
          <w:szCs w:val="20"/>
          <w:lang w:val="ru-RU"/>
        </w:rPr>
        <w:t>.</w:t>
      </w:r>
      <w:r w:rsidR="00111517" w:rsidRPr="009A3560">
        <w:rPr>
          <w:rStyle w:val="tlid-translation"/>
          <w:color w:val="auto"/>
          <w:sz w:val="20"/>
          <w:szCs w:val="20"/>
          <w:lang w:val="ru-RU"/>
        </w:rPr>
        <w:t xml:space="preserve"> </w:t>
      </w:r>
      <w:r w:rsidR="00111517" w:rsidRPr="009A3560">
        <w:rPr>
          <w:b/>
          <w:noProof/>
          <w:sz w:val="20"/>
          <w:lang w:val="ru-RU"/>
        </w:rPr>
        <w:t>На 7 септември в гр. Брюксел се проведе заседание на Специалния комитет по селско стопанство (СКСС).</w:t>
      </w:r>
      <w:r w:rsidR="00111517" w:rsidRPr="009A3560">
        <w:rPr>
          <w:noProof/>
          <w:sz w:val="20"/>
          <w:lang w:val="ru-RU"/>
        </w:rPr>
        <w:t xml:space="preserve"> Основните точки от дневния ред включваха провеждане на дискусия относно предложението за Регламент за преходните правила за ОСП и предложението за Регламент за стратегическите планове за ОСП след 2020 г. От</w:t>
      </w:r>
      <w:r w:rsidR="00FD561F" w:rsidRPr="009A3560">
        <w:rPr>
          <w:noProof/>
          <w:sz w:val="20"/>
          <w:lang w:val="ru-RU"/>
        </w:rPr>
        <w:t>носно преходните правила за ОСП</w:t>
      </w:r>
      <w:r w:rsidR="00111517" w:rsidRPr="009A3560">
        <w:rPr>
          <w:noProof/>
          <w:sz w:val="20"/>
          <w:lang w:val="ru-RU"/>
        </w:rPr>
        <w:t xml:space="preserve"> делегациите обсъдиха предложението на Председателството за редакция на определени разпоредби в Регламента за преходните правила, направени във връзка с допълнителното подпомагане, осигурено от Е</w:t>
      </w:r>
      <w:r w:rsidR="00FD561F">
        <w:rPr>
          <w:noProof/>
          <w:sz w:val="20"/>
          <w:lang w:val="bg-BG"/>
        </w:rPr>
        <w:t>С</w:t>
      </w:r>
      <w:r w:rsidR="00111517" w:rsidRPr="009A3560">
        <w:rPr>
          <w:noProof/>
          <w:sz w:val="20"/>
          <w:lang w:val="ru-RU"/>
        </w:rPr>
        <w:t xml:space="preserve"> за възстановяване от </w:t>
      </w:r>
      <w:r w:rsidR="00111517">
        <w:rPr>
          <w:noProof/>
          <w:sz w:val="20"/>
        </w:rPr>
        <w:t>COVID</w:t>
      </w:r>
      <w:r w:rsidR="00111517" w:rsidRPr="009A3560">
        <w:rPr>
          <w:noProof/>
          <w:sz w:val="20"/>
          <w:lang w:val="ru-RU"/>
        </w:rPr>
        <w:t>-19. Макар че вече има постигнато споразумение между Комисията, Съвета и ЕП относно повечето основни разпоредби, предложението на Председателството цели да улесни използването на допълнителните средства за възстановяване, които ще бъдат осигурени към втори стълб на ОСП от Европейския фонд за възстановяване (</w:t>
      </w:r>
      <w:r w:rsidR="00111517">
        <w:rPr>
          <w:noProof/>
          <w:sz w:val="20"/>
        </w:rPr>
        <w:t>European</w:t>
      </w:r>
      <w:r w:rsidR="00111517" w:rsidRPr="009A3560">
        <w:rPr>
          <w:noProof/>
          <w:sz w:val="20"/>
          <w:lang w:val="ru-RU"/>
        </w:rPr>
        <w:t xml:space="preserve"> </w:t>
      </w:r>
      <w:r w:rsidR="00111517">
        <w:rPr>
          <w:noProof/>
          <w:sz w:val="20"/>
        </w:rPr>
        <w:t>Recovery</w:t>
      </w:r>
      <w:r w:rsidR="00111517" w:rsidRPr="009A3560">
        <w:rPr>
          <w:noProof/>
          <w:sz w:val="20"/>
          <w:lang w:val="ru-RU"/>
        </w:rPr>
        <w:t xml:space="preserve"> </w:t>
      </w:r>
      <w:r w:rsidR="00111517">
        <w:rPr>
          <w:noProof/>
          <w:sz w:val="20"/>
        </w:rPr>
        <w:t>Instrument</w:t>
      </w:r>
      <w:r w:rsidR="00111517" w:rsidRPr="009A3560">
        <w:rPr>
          <w:noProof/>
          <w:sz w:val="20"/>
          <w:lang w:val="ru-RU"/>
        </w:rPr>
        <w:t xml:space="preserve">), като бъдат разпределени към текущите Програми за развитие на селските райони 2014-2020, в рамките на очаквания преходен период 2021-2022 г. </w:t>
      </w:r>
      <w:r w:rsidR="00111517">
        <w:rPr>
          <w:noProof/>
          <w:sz w:val="20"/>
          <w:lang w:val="bg-BG"/>
        </w:rPr>
        <w:t>Мнозинството от делегациите подкрепиха предложението</w:t>
      </w:r>
      <w:r w:rsidR="00111517" w:rsidRPr="009A3560">
        <w:rPr>
          <w:noProof/>
          <w:sz w:val="20"/>
          <w:lang w:val="ru-RU"/>
        </w:rPr>
        <w:t xml:space="preserve">, като считат, че по този начин ще се даде възможност на ДЧ да използват финансирането още в началото на преходния период, </w:t>
      </w:r>
      <w:r w:rsidR="00111517">
        <w:rPr>
          <w:noProof/>
          <w:sz w:val="20"/>
          <w:lang w:val="bg-BG"/>
        </w:rPr>
        <w:t xml:space="preserve">но настояват дебатът по този въпрос да не </w:t>
      </w:r>
      <w:r w:rsidR="00111517" w:rsidRPr="009A3560">
        <w:rPr>
          <w:noProof/>
          <w:sz w:val="20"/>
          <w:lang w:val="ru-RU"/>
        </w:rPr>
        <w:t xml:space="preserve">застрашава </w:t>
      </w:r>
      <w:r w:rsidR="00111517">
        <w:rPr>
          <w:noProof/>
          <w:sz w:val="20"/>
          <w:lang w:val="bg-BG"/>
        </w:rPr>
        <w:t xml:space="preserve">навременното приемане и публикуване на Преходния регламент, който трябва да е в сила от началото на </w:t>
      </w:r>
      <w:r w:rsidR="00111517" w:rsidRPr="009A3560">
        <w:rPr>
          <w:noProof/>
          <w:sz w:val="20"/>
          <w:lang w:val="ru-RU"/>
        </w:rPr>
        <w:t>2021</w:t>
      </w:r>
      <w:r w:rsidR="00111517" w:rsidRPr="009A3560">
        <w:rPr>
          <w:rFonts w:hint="eastAsia"/>
          <w:noProof/>
          <w:sz w:val="20"/>
          <w:lang w:val="ru-RU"/>
        </w:rPr>
        <w:t>г</w:t>
      </w:r>
      <w:r w:rsidR="00111517" w:rsidRPr="009A3560">
        <w:rPr>
          <w:noProof/>
          <w:sz w:val="20"/>
          <w:lang w:val="ru-RU"/>
        </w:rPr>
        <w:t xml:space="preserve">. Предложението </w:t>
      </w:r>
      <w:r w:rsidR="00111517" w:rsidRPr="009A3560">
        <w:rPr>
          <w:noProof/>
          <w:sz w:val="20"/>
          <w:lang w:val="ru-RU"/>
        </w:rPr>
        <w:lastRenderedPageBreak/>
        <w:t>ще бъде допълнително обсъдено в СКСС</w:t>
      </w:r>
      <w:r w:rsidR="00FD561F">
        <w:rPr>
          <w:noProof/>
          <w:sz w:val="20"/>
          <w:lang w:val="bg-BG"/>
        </w:rPr>
        <w:t>,</w:t>
      </w:r>
      <w:r w:rsidR="00111517" w:rsidRPr="009A3560">
        <w:rPr>
          <w:noProof/>
          <w:sz w:val="20"/>
          <w:lang w:val="ru-RU"/>
        </w:rPr>
        <w:t xml:space="preserve"> след като Правната служба на Съвета изготви допълнително становище относно съвместимостта на този подход </w:t>
      </w:r>
      <w:r w:rsidR="00FD561F">
        <w:rPr>
          <w:noProof/>
          <w:sz w:val="20"/>
          <w:lang w:val="bg-BG"/>
        </w:rPr>
        <w:t>с</w:t>
      </w:r>
      <w:r w:rsidR="00111517" w:rsidRPr="009A3560">
        <w:rPr>
          <w:noProof/>
          <w:sz w:val="20"/>
          <w:lang w:val="ru-RU"/>
        </w:rPr>
        <w:t xml:space="preserve"> решението на Европейския съвет за МФР 2021-2027 г., публикувано на 21 юли 2020 г. Относно </w:t>
      </w:r>
      <w:r w:rsidR="00895104">
        <w:rPr>
          <w:noProof/>
          <w:sz w:val="20"/>
          <w:lang w:val="bg-BG"/>
        </w:rPr>
        <w:t xml:space="preserve">предложението за Регламент за стратегическите планове за ОСП след 2020 г. </w:t>
      </w:r>
      <w:r w:rsidR="00111517" w:rsidRPr="009A3560">
        <w:rPr>
          <w:noProof/>
          <w:sz w:val="20"/>
          <w:lang w:val="ru-RU"/>
        </w:rPr>
        <w:t>Председателството предложи редакции по няколко елемента на регламента (дефиниции в обхвата на ДЗЕС 9, задължителност и определяне минимален бюджет за еко-схемите, процедура за одобрение на Стратегическите планове и индикаторите за отчитане на напредъка по целите, свързани с околна среда), като поясни, че е необходимо да бъде постигнат напредък с оглед формиране на обща позиция на Съвета през октомври 2020 г. В допълнение на това, по време на заседанието Комисията запозна делегациите със състоянието на текущи и бъдещи търговски преговори в областта на селското стопанство.</w:t>
      </w:r>
    </w:p>
    <w:p w:rsidR="00B31B81" w:rsidRDefault="00B31B81" w:rsidP="00C0591E">
      <w:pPr>
        <w:pStyle w:val="Default"/>
        <w:jc w:val="both"/>
        <w:rPr>
          <w:noProof/>
          <w:sz w:val="20"/>
        </w:rPr>
      </w:pPr>
    </w:p>
    <w:p w:rsidR="00B31B81" w:rsidRPr="00B31B81" w:rsidRDefault="007A5FEB" w:rsidP="00B31B81">
      <w:pPr>
        <w:jc w:val="both"/>
        <w:rPr>
          <w:rFonts w:ascii="Arial" w:hAnsi="Arial" w:cs="Arial"/>
          <w:noProof/>
          <w:sz w:val="20"/>
        </w:rPr>
      </w:pPr>
      <w:r>
        <w:rPr>
          <w:rFonts w:ascii="Arial" w:hAnsi="Arial" w:cs="Arial"/>
          <w:b/>
          <w:noProof/>
          <w:sz w:val="20"/>
        </w:rPr>
        <w:t>3</w:t>
      </w:r>
      <w:r w:rsidR="00B31B81" w:rsidRPr="00B31B81">
        <w:rPr>
          <w:rFonts w:ascii="Arial" w:hAnsi="Arial" w:cs="Arial"/>
          <w:b/>
          <w:noProof/>
          <w:sz w:val="20"/>
        </w:rPr>
        <w:t>.</w:t>
      </w:r>
      <w:r w:rsidR="00B31B81" w:rsidRPr="00B31B81">
        <w:rPr>
          <w:b/>
          <w:noProof/>
          <w:sz w:val="20"/>
        </w:rPr>
        <w:t xml:space="preserve"> </w:t>
      </w:r>
      <w:r w:rsidR="00B31B81" w:rsidRPr="00B31B81">
        <w:rPr>
          <w:rFonts w:ascii="Arial" w:hAnsi="Arial" w:cs="Arial"/>
          <w:b/>
          <w:noProof/>
          <w:sz w:val="20"/>
        </w:rPr>
        <w:t>На  08 и 09</w:t>
      </w:r>
      <w:r w:rsidR="00B31B81">
        <w:rPr>
          <w:rFonts w:ascii="Arial" w:hAnsi="Arial" w:cs="Arial"/>
          <w:b/>
          <w:noProof/>
          <w:sz w:val="20"/>
        </w:rPr>
        <w:t xml:space="preserve"> септември</w:t>
      </w:r>
      <w:r w:rsidR="00B31B81" w:rsidRPr="0055325F">
        <w:rPr>
          <w:rFonts w:ascii="Arial" w:hAnsi="Arial" w:cs="Arial"/>
          <w:b/>
          <w:noProof/>
          <w:sz w:val="20"/>
        </w:rPr>
        <w:t xml:space="preserve"> 2020 г. се проведе </w:t>
      </w:r>
      <w:r w:rsidR="00B31B81">
        <w:rPr>
          <w:rFonts w:ascii="Arial" w:hAnsi="Arial" w:cs="Arial"/>
          <w:b/>
          <w:noProof/>
          <w:sz w:val="20"/>
        </w:rPr>
        <w:t>второто</w:t>
      </w:r>
      <w:r w:rsidR="00B31B81" w:rsidRPr="0055325F">
        <w:rPr>
          <w:rFonts w:ascii="Arial" w:hAnsi="Arial" w:cs="Arial"/>
          <w:b/>
          <w:noProof/>
          <w:sz w:val="20"/>
        </w:rPr>
        <w:t xml:space="preserve"> заседание на Тематичната работна група за разработване на Стратегическия план за развитие на земеделието и селските райони за периода 2021 - 2027 г</w:t>
      </w:r>
      <w:r w:rsidR="00B31B81" w:rsidRPr="0055325F">
        <w:rPr>
          <w:rFonts w:ascii="Arial" w:hAnsi="Arial" w:cs="Arial"/>
          <w:noProof/>
          <w:sz w:val="20"/>
        </w:rPr>
        <w:t xml:space="preserve">. </w:t>
      </w:r>
      <w:r w:rsidR="00B31B81" w:rsidRPr="00563681">
        <w:rPr>
          <w:rFonts w:ascii="Arial" w:hAnsi="Arial" w:cs="Arial"/>
          <w:noProof/>
          <w:sz w:val="20"/>
        </w:rPr>
        <w:t xml:space="preserve">В рамките на двудневното заседание в широк формат от заинтересовани страни </w:t>
      </w:r>
      <w:r w:rsidR="00B31B81" w:rsidRPr="0055325F">
        <w:rPr>
          <w:rFonts w:ascii="Arial" w:hAnsi="Arial" w:cs="Arial"/>
          <w:noProof/>
          <w:sz w:val="20"/>
        </w:rPr>
        <w:t xml:space="preserve">бяха </w:t>
      </w:r>
      <w:r w:rsidR="00B31B81">
        <w:rPr>
          <w:rFonts w:ascii="Arial" w:hAnsi="Arial" w:cs="Arial"/>
          <w:noProof/>
          <w:sz w:val="20"/>
        </w:rPr>
        <w:t>обсъдени бележките и пре</w:t>
      </w:r>
      <w:r w:rsidR="00B31B81" w:rsidRPr="0055325F">
        <w:rPr>
          <w:rFonts w:ascii="Arial" w:hAnsi="Arial" w:cs="Arial"/>
          <w:noProof/>
          <w:sz w:val="20"/>
        </w:rPr>
        <w:t xml:space="preserve">дставените становища </w:t>
      </w:r>
      <w:r w:rsidR="00B31B81">
        <w:rPr>
          <w:rFonts w:ascii="Arial" w:hAnsi="Arial" w:cs="Arial"/>
          <w:noProof/>
          <w:sz w:val="20"/>
        </w:rPr>
        <w:t xml:space="preserve">по проекта на идентифицираните потребности, с което беше финализирана дискусията по деветте специфични цели и хоризонталната цел. На следващ етап предстои изпращане на информацията до ЕК за идентифицираните потребности по специфични цели, на база на които предстои изготвянето на интервенционната стратегия. </w:t>
      </w:r>
    </w:p>
    <w:p w:rsidR="002A2BBE" w:rsidRPr="0002016E" w:rsidRDefault="002A2BBE" w:rsidP="008B7A95">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72576F" w:rsidRDefault="007A5FEB" w:rsidP="009A3560">
      <w:pPr>
        <w:jc w:val="both"/>
        <w:outlineLvl w:val="0"/>
        <w:rPr>
          <w:rFonts w:ascii="Arial" w:hAnsi="Arial" w:cs="Arial"/>
          <w:b/>
          <w:sz w:val="20"/>
        </w:rPr>
      </w:pPr>
      <w:r>
        <w:rPr>
          <w:rStyle w:val="longtext"/>
          <w:rFonts w:ascii="Arial" w:hAnsi="Arial" w:cs="Arial"/>
          <w:b/>
          <w:noProof/>
          <w:sz w:val="20"/>
          <w:lang w:val="en-US"/>
        </w:rPr>
        <w:t>1</w:t>
      </w:r>
      <w:bookmarkStart w:id="0" w:name="_GoBack"/>
      <w:bookmarkEnd w:id="0"/>
      <w:r w:rsidR="0024496F">
        <w:rPr>
          <w:rStyle w:val="longtext"/>
          <w:rFonts w:ascii="Arial" w:hAnsi="Arial" w:cs="Arial"/>
          <w:noProof/>
          <w:sz w:val="20"/>
        </w:rPr>
        <w:t xml:space="preserve">. </w:t>
      </w:r>
      <w:r w:rsidR="00571D95" w:rsidRPr="00117391">
        <w:rPr>
          <w:rStyle w:val="longtext"/>
          <w:rFonts w:ascii="Arial" w:hAnsi="Arial" w:cs="Arial"/>
          <w:b/>
          <w:noProof/>
          <w:sz w:val="20"/>
        </w:rPr>
        <w:t>Комисията отлага новите правила за органично</w:t>
      </w:r>
      <w:r w:rsidR="006F5DAD">
        <w:rPr>
          <w:rStyle w:val="longtext"/>
          <w:rFonts w:ascii="Arial" w:hAnsi="Arial" w:cs="Arial"/>
          <w:b/>
          <w:noProof/>
          <w:sz w:val="20"/>
        </w:rPr>
        <w:t>то</w:t>
      </w:r>
      <w:r w:rsidR="00571D95" w:rsidRPr="00117391">
        <w:rPr>
          <w:rStyle w:val="longtext"/>
          <w:rFonts w:ascii="Arial" w:hAnsi="Arial" w:cs="Arial"/>
          <w:b/>
          <w:noProof/>
          <w:sz w:val="20"/>
        </w:rPr>
        <w:t xml:space="preserve"> селско стопанство и стартира обществена консултация.</w:t>
      </w:r>
      <w:r w:rsidR="00571D95">
        <w:rPr>
          <w:rStyle w:val="longtext"/>
          <w:rFonts w:ascii="Arial" w:hAnsi="Arial" w:cs="Arial"/>
          <w:noProof/>
          <w:sz w:val="20"/>
        </w:rPr>
        <w:t xml:space="preserve"> Комисията взе решение да забави с една година (до 1 януари 2022 г.) официалното влизане в сила на одобреното ново законодателство за биологичното производство в селското стопанство. </w:t>
      </w:r>
      <w:r w:rsidR="00117391">
        <w:rPr>
          <w:rStyle w:val="longtext"/>
          <w:rFonts w:ascii="Arial" w:hAnsi="Arial" w:cs="Arial"/>
          <w:noProof/>
          <w:sz w:val="20"/>
        </w:rPr>
        <w:t>В същото време, Комисията стартира обществена консултация</w:t>
      </w:r>
      <w:r w:rsidR="004D1E64">
        <w:rPr>
          <w:rStyle w:val="longtext"/>
          <w:rFonts w:ascii="Arial" w:hAnsi="Arial" w:cs="Arial"/>
          <w:noProof/>
          <w:sz w:val="20"/>
        </w:rPr>
        <w:t>*</w:t>
      </w:r>
      <w:r w:rsidR="00117391">
        <w:rPr>
          <w:rStyle w:val="longtext"/>
          <w:rFonts w:ascii="Arial" w:hAnsi="Arial" w:cs="Arial"/>
          <w:noProof/>
          <w:sz w:val="20"/>
        </w:rPr>
        <w:t xml:space="preserve"> за обсъждане на бъдещия План за действие по отношение на </w:t>
      </w:r>
      <w:r w:rsidR="00EE7997">
        <w:rPr>
          <w:rStyle w:val="longtext"/>
          <w:rFonts w:ascii="Arial" w:hAnsi="Arial" w:cs="Arial"/>
          <w:noProof/>
          <w:sz w:val="20"/>
        </w:rPr>
        <w:t>биологичното селско стопанство. Според представители на Комисията, в момента основният приоритет е да бъдат на разположение правилните инструменти, заедно с „добре функционираща и консенсусна правна рамка“</w:t>
      </w:r>
      <w:r w:rsidR="00F55CA3">
        <w:rPr>
          <w:rStyle w:val="longtext"/>
          <w:rFonts w:ascii="Arial" w:hAnsi="Arial" w:cs="Arial"/>
          <w:noProof/>
          <w:sz w:val="20"/>
        </w:rPr>
        <w:t xml:space="preserve">, за да бъде постигната целта на Европейската зелена сделка за използване на 25% от селскостопанските площи за биологично производство до 2030 г. </w:t>
      </w:r>
      <w:r w:rsidR="00694512">
        <w:rPr>
          <w:rStyle w:val="longtext"/>
          <w:rFonts w:ascii="Arial" w:hAnsi="Arial" w:cs="Arial"/>
          <w:noProof/>
          <w:sz w:val="20"/>
        </w:rPr>
        <w:t xml:space="preserve">Забавянето на новите правила е в резултат от настояване на държавите-членки, членове на Европейския парламент, трети страни и ключови заинтересовани страни. </w:t>
      </w:r>
      <w:r w:rsidR="00D32805">
        <w:rPr>
          <w:rStyle w:val="longtext"/>
          <w:rFonts w:ascii="Arial" w:hAnsi="Arial" w:cs="Arial"/>
          <w:noProof/>
          <w:sz w:val="20"/>
        </w:rPr>
        <w:t>Към момента, р</w:t>
      </w:r>
      <w:r w:rsidR="00F570C1">
        <w:rPr>
          <w:rStyle w:val="longtext"/>
          <w:rFonts w:ascii="Arial" w:hAnsi="Arial" w:cs="Arial"/>
          <w:noProof/>
          <w:sz w:val="20"/>
        </w:rPr>
        <w:t>аботата по вторичното законодателство вече напредва с по-бавни темпове, поради пандемията</w:t>
      </w:r>
      <w:r w:rsidR="00723F5F">
        <w:rPr>
          <w:rStyle w:val="longtext"/>
          <w:rFonts w:ascii="Arial" w:hAnsi="Arial" w:cs="Arial"/>
          <w:noProof/>
          <w:sz w:val="20"/>
        </w:rPr>
        <w:t>,</w:t>
      </w:r>
      <w:r w:rsidR="00F570C1">
        <w:rPr>
          <w:rStyle w:val="longtext"/>
          <w:rFonts w:ascii="Arial" w:hAnsi="Arial" w:cs="Arial"/>
          <w:noProof/>
          <w:sz w:val="20"/>
        </w:rPr>
        <w:t xml:space="preserve"> причинена от </w:t>
      </w:r>
      <w:r w:rsidR="00F570C1">
        <w:rPr>
          <w:rStyle w:val="longtext"/>
          <w:rFonts w:ascii="Arial" w:hAnsi="Arial" w:cs="Arial"/>
          <w:noProof/>
          <w:sz w:val="20"/>
          <w:lang w:val="en-US"/>
        </w:rPr>
        <w:t>COVID</w:t>
      </w:r>
      <w:r w:rsidR="00F570C1" w:rsidRPr="009A3560">
        <w:rPr>
          <w:rStyle w:val="longtext"/>
          <w:rFonts w:ascii="Arial" w:hAnsi="Arial" w:cs="Arial"/>
          <w:noProof/>
          <w:sz w:val="20"/>
          <w:lang w:val="ru-RU"/>
        </w:rPr>
        <w:t>-19</w:t>
      </w:r>
      <w:r w:rsidR="00F570C1">
        <w:rPr>
          <w:rStyle w:val="longtext"/>
          <w:rFonts w:ascii="Arial" w:hAnsi="Arial" w:cs="Arial"/>
          <w:noProof/>
          <w:sz w:val="20"/>
        </w:rPr>
        <w:t xml:space="preserve"> и Комисият</w:t>
      </w:r>
      <w:r w:rsidR="00723F5F">
        <w:rPr>
          <w:rStyle w:val="longtext"/>
          <w:rFonts w:ascii="Arial" w:hAnsi="Arial" w:cs="Arial"/>
          <w:noProof/>
          <w:sz w:val="20"/>
        </w:rPr>
        <w:t>а</w:t>
      </w:r>
      <w:r w:rsidR="00F570C1">
        <w:rPr>
          <w:rStyle w:val="longtext"/>
          <w:rFonts w:ascii="Arial" w:hAnsi="Arial" w:cs="Arial"/>
          <w:noProof/>
          <w:sz w:val="20"/>
        </w:rPr>
        <w:t xml:space="preserve"> счита, че отлагането ще позволи също да се навакса с необходомите консултации и </w:t>
      </w:r>
      <w:r w:rsidR="00E330E6">
        <w:rPr>
          <w:rStyle w:val="longtext"/>
          <w:rFonts w:ascii="Arial" w:hAnsi="Arial" w:cs="Arial"/>
          <w:noProof/>
          <w:sz w:val="20"/>
        </w:rPr>
        <w:t xml:space="preserve">период за възражения. В коментар след официалното обявяване на отлагането, комисар Януш Войчеховски заяви, че билогичното земеделие е „ключов съюзник в прехода към по-устойчиви хранителни системи и по-добра защита на биоразнообразието в ЕС“. </w:t>
      </w:r>
      <w:r w:rsidR="002B7FD9">
        <w:rPr>
          <w:rStyle w:val="longtext"/>
          <w:rFonts w:ascii="Arial" w:hAnsi="Arial" w:cs="Arial"/>
          <w:noProof/>
          <w:sz w:val="20"/>
        </w:rPr>
        <w:t xml:space="preserve">Той добави също, че неговите служби ще подкпрепят целия сектор за постигане на поставените цели </w:t>
      </w:r>
      <w:r w:rsidR="00095914">
        <w:rPr>
          <w:rStyle w:val="longtext"/>
          <w:rFonts w:ascii="Arial" w:hAnsi="Arial" w:cs="Arial"/>
          <w:noProof/>
          <w:sz w:val="20"/>
        </w:rPr>
        <w:t xml:space="preserve">чрез „подходяща политическа и правна рамка“. </w:t>
      </w:r>
      <w:r w:rsidR="00893AA7">
        <w:rPr>
          <w:rStyle w:val="longtext"/>
          <w:rFonts w:ascii="Arial" w:hAnsi="Arial" w:cs="Arial"/>
          <w:noProof/>
          <w:sz w:val="20"/>
        </w:rPr>
        <w:t>Обществената консултация за обсъждане на Плана за действие ще бъде отворена до 27 ноември, като Комисията цели да получи отговори от всички заинтересовани страни</w:t>
      </w:r>
      <w:r w:rsidR="009E673D">
        <w:rPr>
          <w:rStyle w:val="longtext"/>
          <w:rFonts w:ascii="Arial" w:hAnsi="Arial" w:cs="Arial"/>
          <w:noProof/>
          <w:sz w:val="20"/>
        </w:rPr>
        <w:t>, участващи в агро-хранителната верига (</w:t>
      </w:r>
      <w:r w:rsidR="00D32805">
        <w:rPr>
          <w:rStyle w:val="longtext"/>
          <w:rFonts w:ascii="Arial" w:hAnsi="Arial" w:cs="Arial"/>
          <w:noProof/>
          <w:sz w:val="20"/>
        </w:rPr>
        <w:t>като</w:t>
      </w:r>
      <w:r w:rsidR="00893AA7">
        <w:rPr>
          <w:rStyle w:val="longtext"/>
          <w:rFonts w:ascii="Arial" w:hAnsi="Arial" w:cs="Arial"/>
          <w:noProof/>
          <w:sz w:val="20"/>
        </w:rPr>
        <w:t xml:space="preserve"> </w:t>
      </w:r>
      <w:r w:rsidR="00F36BD6">
        <w:rPr>
          <w:rStyle w:val="longtext"/>
          <w:rFonts w:ascii="Arial" w:hAnsi="Arial" w:cs="Arial"/>
          <w:noProof/>
          <w:sz w:val="20"/>
        </w:rPr>
        <w:t xml:space="preserve">публични органи, европейски и национални институции, секторни органи, групи потребители, гражданското общество, </w:t>
      </w:r>
      <w:r w:rsidR="009E673D">
        <w:rPr>
          <w:rStyle w:val="longtext"/>
          <w:rFonts w:ascii="Arial" w:hAnsi="Arial" w:cs="Arial"/>
          <w:noProof/>
          <w:sz w:val="20"/>
        </w:rPr>
        <w:t xml:space="preserve">земеделски стопани и др.) </w:t>
      </w:r>
      <w:r w:rsidR="0000383D">
        <w:rPr>
          <w:rStyle w:val="longtext"/>
          <w:rFonts w:ascii="Arial" w:hAnsi="Arial" w:cs="Arial"/>
          <w:noProof/>
          <w:sz w:val="20"/>
        </w:rPr>
        <w:t xml:space="preserve">Планът за действие цели да стимулира интереса към биологичното </w:t>
      </w:r>
      <w:r w:rsidR="00D32805">
        <w:rPr>
          <w:rStyle w:val="longtext"/>
          <w:rFonts w:ascii="Arial" w:hAnsi="Arial" w:cs="Arial"/>
          <w:noProof/>
          <w:sz w:val="20"/>
        </w:rPr>
        <w:t>селско стопанство</w:t>
      </w:r>
      <w:r w:rsidR="0000383D">
        <w:rPr>
          <w:rStyle w:val="longtext"/>
          <w:rFonts w:ascii="Arial" w:hAnsi="Arial" w:cs="Arial"/>
          <w:noProof/>
          <w:sz w:val="20"/>
        </w:rPr>
        <w:t>, „докат</w:t>
      </w:r>
      <w:r w:rsidR="00873146">
        <w:rPr>
          <w:rStyle w:val="longtext"/>
          <w:rFonts w:ascii="Arial" w:hAnsi="Arial" w:cs="Arial"/>
          <w:noProof/>
          <w:sz w:val="20"/>
        </w:rPr>
        <w:t>о в същото време се запази довер</w:t>
      </w:r>
      <w:r w:rsidR="0000383D">
        <w:rPr>
          <w:rStyle w:val="longtext"/>
          <w:rFonts w:ascii="Arial" w:hAnsi="Arial" w:cs="Arial"/>
          <w:noProof/>
          <w:sz w:val="20"/>
        </w:rPr>
        <w:t>ието на потребителите“, повиши се размерът на площите, заети с биологични култури</w:t>
      </w:r>
      <w:r w:rsidR="00873146">
        <w:rPr>
          <w:rStyle w:val="longtext"/>
          <w:rFonts w:ascii="Arial" w:hAnsi="Arial" w:cs="Arial"/>
          <w:noProof/>
          <w:sz w:val="20"/>
        </w:rPr>
        <w:t>,</w:t>
      </w:r>
      <w:r w:rsidR="0000383D">
        <w:rPr>
          <w:rStyle w:val="longtext"/>
          <w:rFonts w:ascii="Arial" w:hAnsi="Arial" w:cs="Arial"/>
          <w:noProof/>
          <w:sz w:val="20"/>
        </w:rPr>
        <w:t xml:space="preserve"> и се засили ролята на биологичното производство в борбата против климатичните промени и загубата на биоразнообразие, включително постигане на устойчиво управление на ресурсите. </w:t>
      </w:r>
      <w:r w:rsidR="00BE5E1C">
        <w:rPr>
          <w:rStyle w:val="longtext"/>
          <w:rFonts w:ascii="Arial" w:hAnsi="Arial" w:cs="Arial"/>
          <w:noProof/>
          <w:sz w:val="20"/>
        </w:rPr>
        <w:t>Новото законодателство за биологичното селскостопанско производство е предназначено да отрази промените в този бързо развиващ се сектор, като правилата ще гарантират честна конкуренция между земеделските стопани, докато в същото време ще предотвратява</w:t>
      </w:r>
      <w:r w:rsidR="00D32805">
        <w:rPr>
          <w:rStyle w:val="longtext"/>
          <w:rFonts w:ascii="Arial" w:hAnsi="Arial" w:cs="Arial"/>
          <w:noProof/>
          <w:sz w:val="20"/>
        </w:rPr>
        <w:t>т</w:t>
      </w:r>
      <w:r w:rsidR="00BE5E1C">
        <w:rPr>
          <w:rStyle w:val="longtext"/>
          <w:rFonts w:ascii="Arial" w:hAnsi="Arial" w:cs="Arial"/>
          <w:noProof/>
          <w:sz w:val="20"/>
        </w:rPr>
        <w:t xml:space="preserve"> измами и допринася</w:t>
      </w:r>
      <w:r w:rsidR="00873146">
        <w:rPr>
          <w:rStyle w:val="longtext"/>
          <w:rFonts w:ascii="Arial" w:hAnsi="Arial" w:cs="Arial"/>
          <w:noProof/>
          <w:sz w:val="20"/>
        </w:rPr>
        <w:t>т</w:t>
      </w:r>
      <w:r w:rsidR="00BE5E1C">
        <w:rPr>
          <w:rStyle w:val="longtext"/>
          <w:rFonts w:ascii="Arial" w:hAnsi="Arial" w:cs="Arial"/>
          <w:noProof/>
          <w:sz w:val="20"/>
        </w:rPr>
        <w:t xml:space="preserve"> за запазване на доверието на потребителите. </w:t>
      </w:r>
      <w:r w:rsidR="00FE2644">
        <w:rPr>
          <w:rStyle w:val="longtext"/>
          <w:rFonts w:ascii="Arial" w:hAnsi="Arial" w:cs="Arial"/>
          <w:noProof/>
          <w:sz w:val="20"/>
        </w:rPr>
        <w:t xml:space="preserve">Промоционалната политика за селскостопански и хранителни продукти също ще има роля, като Комисията планира да определи бюджет от 40 млн. евро, специално насочен към биологично земеделие, с което да се подмогне финансирането на промоционални дейности и информационни кампании за сектора. </w:t>
      </w:r>
      <w:r w:rsidR="004762C7">
        <w:rPr>
          <w:rStyle w:val="longtext"/>
          <w:rFonts w:ascii="Arial" w:hAnsi="Arial" w:cs="Arial"/>
          <w:noProof/>
          <w:sz w:val="20"/>
        </w:rPr>
        <w:t>Комисията също подчерта, че насто</w:t>
      </w:r>
      <w:r w:rsidR="00D32805">
        <w:rPr>
          <w:rStyle w:val="longtext"/>
          <w:rFonts w:ascii="Arial" w:hAnsi="Arial" w:cs="Arial"/>
          <w:noProof/>
          <w:sz w:val="20"/>
        </w:rPr>
        <w:t>ящата и бъдещата ОСП ще продължи</w:t>
      </w:r>
      <w:r w:rsidR="004762C7">
        <w:rPr>
          <w:rStyle w:val="longtext"/>
          <w:rFonts w:ascii="Arial" w:hAnsi="Arial" w:cs="Arial"/>
          <w:noProof/>
          <w:sz w:val="20"/>
        </w:rPr>
        <w:t xml:space="preserve"> да подкрепя допълнителното развитие на биологичното производство, особен чрез мерки от Програмите за развитие на селските райони, които насърчават прехода от конвенционално към биологично производство. </w:t>
      </w:r>
      <w:r w:rsidR="004D1E64">
        <w:rPr>
          <w:rStyle w:val="longtext"/>
          <w:rFonts w:ascii="Arial" w:hAnsi="Arial" w:cs="Arial"/>
          <w:noProof/>
          <w:sz w:val="20"/>
        </w:rPr>
        <w:t xml:space="preserve">*Линк към </w:t>
      </w:r>
      <w:r w:rsidR="0001493D">
        <w:rPr>
          <w:rStyle w:val="longtext"/>
          <w:rFonts w:ascii="Arial" w:hAnsi="Arial" w:cs="Arial"/>
          <w:noProof/>
          <w:sz w:val="20"/>
        </w:rPr>
        <w:t xml:space="preserve">обществената консултация: </w:t>
      </w:r>
      <w:hyperlink r:id="rId8" w:history="1">
        <w:r w:rsidR="004D1E64" w:rsidRPr="009A3030">
          <w:rPr>
            <w:rStyle w:val="a7"/>
            <w:rFonts w:ascii="Arial" w:hAnsi="Arial" w:cs="Arial"/>
            <w:noProof/>
            <w:sz w:val="20"/>
          </w:rPr>
          <w:t>https://ec.europa.eu/info/law/better-regulation/have-your-say/initiatives/12555-Organic-farming-action-plan-for-the-development-of-EU-org/public-consultation</w:t>
        </w:r>
      </w:hyperlink>
      <w:r w:rsidR="004D1E64">
        <w:rPr>
          <w:rStyle w:val="longtext"/>
          <w:rFonts w:ascii="Arial" w:hAnsi="Arial" w:cs="Arial"/>
          <w:noProof/>
          <w:sz w:val="20"/>
        </w:rPr>
        <w:t xml:space="preserve"> </w:t>
      </w:r>
    </w:p>
    <w:sectPr w:rsidR="0072576F"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A4" w:rsidRDefault="00775DA4">
      <w:r>
        <w:separator/>
      </w:r>
    </w:p>
  </w:endnote>
  <w:endnote w:type="continuationSeparator" w:id="0">
    <w:p w:rsidR="00775DA4" w:rsidRDefault="0077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7A5FE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7A5FEB"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A5FEB">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7A5FEB">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A4" w:rsidRDefault="00775DA4">
      <w:r>
        <w:separator/>
      </w:r>
    </w:p>
  </w:footnote>
  <w:footnote w:type="continuationSeparator" w:id="0">
    <w:p w:rsidR="00775DA4" w:rsidRDefault="00775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0B1F856E" wp14:editId="534E7CD7">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7A5FEB"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7A5FEB">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35CDC">
      <w:rPr>
        <w:rFonts w:ascii="Arial" w:hAnsi="Arial"/>
        <w:b/>
        <w:bCs/>
        <w:color w:val="800080"/>
        <w:sz w:val="20"/>
        <w:lang w:val="en-US"/>
      </w:rPr>
      <w:t>33</w:t>
    </w:r>
    <w:r>
      <w:rPr>
        <w:rFonts w:ascii="Arial" w:hAnsi="Arial"/>
        <w:b/>
        <w:bCs/>
        <w:color w:val="800080"/>
        <w:sz w:val="20"/>
      </w:rPr>
      <w:t>/</w:t>
    </w:r>
    <w:r w:rsidR="00D35CDC">
      <w:rPr>
        <w:rFonts w:ascii="Arial" w:hAnsi="Arial"/>
        <w:b/>
        <w:bCs/>
        <w:color w:val="800080"/>
        <w:sz w:val="20"/>
        <w:lang w:val="en-US"/>
      </w:rPr>
      <w:t>14</w:t>
    </w:r>
    <w:r w:rsidR="006E7A46">
      <w:rPr>
        <w:rFonts w:ascii="Arial" w:hAnsi="Arial"/>
        <w:b/>
        <w:bCs/>
        <w:color w:val="800080"/>
        <w:sz w:val="20"/>
        <w:lang w:val="en-US"/>
      </w:rPr>
      <w:t>.</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383D"/>
    <w:rsid w:val="000144D9"/>
    <w:rsid w:val="0001493D"/>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1CD4"/>
    <w:rsid w:val="00095914"/>
    <w:rsid w:val="000A31F0"/>
    <w:rsid w:val="000A7CFB"/>
    <w:rsid w:val="000B16BF"/>
    <w:rsid w:val="000B2026"/>
    <w:rsid w:val="000B3B85"/>
    <w:rsid w:val="000B770C"/>
    <w:rsid w:val="000B7B54"/>
    <w:rsid w:val="000C72E3"/>
    <w:rsid w:val="000F3D2D"/>
    <w:rsid w:val="00111517"/>
    <w:rsid w:val="001164FC"/>
    <w:rsid w:val="00117391"/>
    <w:rsid w:val="001173C3"/>
    <w:rsid w:val="00117955"/>
    <w:rsid w:val="00117A81"/>
    <w:rsid w:val="00120AD2"/>
    <w:rsid w:val="00131A6D"/>
    <w:rsid w:val="00134872"/>
    <w:rsid w:val="0013606E"/>
    <w:rsid w:val="00141A95"/>
    <w:rsid w:val="0014608C"/>
    <w:rsid w:val="001468C1"/>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565"/>
    <w:rsid w:val="001F396B"/>
    <w:rsid w:val="00210721"/>
    <w:rsid w:val="002118F6"/>
    <w:rsid w:val="00215B7E"/>
    <w:rsid w:val="002163C0"/>
    <w:rsid w:val="00221CDF"/>
    <w:rsid w:val="0023339B"/>
    <w:rsid w:val="0024496F"/>
    <w:rsid w:val="0024546F"/>
    <w:rsid w:val="00251328"/>
    <w:rsid w:val="002521C1"/>
    <w:rsid w:val="002610A9"/>
    <w:rsid w:val="002653C2"/>
    <w:rsid w:val="00274F4E"/>
    <w:rsid w:val="00275471"/>
    <w:rsid w:val="00285183"/>
    <w:rsid w:val="0029075B"/>
    <w:rsid w:val="002918DE"/>
    <w:rsid w:val="00291A66"/>
    <w:rsid w:val="0029220D"/>
    <w:rsid w:val="002953A0"/>
    <w:rsid w:val="002A2BBE"/>
    <w:rsid w:val="002A2C5F"/>
    <w:rsid w:val="002A5150"/>
    <w:rsid w:val="002A566C"/>
    <w:rsid w:val="002A6A4C"/>
    <w:rsid w:val="002B379D"/>
    <w:rsid w:val="002B44DA"/>
    <w:rsid w:val="002B7FD9"/>
    <w:rsid w:val="002C21A3"/>
    <w:rsid w:val="002C50AC"/>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350E"/>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E6C"/>
    <w:rsid w:val="00407F6D"/>
    <w:rsid w:val="00411829"/>
    <w:rsid w:val="00412AFD"/>
    <w:rsid w:val="004133A8"/>
    <w:rsid w:val="00414784"/>
    <w:rsid w:val="00422311"/>
    <w:rsid w:val="00422CDC"/>
    <w:rsid w:val="004317EA"/>
    <w:rsid w:val="0043388D"/>
    <w:rsid w:val="0044148C"/>
    <w:rsid w:val="00446398"/>
    <w:rsid w:val="00452F9D"/>
    <w:rsid w:val="0046415A"/>
    <w:rsid w:val="004659DA"/>
    <w:rsid w:val="004762C7"/>
    <w:rsid w:val="004923C1"/>
    <w:rsid w:val="00496775"/>
    <w:rsid w:val="004A0254"/>
    <w:rsid w:val="004A4C92"/>
    <w:rsid w:val="004B46D9"/>
    <w:rsid w:val="004D1E64"/>
    <w:rsid w:val="004F4705"/>
    <w:rsid w:val="004F5E4F"/>
    <w:rsid w:val="00502A0A"/>
    <w:rsid w:val="00504E8D"/>
    <w:rsid w:val="0051071D"/>
    <w:rsid w:val="00512E09"/>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71D95"/>
    <w:rsid w:val="00594324"/>
    <w:rsid w:val="00596313"/>
    <w:rsid w:val="005A0184"/>
    <w:rsid w:val="005B1884"/>
    <w:rsid w:val="005B4574"/>
    <w:rsid w:val="005C1BB7"/>
    <w:rsid w:val="005F3548"/>
    <w:rsid w:val="006068B4"/>
    <w:rsid w:val="00617956"/>
    <w:rsid w:val="00623765"/>
    <w:rsid w:val="00626A3F"/>
    <w:rsid w:val="00627881"/>
    <w:rsid w:val="00636402"/>
    <w:rsid w:val="006367A9"/>
    <w:rsid w:val="00642BB6"/>
    <w:rsid w:val="006604D1"/>
    <w:rsid w:val="0066444F"/>
    <w:rsid w:val="00667C81"/>
    <w:rsid w:val="006809BC"/>
    <w:rsid w:val="00682667"/>
    <w:rsid w:val="00694512"/>
    <w:rsid w:val="006961F0"/>
    <w:rsid w:val="006A094F"/>
    <w:rsid w:val="006A7281"/>
    <w:rsid w:val="006A7391"/>
    <w:rsid w:val="006A739D"/>
    <w:rsid w:val="006B6D5F"/>
    <w:rsid w:val="006C196D"/>
    <w:rsid w:val="006E7A46"/>
    <w:rsid w:val="006F38F7"/>
    <w:rsid w:val="006F5A28"/>
    <w:rsid w:val="006F5DAD"/>
    <w:rsid w:val="0070200F"/>
    <w:rsid w:val="00705B40"/>
    <w:rsid w:val="00713942"/>
    <w:rsid w:val="00714838"/>
    <w:rsid w:val="007178AB"/>
    <w:rsid w:val="00720E60"/>
    <w:rsid w:val="00723155"/>
    <w:rsid w:val="00723F5F"/>
    <w:rsid w:val="0072576F"/>
    <w:rsid w:val="00726AB6"/>
    <w:rsid w:val="00734448"/>
    <w:rsid w:val="00750FB4"/>
    <w:rsid w:val="00767AA8"/>
    <w:rsid w:val="007712FE"/>
    <w:rsid w:val="00775DA4"/>
    <w:rsid w:val="00782D3D"/>
    <w:rsid w:val="007846E5"/>
    <w:rsid w:val="007A388B"/>
    <w:rsid w:val="007A5FEB"/>
    <w:rsid w:val="007A70E6"/>
    <w:rsid w:val="007B03F2"/>
    <w:rsid w:val="007B0CB0"/>
    <w:rsid w:val="007B2DB0"/>
    <w:rsid w:val="007B7A28"/>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55BFC"/>
    <w:rsid w:val="00861450"/>
    <w:rsid w:val="00865E24"/>
    <w:rsid w:val="00873146"/>
    <w:rsid w:val="0087702E"/>
    <w:rsid w:val="0087763E"/>
    <w:rsid w:val="008803A4"/>
    <w:rsid w:val="008836F2"/>
    <w:rsid w:val="008933AB"/>
    <w:rsid w:val="00893AA7"/>
    <w:rsid w:val="00895104"/>
    <w:rsid w:val="008A1360"/>
    <w:rsid w:val="008B2118"/>
    <w:rsid w:val="008B7A95"/>
    <w:rsid w:val="008C1A20"/>
    <w:rsid w:val="008D0E78"/>
    <w:rsid w:val="008D2FF4"/>
    <w:rsid w:val="008D4067"/>
    <w:rsid w:val="008D58EC"/>
    <w:rsid w:val="008D7A9E"/>
    <w:rsid w:val="008E0F81"/>
    <w:rsid w:val="008E68B0"/>
    <w:rsid w:val="008F1C90"/>
    <w:rsid w:val="008F7ECC"/>
    <w:rsid w:val="009010C3"/>
    <w:rsid w:val="009063C7"/>
    <w:rsid w:val="0090678A"/>
    <w:rsid w:val="00910462"/>
    <w:rsid w:val="00912A06"/>
    <w:rsid w:val="00917F99"/>
    <w:rsid w:val="009203FA"/>
    <w:rsid w:val="009209C8"/>
    <w:rsid w:val="00934FA6"/>
    <w:rsid w:val="009355BA"/>
    <w:rsid w:val="00936F1A"/>
    <w:rsid w:val="0094133F"/>
    <w:rsid w:val="00955B0D"/>
    <w:rsid w:val="00956512"/>
    <w:rsid w:val="00963539"/>
    <w:rsid w:val="009704A2"/>
    <w:rsid w:val="00975F09"/>
    <w:rsid w:val="00977CA7"/>
    <w:rsid w:val="0099695D"/>
    <w:rsid w:val="009A2752"/>
    <w:rsid w:val="009A3560"/>
    <w:rsid w:val="009A5D09"/>
    <w:rsid w:val="009B1FAD"/>
    <w:rsid w:val="009C11B2"/>
    <w:rsid w:val="009D0924"/>
    <w:rsid w:val="009D6F1E"/>
    <w:rsid w:val="009E45D3"/>
    <w:rsid w:val="009E673D"/>
    <w:rsid w:val="009E6BDB"/>
    <w:rsid w:val="009F4E95"/>
    <w:rsid w:val="009F7022"/>
    <w:rsid w:val="00A02393"/>
    <w:rsid w:val="00A1170C"/>
    <w:rsid w:val="00A15D87"/>
    <w:rsid w:val="00A227FC"/>
    <w:rsid w:val="00A25AAA"/>
    <w:rsid w:val="00A447C0"/>
    <w:rsid w:val="00A50E2C"/>
    <w:rsid w:val="00A5214D"/>
    <w:rsid w:val="00A56825"/>
    <w:rsid w:val="00A622D5"/>
    <w:rsid w:val="00A6490D"/>
    <w:rsid w:val="00A673EB"/>
    <w:rsid w:val="00A741E2"/>
    <w:rsid w:val="00A74737"/>
    <w:rsid w:val="00A77E07"/>
    <w:rsid w:val="00A77EC5"/>
    <w:rsid w:val="00AA0722"/>
    <w:rsid w:val="00AB140A"/>
    <w:rsid w:val="00AB1841"/>
    <w:rsid w:val="00AB2303"/>
    <w:rsid w:val="00AC52D6"/>
    <w:rsid w:val="00AC73DE"/>
    <w:rsid w:val="00AC79F2"/>
    <w:rsid w:val="00AD504F"/>
    <w:rsid w:val="00AE0D25"/>
    <w:rsid w:val="00AE14FF"/>
    <w:rsid w:val="00AE2FF4"/>
    <w:rsid w:val="00B03285"/>
    <w:rsid w:val="00B16835"/>
    <w:rsid w:val="00B16C07"/>
    <w:rsid w:val="00B200ED"/>
    <w:rsid w:val="00B31B81"/>
    <w:rsid w:val="00B3223C"/>
    <w:rsid w:val="00B34793"/>
    <w:rsid w:val="00B36E39"/>
    <w:rsid w:val="00B411AC"/>
    <w:rsid w:val="00B513C4"/>
    <w:rsid w:val="00B539A9"/>
    <w:rsid w:val="00B6207E"/>
    <w:rsid w:val="00B64F87"/>
    <w:rsid w:val="00B73DA3"/>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E5E1C"/>
    <w:rsid w:val="00BF118B"/>
    <w:rsid w:val="00BF28EC"/>
    <w:rsid w:val="00BF7565"/>
    <w:rsid w:val="00C00F88"/>
    <w:rsid w:val="00C0591E"/>
    <w:rsid w:val="00C05E95"/>
    <w:rsid w:val="00C20809"/>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3846"/>
    <w:rsid w:val="00CA40F5"/>
    <w:rsid w:val="00CA6CB8"/>
    <w:rsid w:val="00CA7960"/>
    <w:rsid w:val="00CB196D"/>
    <w:rsid w:val="00CB2886"/>
    <w:rsid w:val="00CB781F"/>
    <w:rsid w:val="00CC5AF7"/>
    <w:rsid w:val="00CC7CF0"/>
    <w:rsid w:val="00CD171C"/>
    <w:rsid w:val="00CD23F9"/>
    <w:rsid w:val="00CD304C"/>
    <w:rsid w:val="00CE5641"/>
    <w:rsid w:val="00CE5E69"/>
    <w:rsid w:val="00CE7025"/>
    <w:rsid w:val="00CF0DEA"/>
    <w:rsid w:val="00CF15CD"/>
    <w:rsid w:val="00D000AE"/>
    <w:rsid w:val="00D100BD"/>
    <w:rsid w:val="00D118DE"/>
    <w:rsid w:val="00D1195A"/>
    <w:rsid w:val="00D167B1"/>
    <w:rsid w:val="00D25C9A"/>
    <w:rsid w:val="00D3159B"/>
    <w:rsid w:val="00D32805"/>
    <w:rsid w:val="00D32B06"/>
    <w:rsid w:val="00D35CDC"/>
    <w:rsid w:val="00D43BBD"/>
    <w:rsid w:val="00D52E17"/>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04376"/>
    <w:rsid w:val="00E06418"/>
    <w:rsid w:val="00E17E07"/>
    <w:rsid w:val="00E2125A"/>
    <w:rsid w:val="00E23670"/>
    <w:rsid w:val="00E24FA2"/>
    <w:rsid w:val="00E256E7"/>
    <w:rsid w:val="00E32DB5"/>
    <w:rsid w:val="00E330E6"/>
    <w:rsid w:val="00E350AD"/>
    <w:rsid w:val="00E35D6F"/>
    <w:rsid w:val="00E4290A"/>
    <w:rsid w:val="00E44DF1"/>
    <w:rsid w:val="00E47639"/>
    <w:rsid w:val="00E51A6D"/>
    <w:rsid w:val="00E5449B"/>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997"/>
    <w:rsid w:val="00EE7B1B"/>
    <w:rsid w:val="00F029F3"/>
    <w:rsid w:val="00F02F9B"/>
    <w:rsid w:val="00F0360F"/>
    <w:rsid w:val="00F12C83"/>
    <w:rsid w:val="00F23EFD"/>
    <w:rsid w:val="00F30D26"/>
    <w:rsid w:val="00F36BD6"/>
    <w:rsid w:val="00F40970"/>
    <w:rsid w:val="00F43319"/>
    <w:rsid w:val="00F4416D"/>
    <w:rsid w:val="00F531AD"/>
    <w:rsid w:val="00F55CA3"/>
    <w:rsid w:val="00F570C1"/>
    <w:rsid w:val="00F6008B"/>
    <w:rsid w:val="00F67B7A"/>
    <w:rsid w:val="00F70B6C"/>
    <w:rsid w:val="00F72B07"/>
    <w:rsid w:val="00F72F6C"/>
    <w:rsid w:val="00F73C4B"/>
    <w:rsid w:val="00F74337"/>
    <w:rsid w:val="00F95033"/>
    <w:rsid w:val="00FD4196"/>
    <w:rsid w:val="00FD5503"/>
    <w:rsid w:val="00FD561F"/>
    <w:rsid w:val="00FE14C1"/>
    <w:rsid w:val="00FE2644"/>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EE7FC"/>
  <w15:docId w15:val="{E553A04F-146E-4826-A6A7-9E9FDD54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555-Organic-farming-action-plan-for-the-development-of-EU-org/public-consult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6E0D-4D80-46EF-8C2B-2EA42594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17</cp:revision>
  <dcterms:created xsi:type="dcterms:W3CDTF">2020-09-11T07:41:00Z</dcterms:created>
  <dcterms:modified xsi:type="dcterms:W3CDTF">2020-09-21T06:08:00Z</dcterms:modified>
</cp:coreProperties>
</file>