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A40F5" w:rsidRPr="0002016E" w:rsidRDefault="00D3658D" w:rsidP="008B7A95">
      <w:pPr>
        <w:jc w:val="both"/>
        <w:rPr>
          <w:rFonts w:ascii="Arial" w:hAnsi="Arial" w:cs="Arial"/>
          <w:noProof/>
          <w:sz w:val="20"/>
        </w:rPr>
      </w:pPr>
      <w:r>
        <w:rPr>
          <w:rFonts w:ascii="Arial" w:hAnsi="Arial" w:cs="Arial"/>
          <w:b/>
          <w:noProof/>
          <w:sz w:val="20"/>
        </w:rPr>
        <w:t>1</w:t>
      </w:r>
      <w:r w:rsidR="00CA40F5" w:rsidRPr="0002016E">
        <w:rPr>
          <w:rFonts w:ascii="Arial" w:hAnsi="Arial" w:cs="Arial"/>
          <w:b/>
          <w:noProof/>
          <w:sz w:val="20"/>
        </w:rPr>
        <w:t>. Министрите по селско стопанство обсъдиха бъдещето на ОСП, стратегията „От фермата до трап</w:t>
      </w:r>
      <w:r w:rsidR="00C96E9D">
        <w:rPr>
          <w:rFonts w:ascii="Arial" w:hAnsi="Arial" w:cs="Arial"/>
          <w:b/>
          <w:noProof/>
          <w:sz w:val="20"/>
        </w:rPr>
        <w:t xml:space="preserve">езата“, </w:t>
      </w:r>
      <w:r w:rsidR="00452F9D" w:rsidRPr="0002016E">
        <w:rPr>
          <w:rFonts w:ascii="Arial" w:hAnsi="Arial" w:cs="Arial"/>
          <w:b/>
          <w:noProof/>
          <w:sz w:val="20"/>
        </w:rPr>
        <w:t>прилагането и бюджета на еко-схемите</w:t>
      </w:r>
      <w:r w:rsidR="00452F9D">
        <w:rPr>
          <w:rFonts w:ascii="Arial" w:hAnsi="Arial" w:cs="Arial"/>
          <w:b/>
          <w:noProof/>
          <w:sz w:val="20"/>
        </w:rPr>
        <w:t xml:space="preserve"> </w:t>
      </w:r>
      <w:r w:rsidR="00412AFD">
        <w:rPr>
          <w:rFonts w:ascii="Arial" w:hAnsi="Arial" w:cs="Arial"/>
          <w:b/>
          <w:noProof/>
          <w:sz w:val="20"/>
        </w:rPr>
        <w:t>и ситуацията на пазарите</w:t>
      </w:r>
      <w:r w:rsidR="00BF7565">
        <w:rPr>
          <w:rFonts w:ascii="Arial" w:hAnsi="Arial" w:cs="Arial"/>
          <w:b/>
          <w:noProof/>
          <w:sz w:val="20"/>
        </w:rPr>
        <w:t xml:space="preserve"> по време на </w:t>
      </w:r>
      <w:r w:rsidR="00CA40F5" w:rsidRPr="00BF7565">
        <w:rPr>
          <w:rFonts w:ascii="Arial" w:hAnsi="Arial" w:cs="Arial"/>
          <w:b/>
          <w:noProof/>
          <w:sz w:val="20"/>
        </w:rPr>
        <w:t>Съвет</w:t>
      </w:r>
      <w:r w:rsidR="00BF7565" w:rsidRPr="00BF7565">
        <w:rPr>
          <w:rFonts w:ascii="Arial" w:hAnsi="Arial" w:cs="Arial"/>
          <w:b/>
          <w:noProof/>
          <w:sz w:val="20"/>
        </w:rPr>
        <w:t>а по земеделие и рибарство, който се проведе на</w:t>
      </w:r>
      <w:r w:rsidR="00CA40F5" w:rsidRPr="00BF7565">
        <w:rPr>
          <w:rFonts w:ascii="Arial" w:hAnsi="Arial" w:cs="Arial"/>
          <w:b/>
          <w:noProof/>
          <w:sz w:val="20"/>
        </w:rPr>
        <w:t xml:space="preserve"> 20 юли</w:t>
      </w:r>
      <w:r w:rsidR="00BF7565" w:rsidRPr="00BF7565">
        <w:rPr>
          <w:rFonts w:ascii="Arial" w:hAnsi="Arial" w:cs="Arial"/>
          <w:b/>
          <w:noProof/>
          <w:sz w:val="20"/>
        </w:rPr>
        <w:t xml:space="preserve"> в Брюксел</w:t>
      </w:r>
      <w:r w:rsidR="00BF7565">
        <w:rPr>
          <w:rFonts w:ascii="Arial" w:hAnsi="Arial" w:cs="Arial"/>
          <w:b/>
          <w:noProof/>
          <w:sz w:val="20"/>
        </w:rPr>
        <w:t xml:space="preserve">, </w:t>
      </w:r>
      <w:r w:rsidR="00BF7565" w:rsidRPr="0002016E">
        <w:rPr>
          <w:rFonts w:ascii="Arial" w:hAnsi="Arial" w:cs="Arial"/>
          <w:b/>
          <w:noProof/>
          <w:sz w:val="20"/>
        </w:rPr>
        <w:t>в навечерието на споразумение</w:t>
      </w:r>
      <w:r w:rsidR="00BF7565">
        <w:rPr>
          <w:rFonts w:ascii="Arial" w:hAnsi="Arial" w:cs="Arial"/>
          <w:b/>
          <w:noProof/>
          <w:sz w:val="20"/>
        </w:rPr>
        <w:t>то</w:t>
      </w:r>
      <w:r w:rsidR="00BF7565" w:rsidRPr="0002016E">
        <w:rPr>
          <w:rFonts w:ascii="Arial" w:hAnsi="Arial" w:cs="Arial"/>
          <w:b/>
          <w:noProof/>
          <w:sz w:val="20"/>
        </w:rPr>
        <w:t xml:space="preserve"> за бюджета на ЕС</w:t>
      </w:r>
      <w:r w:rsidR="00BF7565" w:rsidRPr="00BF7565">
        <w:rPr>
          <w:rFonts w:ascii="Arial" w:hAnsi="Arial" w:cs="Arial"/>
          <w:b/>
          <w:noProof/>
          <w:sz w:val="20"/>
        </w:rPr>
        <w:t>.</w:t>
      </w:r>
      <w:r w:rsidR="00CA40F5" w:rsidRPr="0002016E">
        <w:rPr>
          <w:rFonts w:ascii="Arial" w:hAnsi="Arial" w:cs="Arial"/>
          <w:noProof/>
          <w:sz w:val="20"/>
        </w:rPr>
        <w:t xml:space="preserve"> </w:t>
      </w:r>
      <w:r w:rsidR="00BF7565">
        <w:rPr>
          <w:rFonts w:ascii="Arial" w:hAnsi="Arial" w:cs="Arial"/>
          <w:noProof/>
          <w:sz w:val="20"/>
        </w:rPr>
        <w:t xml:space="preserve">Заседанието се проведе </w:t>
      </w:r>
      <w:r w:rsidR="00CA40F5" w:rsidRPr="0002016E">
        <w:rPr>
          <w:rFonts w:ascii="Arial" w:hAnsi="Arial" w:cs="Arial"/>
          <w:noProof/>
          <w:sz w:val="20"/>
        </w:rPr>
        <w:t xml:space="preserve">паралелно с преговорите за новата </w:t>
      </w:r>
      <w:r w:rsidR="000576D0">
        <w:rPr>
          <w:rFonts w:ascii="Arial" w:hAnsi="Arial" w:cs="Arial"/>
          <w:noProof/>
          <w:sz w:val="20"/>
        </w:rPr>
        <w:t>Многогодишна финансова рамка и П</w:t>
      </w:r>
      <w:r w:rsidR="00CA40F5" w:rsidRPr="0002016E">
        <w:rPr>
          <w:rFonts w:ascii="Arial" w:hAnsi="Arial" w:cs="Arial"/>
          <w:noProof/>
          <w:sz w:val="20"/>
        </w:rPr>
        <w:t>лан</w:t>
      </w:r>
      <w:r w:rsidR="000576D0">
        <w:rPr>
          <w:rFonts w:ascii="Arial" w:hAnsi="Arial" w:cs="Arial"/>
          <w:noProof/>
          <w:sz w:val="20"/>
        </w:rPr>
        <w:t>а</w:t>
      </w:r>
      <w:r w:rsidR="00CA40F5" w:rsidRPr="0002016E">
        <w:rPr>
          <w:rFonts w:ascii="Arial" w:hAnsi="Arial" w:cs="Arial"/>
          <w:noProof/>
          <w:sz w:val="20"/>
        </w:rPr>
        <w:t xml:space="preserve"> за възстановяване на</w:t>
      </w:r>
      <w:r w:rsidR="000576D0">
        <w:rPr>
          <w:rFonts w:ascii="Arial" w:hAnsi="Arial" w:cs="Arial"/>
          <w:noProof/>
          <w:sz w:val="20"/>
        </w:rPr>
        <w:t xml:space="preserve"> ЕС</w:t>
      </w:r>
      <w:r w:rsidR="00452F9D">
        <w:rPr>
          <w:rFonts w:ascii="Arial" w:hAnsi="Arial" w:cs="Arial"/>
          <w:noProof/>
          <w:sz w:val="20"/>
        </w:rPr>
        <w:t xml:space="preserve"> (</w:t>
      </w:r>
      <w:r w:rsidR="000576D0">
        <w:rPr>
          <w:rFonts w:ascii="Arial" w:hAnsi="Arial" w:cs="Arial"/>
          <w:noProof/>
          <w:sz w:val="20"/>
        </w:rPr>
        <w:t>от 17 до 21 юли</w:t>
      </w:r>
      <w:r w:rsidR="00452F9D">
        <w:rPr>
          <w:rFonts w:ascii="Arial" w:hAnsi="Arial" w:cs="Arial"/>
          <w:noProof/>
          <w:sz w:val="20"/>
        </w:rPr>
        <w:t>)</w:t>
      </w:r>
      <w:r w:rsidR="00F02F9B">
        <w:rPr>
          <w:rFonts w:ascii="Arial" w:hAnsi="Arial" w:cs="Arial"/>
          <w:noProof/>
          <w:sz w:val="20"/>
        </w:rPr>
        <w:t xml:space="preserve"> и</w:t>
      </w:r>
      <w:r w:rsidR="00CA40F5" w:rsidRPr="0002016E">
        <w:rPr>
          <w:rFonts w:ascii="Arial" w:hAnsi="Arial" w:cs="Arial"/>
          <w:noProof/>
          <w:sz w:val="20"/>
        </w:rPr>
        <w:t xml:space="preserve"> беше първото с физическо присъствие, след възникване</w:t>
      </w:r>
      <w:r w:rsidR="00452F9D">
        <w:rPr>
          <w:rFonts w:ascii="Arial" w:hAnsi="Arial" w:cs="Arial"/>
          <w:noProof/>
          <w:sz w:val="20"/>
        </w:rPr>
        <w:t>то</w:t>
      </w:r>
      <w:r w:rsidR="00CA40F5" w:rsidRPr="0002016E">
        <w:rPr>
          <w:rFonts w:ascii="Arial" w:hAnsi="Arial" w:cs="Arial"/>
          <w:noProof/>
          <w:sz w:val="20"/>
        </w:rPr>
        <w:t xml:space="preserve"> на пандемията от COVID-19 и първо</w:t>
      </w:r>
      <w:r w:rsidR="000576D0">
        <w:rPr>
          <w:rFonts w:ascii="Arial" w:hAnsi="Arial" w:cs="Arial"/>
          <w:noProof/>
          <w:sz w:val="20"/>
        </w:rPr>
        <w:t>то</w:t>
      </w:r>
      <w:r w:rsidR="00CA40F5" w:rsidRPr="0002016E">
        <w:rPr>
          <w:rFonts w:ascii="Arial" w:hAnsi="Arial" w:cs="Arial"/>
          <w:noProof/>
          <w:sz w:val="20"/>
        </w:rPr>
        <w:t xml:space="preserve"> заседание</w:t>
      </w:r>
      <w:r w:rsidR="000576D0">
        <w:rPr>
          <w:rFonts w:ascii="Arial" w:hAnsi="Arial" w:cs="Arial"/>
          <w:noProof/>
          <w:sz w:val="20"/>
        </w:rPr>
        <w:t xml:space="preserve"> </w:t>
      </w:r>
      <w:r w:rsidR="00CA40F5" w:rsidRPr="0002016E">
        <w:rPr>
          <w:rFonts w:ascii="Arial" w:hAnsi="Arial" w:cs="Arial"/>
          <w:noProof/>
          <w:sz w:val="20"/>
        </w:rPr>
        <w:t xml:space="preserve">под председателството на Германия. </w:t>
      </w:r>
      <w:r w:rsidR="00452F9D">
        <w:rPr>
          <w:rFonts w:ascii="Arial" w:hAnsi="Arial" w:cs="Arial"/>
          <w:noProof/>
          <w:sz w:val="20"/>
        </w:rPr>
        <w:t xml:space="preserve">След представянето от </w:t>
      </w:r>
      <w:r w:rsidR="00CA40F5" w:rsidRPr="0002016E">
        <w:rPr>
          <w:rFonts w:ascii="Arial" w:hAnsi="Arial" w:cs="Arial"/>
          <w:noProof/>
          <w:sz w:val="20"/>
        </w:rPr>
        <w:t xml:space="preserve">немското председателство </w:t>
      </w:r>
      <w:r w:rsidR="00452F9D">
        <w:rPr>
          <w:rFonts w:ascii="Arial" w:hAnsi="Arial" w:cs="Arial"/>
          <w:noProof/>
          <w:sz w:val="20"/>
        </w:rPr>
        <w:t>на</w:t>
      </w:r>
      <w:r w:rsidR="00CA40F5" w:rsidRPr="0002016E">
        <w:rPr>
          <w:rFonts w:ascii="Arial" w:hAnsi="Arial" w:cs="Arial"/>
          <w:noProof/>
          <w:sz w:val="20"/>
        </w:rPr>
        <w:t xml:space="preserve"> работна</w:t>
      </w:r>
      <w:r w:rsidR="00452F9D">
        <w:rPr>
          <w:rFonts w:ascii="Arial" w:hAnsi="Arial" w:cs="Arial"/>
          <w:noProof/>
          <w:sz w:val="20"/>
        </w:rPr>
        <w:t>та</w:t>
      </w:r>
      <w:r w:rsidR="00CA40F5" w:rsidRPr="0002016E">
        <w:rPr>
          <w:rFonts w:ascii="Arial" w:hAnsi="Arial" w:cs="Arial"/>
          <w:noProof/>
          <w:sz w:val="20"/>
        </w:rPr>
        <w:t xml:space="preserve"> програма за втората половина на 2020 г. </w:t>
      </w:r>
      <w:r w:rsidR="00452F9D">
        <w:rPr>
          <w:rFonts w:ascii="Arial" w:hAnsi="Arial" w:cs="Arial"/>
          <w:noProof/>
          <w:sz w:val="20"/>
        </w:rPr>
        <w:t xml:space="preserve">започна </w:t>
      </w:r>
      <w:r w:rsidR="00CA40F5" w:rsidRPr="0002016E">
        <w:rPr>
          <w:rFonts w:ascii="Arial" w:hAnsi="Arial" w:cs="Arial"/>
          <w:noProof/>
          <w:sz w:val="20"/>
        </w:rPr>
        <w:t>публично</w:t>
      </w:r>
      <w:r w:rsidR="00452F9D">
        <w:rPr>
          <w:rFonts w:ascii="Arial" w:hAnsi="Arial" w:cs="Arial"/>
          <w:noProof/>
          <w:sz w:val="20"/>
        </w:rPr>
        <w:t>то</w:t>
      </w:r>
      <w:r w:rsidR="00CA40F5" w:rsidRPr="0002016E">
        <w:rPr>
          <w:rFonts w:ascii="Arial" w:hAnsi="Arial" w:cs="Arial"/>
          <w:noProof/>
          <w:sz w:val="20"/>
        </w:rPr>
        <w:t xml:space="preserve"> обсъждане на страте</w:t>
      </w:r>
      <w:r w:rsidR="00452F9D">
        <w:rPr>
          <w:rFonts w:ascii="Arial" w:hAnsi="Arial" w:cs="Arial"/>
          <w:noProof/>
          <w:sz w:val="20"/>
        </w:rPr>
        <w:t>гията „От фермата до трапезата“. Министрите</w:t>
      </w:r>
      <w:r w:rsidR="00CA40F5" w:rsidRPr="0002016E">
        <w:rPr>
          <w:rFonts w:ascii="Arial" w:hAnsi="Arial" w:cs="Arial"/>
          <w:noProof/>
          <w:sz w:val="20"/>
        </w:rPr>
        <w:t xml:space="preserve"> изразиха смесени позиции по отношение на очакваните препоръки от Комисията и призоваха за повече прозрачност, гъвкавост и бързина при изготвянето и официалното публикуване на препоръките за националните Стратегически планове.</w:t>
      </w:r>
      <w:r w:rsidR="00EB7BA6">
        <w:rPr>
          <w:rFonts w:ascii="Arial" w:hAnsi="Arial" w:cs="Arial"/>
          <w:noProof/>
          <w:sz w:val="20"/>
        </w:rPr>
        <w:t xml:space="preserve"> </w:t>
      </w:r>
      <w:r w:rsidR="00CA6CB8">
        <w:rPr>
          <w:rFonts w:ascii="Arial" w:hAnsi="Arial" w:cs="Arial"/>
          <w:noProof/>
          <w:sz w:val="20"/>
        </w:rPr>
        <w:t>И</w:t>
      </w:r>
      <w:r w:rsidR="00CA40F5" w:rsidRPr="0002016E">
        <w:rPr>
          <w:rFonts w:ascii="Arial" w:hAnsi="Arial" w:cs="Arial"/>
          <w:noProof/>
          <w:sz w:val="20"/>
        </w:rPr>
        <w:t>зказаха принципно съгласие, че Стратегическите планове трябва да отговарят на приоритетите на стратегията „От фермата до трапезата“</w:t>
      </w:r>
      <w:r w:rsidR="00452F9D">
        <w:rPr>
          <w:rFonts w:ascii="Arial" w:hAnsi="Arial" w:cs="Arial"/>
          <w:noProof/>
          <w:sz w:val="20"/>
        </w:rPr>
        <w:t xml:space="preserve">. </w:t>
      </w:r>
      <w:r w:rsidR="00DD1C95">
        <w:rPr>
          <w:rFonts w:ascii="Arial" w:hAnsi="Arial" w:cs="Arial"/>
          <w:noProof/>
          <w:sz w:val="20"/>
        </w:rPr>
        <w:t>О</w:t>
      </w:r>
      <w:r w:rsidR="00CA40F5" w:rsidRPr="0002016E">
        <w:rPr>
          <w:rFonts w:ascii="Arial" w:hAnsi="Arial" w:cs="Arial"/>
          <w:noProof/>
          <w:sz w:val="20"/>
        </w:rPr>
        <w:t xml:space="preserve">бърнаха </w:t>
      </w:r>
      <w:r w:rsidR="00CA40F5" w:rsidRPr="0002016E">
        <w:rPr>
          <w:rFonts w:ascii="Arial" w:hAnsi="Arial" w:cs="Arial"/>
          <w:noProof/>
          <w:sz w:val="20"/>
        </w:rPr>
        <w:lastRenderedPageBreak/>
        <w:t xml:space="preserve">сериозно внимание, че никакви допълнителни изисквания и условия не трябва да възпрепятстват окончателното одобрените на Стратегическите планове. Голям брой </w:t>
      </w:r>
      <w:r w:rsidR="00452F9D">
        <w:rPr>
          <w:rFonts w:ascii="Arial" w:hAnsi="Arial" w:cs="Arial"/>
          <w:noProof/>
          <w:sz w:val="20"/>
        </w:rPr>
        <w:t>делегации</w:t>
      </w:r>
      <w:r w:rsidR="00CA40F5" w:rsidRPr="0002016E">
        <w:rPr>
          <w:rFonts w:ascii="Arial" w:hAnsi="Arial" w:cs="Arial"/>
          <w:noProof/>
          <w:sz w:val="20"/>
        </w:rPr>
        <w:t xml:space="preserve"> настояха, че принципите на субсидиарност и прозрачност трябва да бъдат в основата на процеса по одобрение на Стратегическите планове. </w:t>
      </w:r>
      <w:r w:rsidR="00CA6CB8">
        <w:rPr>
          <w:rFonts w:ascii="Arial" w:hAnsi="Arial" w:cs="Arial"/>
          <w:noProof/>
          <w:sz w:val="20"/>
        </w:rPr>
        <w:t>П</w:t>
      </w:r>
      <w:r w:rsidR="00DD1C95">
        <w:rPr>
          <w:rFonts w:ascii="Arial" w:hAnsi="Arial" w:cs="Arial"/>
          <w:noProof/>
          <w:sz w:val="20"/>
        </w:rPr>
        <w:t>о</w:t>
      </w:r>
      <w:r w:rsidR="00CA40F5" w:rsidRPr="0002016E">
        <w:rPr>
          <w:rFonts w:ascii="Arial" w:hAnsi="Arial" w:cs="Arial"/>
          <w:noProof/>
          <w:sz w:val="20"/>
        </w:rPr>
        <w:t>иска</w:t>
      </w:r>
      <w:r w:rsidR="00DD1C95">
        <w:rPr>
          <w:rFonts w:ascii="Arial" w:hAnsi="Arial" w:cs="Arial"/>
          <w:noProof/>
          <w:sz w:val="20"/>
        </w:rPr>
        <w:t>ха</w:t>
      </w:r>
      <w:r w:rsidR="00CA40F5" w:rsidRPr="0002016E">
        <w:rPr>
          <w:rFonts w:ascii="Arial" w:hAnsi="Arial" w:cs="Arial"/>
          <w:noProof/>
          <w:sz w:val="20"/>
        </w:rPr>
        <w:t xml:space="preserve"> да бъде избегнато всякакво допълнително забавяне на преговорите, </w:t>
      </w:r>
      <w:r w:rsidR="00CA6CB8">
        <w:rPr>
          <w:rFonts w:ascii="Arial" w:hAnsi="Arial" w:cs="Arial"/>
          <w:noProof/>
          <w:sz w:val="20"/>
        </w:rPr>
        <w:t>което</w:t>
      </w:r>
      <w:r w:rsidR="00CA40F5" w:rsidRPr="0002016E">
        <w:rPr>
          <w:rFonts w:ascii="Arial" w:hAnsi="Arial" w:cs="Arial"/>
          <w:noProof/>
          <w:sz w:val="20"/>
        </w:rPr>
        <w:t xml:space="preserve"> може да доведе до голяма несигурност селскостопанския сектор. Комисията </w:t>
      </w:r>
      <w:r w:rsidR="00452F9D">
        <w:rPr>
          <w:rFonts w:ascii="Arial" w:hAnsi="Arial" w:cs="Arial"/>
          <w:noProof/>
          <w:sz w:val="20"/>
        </w:rPr>
        <w:t>поясни</w:t>
      </w:r>
      <w:r w:rsidR="00CA40F5" w:rsidRPr="0002016E">
        <w:rPr>
          <w:rFonts w:ascii="Arial" w:hAnsi="Arial" w:cs="Arial"/>
          <w:noProof/>
          <w:sz w:val="20"/>
        </w:rPr>
        <w:t xml:space="preserve">, че препоръките няма да бъдат законово задължение за ДЧ, но ще бъдат взети предвид при одобрението на Стратегическите планове. </w:t>
      </w:r>
      <w:r w:rsidR="00C70511">
        <w:rPr>
          <w:rFonts w:ascii="Arial" w:hAnsi="Arial" w:cs="Arial"/>
          <w:noProof/>
          <w:sz w:val="20"/>
        </w:rPr>
        <w:t>Ц</w:t>
      </w:r>
      <w:r w:rsidR="00CA40F5" w:rsidRPr="0002016E">
        <w:rPr>
          <w:rFonts w:ascii="Arial" w:hAnsi="Arial" w:cs="Arial"/>
          <w:noProof/>
          <w:sz w:val="20"/>
        </w:rPr>
        <w:t>елите на стратегията „От фермата до трапезата“ са „политически“, а именно, въвеждане</w:t>
      </w:r>
      <w:r w:rsidR="00452F9D">
        <w:rPr>
          <w:rFonts w:ascii="Arial" w:hAnsi="Arial" w:cs="Arial"/>
          <w:noProof/>
          <w:sz w:val="20"/>
        </w:rPr>
        <w:t>то</w:t>
      </w:r>
      <w:r w:rsidR="00CA40F5" w:rsidRPr="0002016E">
        <w:rPr>
          <w:rFonts w:ascii="Arial" w:hAnsi="Arial" w:cs="Arial"/>
          <w:noProof/>
          <w:sz w:val="20"/>
        </w:rPr>
        <w:t xml:space="preserve"> на устойчиво производство на храни“</w:t>
      </w:r>
      <w:r w:rsidR="00C70511">
        <w:rPr>
          <w:rFonts w:ascii="Arial" w:hAnsi="Arial" w:cs="Arial"/>
          <w:noProof/>
          <w:sz w:val="20"/>
        </w:rPr>
        <w:t xml:space="preserve"> и</w:t>
      </w:r>
      <w:r w:rsidR="00CA40F5" w:rsidRPr="0002016E">
        <w:rPr>
          <w:rFonts w:ascii="Arial" w:hAnsi="Arial" w:cs="Arial"/>
          <w:noProof/>
          <w:sz w:val="20"/>
        </w:rPr>
        <w:t xml:space="preserve"> трябва да бъдат постигнати на ниво ЕС, а не отделно от всяка ДЧ. Намерението </w:t>
      </w:r>
      <w:r w:rsidR="00452F9D">
        <w:rPr>
          <w:rFonts w:ascii="Arial" w:hAnsi="Arial" w:cs="Arial"/>
          <w:noProof/>
          <w:sz w:val="20"/>
        </w:rPr>
        <w:t>на Комисията</w:t>
      </w:r>
      <w:r w:rsidR="00CA6CB8">
        <w:rPr>
          <w:rFonts w:ascii="Arial" w:hAnsi="Arial" w:cs="Arial"/>
          <w:noProof/>
          <w:sz w:val="20"/>
        </w:rPr>
        <w:t xml:space="preserve"> е</w:t>
      </w:r>
      <w:r w:rsidR="00C70511">
        <w:rPr>
          <w:rFonts w:ascii="Arial" w:hAnsi="Arial" w:cs="Arial"/>
          <w:noProof/>
          <w:sz w:val="20"/>
        </w:rPr>
        <w:t xml:space="preserve"> </w:t>
      </w:r>
      <w:r w:rsidR="00CA40F5" w:rsidRPr="0002016E">
        <w:rPr>
          <w:rFonts w:ascii="Arial" w:hAnsi="Arial" w:cs="Arial"/>
          <w:noProof/>
          <w:sz w:val="20"/>
        </w:rPr>
        <w:t xml:space="preserve">да предостави препоръките за предварително обсъждане </w:t>
      </w:r>
      <w:r w:rsidR="00CA6CB8">
        <w:rPr>
          <w:rFonts w:ascii="Arial" w:hAnsi="Arial" w:cs="Arial"/>
          <w:noProof/>
          <w:sz w:val="20"/>
        </w:rPr>
        <w:t>с</w:t>
      </w:r>
      <w:r w:rsidR="00CA40F5" w:rsidRPr="0002016E">
        <w:rPr>
          <w:rFonts w:ascii="Arial" w:hAnsi="Arial" w:cs="Arial"/>
          <w:noProof/>
          <w:sz w:val="20"/>
        </w:rPr>
        <w:t xml:space="preserve"> ДЧ през есента, преди те да бъдат официално публикувани през последното тримесечие на 2020 г.</w:t>
      </w:r>
      <w:r w:rsidR="00C70511">
        <w:rPr>
          <w:rFonts w:ascii="Arial" w:hAnsi="Arial" w:cs="Arial"/>
          <w:noProof/>
          <w:sz w:val="20"/>
        </w:rPr>
        <w:t xml:space="preserve"> </w:t>
      </w:r>
      <w:r w:rsidR="00CA40F5" w:rsidRPr="0002016E">
        <w:rPr>
          <w:rFonts w:ascii="Arial" w:hAnsi="Arial" w:cs="Arial"/>
          <w:noProof/>
          <w:sz w:val="20"/>
        </w:rPr>
        <w:t xml:space="preserve">Според Комисията, способността на ОСП да подпомогне осъществяването на приоритетите на Европейската зелена сделка ще зависи </w:t>
      </w:r>
      <w:r w:rsidR="0019617C">
        <w:rPr>
          <w:rFonts w:ascii="Arial" w:hAnsi="Arial" w:cs="Arial"/>
          <w:noProof/>
          <w:sz w:val="20"/>
        </w:rPr>
        <w:t xml:space="preserve">от </w:t>
      </w:r>
      <w:r w:rsidR="00CA40F5" w:rsidRPr="0002016E">
        <w:rPr>
          <w:rFonts w:ascii="Arial" w:hAnsi="Arial" w:cs="Arial"/>
          <w:noProof/>
          <w:sz w:val="20"/>
        </w:rPr>
        <w:t>окончателно</w:t>
      </w:r>
      <w:r w:rsidR="0019617C">
        <w:rPr>
          <w:rFonts w:ascii="Arial" w:hAnsi="Arial" w:cs="Arial"/>
          <w:noProof/>
          <w:sz w:val="20"/>
        </w:rPr>
        <w:t>то</w:t>
      </w:r>
      <w:r w:rsidR="00C70511">
        <w:rPr>
          <w:rFonts w:ascii="Arial" w:hAnsi="Arial" w:cs="Arial"/>
          <w:noProof/>
          <w:sz w:val="20"/>
        </w:rPr>
        <w:t xml:space="preserve"> споразумение </w:t>
      </w:r>
      <w:r w:rsidR="00CA40F5" w:rsidRPr="0002016E">
        <w:rPr>
          <w:rFonts w:ascii="Arial" w:hAnsi="Arial" w:cs="Arial"/>
          <w:noProof/>
          <w:sz w:val="20"/>
        </w:rPr>
        <w:t>по основни</w:t>
      </w:r>
      <w:r w:rsidR="0019617C">
        <w:rPr>
          <w:rFonts w:ascii="Arial" w:hAnsi="Arial" w:cs="Arial"/>
          <w:noProof/>
          <w:sz w:val="20"/>
        </w:rPr>
        <w:t>те</w:t>
      </w:r>
      <w:r w:rsidR="00CA40F5" w:rsidRPr="0002016E">
        <w:rPr>
          <w:rFonts w:ascii="Arial" w:hAnsi="Arial" w:cs="Arial"/>
          <w:noProof/>
          <w:sz w:val="20"/>
        </w:rPr>
        <w:t xml:space="preserve"> елементи на реформата, които включват амбициозна предварителна условност, задължителни еко-схеми и специално заделен бюджет за постигане на екологичните и климатични цели на ОСП след 2020 г.</w:t>
      </w:r>
      <w:r w:rsidR="00BF7565">
        <w:rPr>
          <w:rFonts w:ascii="Arial" w:hAnsi="Arial" w:cs="Arial"/>
          <w:noProof/>
          <w:sz w:val="20"/>
        </w:rPr>
        <w:t xml:space="preserve"> </w:t>
      </w:r>
      <w:r w:rsidR="00C70511">
        <w:rPr>
          <w:rFonts w:ascii="Arial" w:hAnsi="Arial" w:cs="Arial"/>
          <w:noProof/>
          <w:sz w:val="20"/>
        </w:rPr>
        <w:t>Относно</w:t>
      </w:r>
      <w:r w:rsidR="00BF7565" w:rsidRPr="0002016E">
        <w:rPr>
          <w:rFonts w:ascii="Arial" w:hAnsi="Arial" w:cs="Arial"/>
          <w:noProof/>
          <w:sz w:val="20"/>
        </w:rPr>
        <w:t xml:space="preserve"> реформата на ОСП след 2020 г.</w:t>
      </w:r>
      <w:r w:rsidR="00C70511">
        <w:rPr>
          <w:rFonts w:ascii="Arial" w:hAnsi="Arial" w:cs="Arial"/>
          <w:noProof/>
          <w:sz w:val="20"/>
        </w:rPr>
        <w:t xml:space="preserve"> министрите</w:t>
      </w:r>
      <w:r w:rsidR="00BF7565" w:rsidRPr="0002016E">
        <w:rPr>
          <w:rFonts w:ascii="Arial" w:hAnsi="Arial" w:cs="Arial"/>
          <w:noProof/>
          <w:sz w:val="20"/>
        </w:rPr>
        <w:t xml:space="preserve"> отново изказа</w:t>
      </w:r>
      <w:r w:rsidR="00C70511">
        <w:rPr>
          <w:rFonts w:ascii="Arial" w:hAnsi="Arial" w:cs="Arial"/>
          <w:noProof/>
          <w:sz w:val="20"/>
        </w:rPr>
        <w:t>ха</w:t>
      </w:r>
      <w:r w:rsidR="00BF7565" w:rsidRPr="0002016E">
        <w:rPr>
          <w:rFonts w:ascii="Arial" w:hAnsi="Arial" w:cs="Arial"/>
          <w:noProof/>
          <w:sz w:val="20"/>
        </w:rPr>
        <w:t xml:space="preserve"> различни мнения по отношение на Стратегическите планове и „зелената архитектура“. Всички ДЧ представиха своит</w:t>
      </w:r>
      <w:r w:rsidR="0019617C">
        <w:rPr>
          <w:rFonts w:ascii="Arial" w:hAnsi="Arial" w:cs="Arial"/>
          <w:noProof/>
          <w:sz w:val="20"/>
        </w:rPr>
        <w:t>е позиции по въпроса. Държавите членки</w:t>
      </w:r>
      <w:r w:rsidR="00BF7565" w:rsidRPr="0002016E">
        <w:rPr>
          <w:rFonts w:ascii="Arial" w:hAnsi="Arial" w:cs="Arial"/>
          <w:noProof/>
          <w:sz w:val="20"/>
        </w:rPr>
        <w:t xml:space="preserve"> от „Вишеградската четворка“ (Чехия, Унгария, Полша и Словакия), плюс България и Румъния, представиха съвместна декларация относно развитието на бъдещата селскостопанска политика на ЕС, в контекста на Европейската зелена сделка, стратегията „От фермата до трапезата“ и Стратегията за биоразнообразие</w:t>
      </w:r>
      <w:r w:rsidR="00BF7565">
        <w:rPr>
          <w:rFonts w:ascii="Arial" w:hAnsi="Arial" w:cs="Arial"/>
          <w:noProof/>
          <w:sz w:val="20"/>
        </w:rPr>
        <w:t>то</w:t>
      </w:r>
      <w:r w:rsidR="00BF7565" w:rsidRPr="0002016E">
        <w:rPr>
          <w:rFonts w:ascii="Arial" w:hAnsi="Arial" w:cs="Arial"/>
          <w:noProof/>
          <w:sz w:val="20"/>
        </w:rPr>
        <w:t xml:space="preserve">, както и </w:t>
      </w:r>
      <w:r w:rsidR="00BF7565">
        <w:rPr>
          <w:rFonts w:ascii="Arial" w:hAnsi="Arial" w:cs="Arial"/>
          <w:noProof/>
          <w:sz w:val="20"/>
        </w:rPr>
        <w:t xml:space="preserve">за </w:t>
      </w:r>
      <w:r w:rsidR="00BF7565" w:rsidRPr="0002016E">
        <w:rPr>
          <w:rFonts w:ascii="Arial" w:hAnsi="Arial" w:cs="Arial"/>
          <w:noProof/>
          <w:sz w:val="20"/>
        </w:rPr>
        <w:t xml:space="preserve">настъпилата пандемия. </w:t>
      </w:r>
      <w:r w:rsidR="00BF7565">
        <w:rPr>
          <w:rFonts w:ascii="Arial" w:hAnsi="Arial" w:cs="Arial"/>
          <w:noProof/>
          <w:sz w:val="20"/>
        </w:rPr>
        <w:t>Н</w:t>
      </w:r>
      <w:r w:rsidR="00BF7565" w:rsidRPr="0002016E">
        <w:rPr>
          <w:rFonts w:ascii="Arial" w:hAnsi="Arial" w:cs="Arial"/>
          <w:noProof/>
          <w:sz w:val="20"/>
        </w:rPr>
        <w:t xml:space="preserve">емското председателство </w:t>
      </w:r>
      <w:r w:rsidR="00BF7565">
        <w:rPr>
          <w:rFonts w:ascii="Arial" w:hAnsi="Arial" w:cs="Arial"/>
          <w:noProof/>
          <w:sz w:val="20"/>
        </w:rPr>
        <w:t>има</w:t>
      </w:r>
      <w:r w:rsidR="0019617C">
        <w:rPr>
          <w:rFonts w:ascii="Arial" w:hAnsi="Arial" w:cs="Arial"/>
          <w:noProof/>
          <w:sz w:val="20"/>
        </w:rPr>
        <w:t xml:space="preserve"> </w:t>
      </w:r>
      <w:r w:rsidR="00BF7565">
        <w:rPr>
          <w:rFonts w:ascii="Arial" w:hAnsi="Arial" w:cs="Arial"/>
          <w:noProof/>
          <w:sz w:val="20"/>
        </w:rPr>
        <w:t>за цел</w:t>
      </w:r>
      <w:r w:rsidR="00BF7565" w:rsidRPr="0002016E">
        <w:rPr>
          <w:rFonts w:ascii="Arial" w:hAnsi="Arial" w:cs="Arial"/>
          <w:noProof/>
          <w:sz w:val="20"/>
        </w:rPr>
        <w:t xml:space="preserve"> да постигне споразумение относно пакета за реформа на ОСП след 2020 г. и </w:t>
      </w:r>
      <w:r w:rsidR="00BF7565">
        <w:rPr>
          <w:rFonts w:ascii="Arial" w:hAnsi="Arial" w:cs="Arial"/>
          <w:noProof/>
          <w:sz w:val="20"/>
        </w:rPr>
        <w:t xml:space="preserve">да </w:t>
      </w:r>
      <w:r w:rsidR="00BF7565" w:rsidRPr="0002016E">
        <w:rPr>
          <w:rFonts w:ascii="Arial" w:hAnsi="Arial" w:cs="Arial"/>
          <w:noProof/>
          <w:sz w:val="20"/>
        </w:rPr>
        <w:t xml:space="preserve">изготви заключения на Съвета относно стратегията „От фермата до трапезата“, които да бъдат приети от Съвета на министрите през октомври 2020 г. (бел. очаква се провеждане на заседание на Съвета по селско стопанство на 19-20 октомври). Комисарят по селско стопанство, г-н Януш Войчеховски, представи актуална информация относно състоянието на </w:t>
      </w:r>
      <w:r w:rsidR="0019617C">
        <w:rPr>
          <w:rFonts w:ascii="Arial" w:hAnsi="Arial" w:cs="Arial"/>
          <w:noProof/>
          <w:sz w:val="20"/>
        </w:rPr>
        <w:t xml:space="preserve">пазарите по време на пандемията. </w:t>
      </w:r>
      <w:r w:rsidR="00BF7565" w:rsidRPr="0002016E">
        <w:rPr>
          <w:rFonts w:ascii="Arial" w:hAnsi="Arial" w:cs="Arial"/>
          <w:noProof/>
          <w:sz w:val="20"/>
        </w:rPr>
        <w:t xml:space="preserve">Франция призова за подкрепа по отношение на телешкото месо, тъй като </w:t>
      </w:r>
      <w:r w:rsidR="00BF7565">
        <w:rPr>
          <w:rFonts w:ascii="Arial" w:hAnsi="Arial" w:cs="Arial"/>
          <w:noProof/>
          <w:sz w:val="20"/>
        </w:rPr>
        <w:t xml:space="preserve">със </w:t>
      </w:r>
      <w:r w:rsidR="00BF7565" w:rsidRPr="0002016E">
        <w:rPr>
          <w:rFonts w:ascii="Arial" w:hAnsi="Arial" w:cs="Arial"/>
          <w:noProof/>
          <w:sz w:val="20"/>
        </w:rPr>
        <w:t xml:space="preserve">затварянето на заведенията за обществено хранене се натрупват запаси, които са в тежест за пазара. Подобна беше позицията на </w:t>
      </w:r>
      <w:r w:rsidR="00BF7565">
        <w:rPr>
          <w:rFonts w:ascii="Arial" w:hAnsi="Arial" w:cs="Arial"/>
          <w:noProof/>
          <w:sz w:val="20"/>
        </w:rPr>
        <w:t>няколко други държави-членки</w:t>
      </w:r>
      <w:r w:rsidR="00BF7565" w:rsidRPr="0002016E">
        <w:rPr>
          <w:rFonts w:ascii="Arial" w:hAnsi="Arial" w:cs="Arial"/>
          <w:noProof/>
          <w:sz w:val="20"/>
        </w:rPr>
        <w:t xml:space="preserve">, които призоваха за добавяне на нови сектори към обхвата на схемите за частно складиране. </w:t>
      </w:r>
      <w:r w:rsidR="00BF7565">
        <w:rPr>
          <w:rFonts w:ascii="Arial" w:hAnsi="Arial" w:cs="Arial"/>
          <w:noProof/>
          <w:sz w:val="20"/>
        </w:rPr>
        <w:t>Една държава-членка</w:t>
      </w:r>
      <w:r w:rsidR="00BF7565" w:rsidRPr="0002016E">
        <w:rPr>
          <w:rFonts w:ascii="Arial" w:hAnsi="Arial" w:cs="Arial"/>
          <w:noProof/>
          <w:sz w:val="20"/>
        </w:rPr>
        <w:t xml:space="preserve"> обърна внима</w:t>
      </w:r>
      <w:r w:rsidR="00BF7565">
        <w:rPr>
          <w:rFonts w:ascii="Arial" w:hAnsi="Arial" w:cs="Arial"/>
          <w:noProof/>
          <w:sz w:val="20"/>
        </w:rPr>
        <w:t>ние на затруднената ситуация на</w:t>
      </w:r>
      <w:r w:rsidR="00BF7565" w:rsidRPr="0002016E">
        <w:rPr>
          <w:rFonts w:ascii="Arial" w:hAnsi="Arial" w:cs="Arial"/>
          <w:noProof/>
          <w:sz w:val="20"/>
        </w:rPr>
        <w:t xml:space="preserve"> пазара на вино.</w:t>
      </w:r>
    </w:p>
    <w:p w:rsidR="00CA40F5" w:rsidRPr="0002016E" w:rsidRDefault="00CA40F5" w:rsidP="008B7A95">
      <w:pPr>
        <w:jc w:val="both"/>
        <w:rPr>
          <w:rFonts w:ascii="Arial" w:hAnsi="Arial" w:cs="Arial"/>
          <w:b/>
          <w:noProof/>
          <w:sz w:val="20"/>
        </w:rPr>
      </w:pPr>
    </w:p>
    <w:p w:rsidR="001B1430" w:rsidRPr="0002016E" w:rsidRDefault="00D3658D" w:rsidP="008B7A95">
      <w:pPr>
        <w:jc w:val="both"/>
        <w:rPr>
          <w:rFonts w:ascii="Arial" w:hAnsi="Arial" w:cs="Arial"/>
          <w:b/>
          <w:noProof/>
          <w:sz w:val="20"/>
        </w:rPr>
      </w:pPr>
      <w:r>
        <w:rPr>
          <w:rFonts w:ascii="Arial" w:hAnsi="Arial" w:cs="Arial"/>
          <w:b/>
          <w:noProof/>
          <w:sz w:val="20"/>
        </w:rPr>
        <w:t>2</w:t>
      </w:r>
      <w:r w:rsidR="00CA40F5" w:rsidRPr="0002016E">
        <w:rPr>
          <w:rFonts w:ascii="Arial" w:hAnsi="Arial" w:cs="Arial"/>
          <w:b/>
          <w:noProof/>
          <w:sz w:val="20"/>
        </w:rPr>
        <w:t>. Разнопосочни позиции относно прилагането и бюджета на еко-схемите</w:t>
      </w:r>
      <w:r w:rsidR="00AC52D6">
        <w:rPr>
          <w:rFonts w:ascii="Arial" w:hAnsi="Arial" w:cs="Arial"/>
          <w:b/>
          <w:noProof/>
          <w:sz w:val="20"/>
        </w:rPr>
        <w:t xml:space="preserve"> изразиха</w:t>
      </w:r>
      <w:r w:rsidR="008B7A95">
        <w:rPr>
          <w:rFonts w:ascii="Arial" w:hAnsi="Arial" w:cs="Arial"/>
          <w:b/>
          <w:noProof/>
          <w:sz w:val="20"/>
        </w:rPr>
        <w:t xml:space="preserve"> министрите </w:t>
      </w:r>
      <w:r w:rsidR="00AC52D6" w:rsidRPr="00AC52D6">
        <w:rPr>
          <w:rFonts w:ascii="Arial" w:hAnsi="Arial" w:cs="Arial"/>
          <w:b/>
          <w:noProof/>
          <w:sz w:val="20"/>
        </w:rPr>
        <w:t>п</w:t>
      </w:r>
      <w:r w:rsidR="00CA40F5" w:rsidRPr="00AC52D6">
        <w:rPr>
          <w:rFonts w:ascii="Arial" w:hAnsi="Arial" w:cs="Arial"/>
          <w:b/>
          <w:noProof/>
          <w:sz w:val="20"/>
        </w:rPr>
        <w:t xml:space="preserve">о време на </w:t>
      </w:r>
      <w:r w:rsidR="008B7A95">
        <w:rPr>
          <w:rFonts w:ascii="Arial" w:hAnsi="Arial" w:cs="Arial"/>
          <w:b/>
          <w:noProof/>
          <w:sz w:val="20"/>
        </w:rPr>
        <w:t xml:space="preserve">засеанието на </w:t>
      </w:r>
      <w:r w:rsidR="00CA40F5" w:rsidRPr="00AC52D6">
        <w:rPr>
          <w:rFonts w:ascii="Arial" w:hAnsi="Arial" w:cs="Arial"/>
          <w:b/>
          <w:noProof/>
          <w:sz w:val="20"/>
        </w:rPr>
        <w:t>Съвета</w:t>
      </w:r>
      <w:r w:rsidR="00AC52D6">
        <w:rPr>
          <w:rFonts w:ascii="Arial" w:hAnsi="Arial" w:cs="Arial"/>
          <w:noProof/>
          <w:sz w:val="20"/>
        </w:rPr>
        <w:t>.</w:t>
      </w:r>
      <w:r w:rsidR="00CA40F5" w:rsidRPr="0002016E">
        <w:rPr>
          <w:rFonts w:ascii="Arial" w:hAnsi="Arial" w:cs="Arial"/>
          <w:noProof/>
          <w:sz w:val="20"/>
        </w:rPr>
        <w:t xml:space="preserve"> </w:t>
      </w:r>
      <w:r w:rsidR="008B7A95">
        <w:rPr>
          <w:rFonts w:ascii="Arial" w:hAnsi="Arial" w:cs="Arial"/>
          <w:noProof/>
          <w:sz w:val="20"/>
        </w:rPr>
        <w:t>Част от минитрите</w:t>
      </w:r>
      <w:r w:rsidR="00AC52D6">
        <w:rPr>
          <w:rFonts w:ascii="Arial" w:hAnsi="Arial" w:cs="Arial"/>
          <w:noProof/>
          <w:sz w:val="20"/>
        </w:rPr>
        <w:t xml:space="preserve"> </w:t>
      </w:r>
      <w:r w:rsidR="00CA40F5" w:rsidRPr="0002016E">
        <w:rPr>
          <w:rFonts w:ascii="Arial" w:hAnsi="Arial" w:cs="Arial"/>
          <w:noProof/>
          <w:sz w:val="20"/>
        </w:rPr>
        <w:t xml:space="preserve">се изказаха против заделяне на определен бюджет за еко-схемите от Стълб 1, </w:t>
      </w:r>
      <w:r w:rsidR="00E32DB5">
        <w:rPr>
          <w:rFonts w:ascii="Arial" w:hAnsi="Arial" w:cs="Arial"/>
          <w:noProof/>
          <w:sz w:val="20"/>
        </w:rPr>
        <w:t>но</w:t>
      </w:r>
      <w:r w:rsidR="00CA40F5" w:rsidRPr="0002016E">
        <w:rPr>
          <w:rFonts w:ascii="Arial" w:hAnsi="Arial" w:cs="Arial"/>
          <w:noProof/>
          <w:sz w:val="20"/>
        </w:rPr>
        <w:t xml:space="preserve"> са съгласни, че трябва да бъдат избегнати всякакви потенциални загуби на средства вследствие на неизползвано финансиране. ДЧ изказ</w:t>
      </w:r>
      <w:r w:rsidR="00E32DB5">
        <w:rPr>
          <w:rFonts w:ascii="Arial" w:hAnsi="Arial" w:cs="Arial"/>
          <w:noProof/>
          <w:sz w:val="20"/>
        </w:rPr>
        <w:t>аха</w:t>
      </w:r>
      <w:r w:rsidR="00CA40F5" w:rsidRPr="0002016E">
        <w:rPr>
          <w:rFonts w:ascii="Arial" w:hAnsi="Arial" w:cs="Arial"/>
          <w:noProof/>
          <w:sz w:val="20"/>
        </w:rPr>
        <w:t xml:space="preserve"> опасения относно липсата на предишен опит при прилагането на новите еко-схеми, поради което считат, че трябва да бъдат прилагани доброволно както от ДЧ, така и от фермерите. Голям брой ДЧ обърнаха внимание също</w:t>
      </w:r>
      <w:r w:rsidR="00E32DB5">
        <w:rPr>
          <w:rFonts w:ascii="Arial" w:hAnsi="Arial" w:cs="Arial"/>
          <w:noProof/>
          <w:sz w:val="20"/>
        </w:rPr>
        <w:t xml:space="preserve"> така</w:t>
      </w:r>
      <w:r w:rsidR="00CA40F5" w:rsidRPr="0002016E">
        <w:rPr>
          <w:rFonts w:ascii="Arial" w:hAnsi="Arial" w:cs="Arial"/>
          <w:noProof/>
          <w:sz w:val="20"/>
        </w:rPr>
        <w:t xml:space="preserve"> на „добрия опит“, който имат с прилагане</w:t>
      </w:r>
      <w:r w:rsidR="0082041E">
        <w:rPr>
          <w:rFonts w:ascii="Arial" w:hAnsi="Arial" w:cs="Arial"/>
          <w:noProof/>
          <w:sz w:val="20"/>
        </w:rPr>
        <w:t>то</w:t>
      </w:r>
      <w:r w:rsidR="00CA40F5" w:rsidRPr="0002016E">
        <w:rPr>
          <w:rFonts w:ascii="Arial" w:hAnsi="Arial" w:cs="Arial"/>
          <w:noProof/>
          <w:sz w:val="20"/>
        </w:rPr>
        <w:t xml:space="preserve"> на мерките от Стълб 2, които вече са добре познати на фермерите.</w:t>
      </w:r>
      <w:r w:rsidR="0082041E">
        <w:rPr>
          <w:rFonts w:ascii="Arial" w:hAnsi="Arial" w:cs="Arial"/>
          <w:noProof/>
          <w:sz w:val="20"/>
        </w:rPr>
        <w:t xml:space="preserve"> </w:t>
      </w:r>
      <w:r w:rsidR="00CA40F5" w:rsidRPr="0002016E">
        <w:rPr>
          <w:rFonts w:ascii="Arial" w:hAnsi="Arial" w:cs="Arial"/>
          <w:noProof/>
          <w:sz w:val="20"/>
        </w:rPr>
        <w:t>Разнопосочни позиции бяха изказани относно възможността за установяване на единен процент</w:t>
      </w:r>
      <w:r w:rsidR="0082041E">
        <w:rPr>
          <w:rFonts w:ascii="Arial" w:hAnsi="Arial" w:cs="Arial"/>
          <w:noProof/>
          <w:sz w:val="20"/>
        </w:rPr>
        <w:t>,</w:t>
      </w:r>
      <w:r w:rsidR="00CA40F5" w:rsidRPr="0002016E">
        <w:rPr>
          <w:rFonts w:ascii="Arial" w:hAnsi="Arial" w:cs="Arial"/>
          <w:noProof/>
          <w:sz w:val="20"/>
        </w:rPr>
        <w:t xml:space="preserve"> на ниво ЕС</w:t>
      </w:r>
      <w:r w:rsidR="0082041E">
        <w:rPr>
          <w:rFonts w:ascii="Arial" w:hAnsi="Arial" w:cs="Arial"/>
          <w:noProof/>
          <w:sz w:val="20"/>
        </w:rPr>
        <w:t>,</w:t>
      </w:r>
      <w:r w:rsidR="00CA40F5" w:rsidRPr="0002016E">
        <w:rPr>
          <w:rFonts w:ascii="Arial" w:hAnsi="Arial" w:cs="Arial"/>
          <w:noProof/>
          <w:sz w:val="20"/>
        </w:rPr>
        <w:t xml:space="preserve"> от обработваема земеделска площ, която да бъде заделена за непроизводствени цели за подобряване на биологичното разнообразие в земеделското стопанство, като например отглеждане на междинни или азотфиксиращи култури. Също така, министрите настоя</w:t>
      </w:r>
      <w:r w:rsidR="0082041E">
        <w:rPr>
          <w:rFonts w:ascii="Arial" w:hAnsi="Arial" w:cs="Arial"/>
          <w:noProof/>
          <w:sz w:val="20"/>
        </w:rPr>
        <w:t>ха</w:t>
      </w:r>
      <w:r w:rsidR="00CA40F5" w:rsidRPr="0002016E">
        <w:rPr>
          <w:rFonts w:ascii="Arial" w:hAnsi="Arial" w:cs="Arial"/>
          <w:noProof/>
          <w:sz w:val="20"/>
        </w:rPr>
        <w:t xml:space="preserve"> за въвеждане на 2</w:t>
      </w:r>
      <w:r w:rsidR="0082041E">
        <w:rPr>
          <w:rFonts w:ascii="Arial" w:hAnsi="Arial" w:cs="Arial"/>
          <w:noProof/>
          <w:sz w:val="20"/>
        </w:rPr>
        <w:t>-</w:t>
      </w:r>
      <w:r w:rsidR="00CA40F5" w:rsidRPr="0002016E">
        <w:rPr>
          <w:rFonts w:ascii="Arial" w:hAnsi="Arial" w:cs="Arial"/>
          <w:noProof/>
          <w:sz w:val="20"/>
        </w:rPr>
        <w:t xml:space="preserve"> годишен преходен период, преди да бъдат приложени новите правила за ОСП след 2020 г.</w:t>
      </w:r>
    </w:p>
    <w:p w:rsidR="002A2BBE" w:rsidRDefault="00527A50" w:rsidP="008B7A95">
      <w:pPr>
        <w:shd w:val="clear" w:color="auto" w:fill="FFFFFF"/>
        <w:jc w:val="both"/>
        <w:rPr>
          <w:rFonts w:ascii="Arial" w:hAnsi="Arial" w:cs="Arial"/>
          <w:b/>
          <w:noProof/>
          <w:sz w:val="20"/>
        </w:rPr>
      </w:pPr>
      <w:r w:rsidRPr="0002016E">
        <w:rPr>
          <w:rFonts w:ascii="Arial" w:hAnsi="Arial" w:cs="Arial"/>
          <w:b/>
          <w:noProof/>
          <w:sz w:val="20"/>
        </w:rPr>
        <w:t xml:space="preserve"> </w:t>
      </w:r>
    </w:p>
    <w:p w:rsidR="00D3658D" w:rsidRPr="0002016E" w:rsidRDefault="00D3658D"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617956" w:rsidRDefault="00D3658D" w:rsidP="008B7A95">
      <w:pPr>
        <w:jc w:val="both"/>
        <w:outlineLvl w:val="0"/>
        <w:rPr>
          <w:rFonts w:ascii="Arial" w:hAnsi="Arial" w:cs="Arial"/>
          <w:noProof/>
          <w:sz w:val="20"/>
        </w:rPr>
      </w:pPr>
      <w:r>
        <w:rPr>
          <w:rStyle w:val="longtext"/>
          <w:rFonts w:ascii="Arial" w:hAnsi="Arial" w:cs="Arial"/>
          <w:b/>
          <w:noProof/>
          <w:sz w:val="20"/>
        </w:rPr>
        <w:t>1</w:t>
      </w:r>
      <w:r w:rsidR="0024496F">
        <w:rPr>
          <w:rStyle w:val="longtext"/>
          <w:rFonts w:ascii="Arial" w:hAnsi="Arial" w:cs="Arial"/>
          <w:noProof/>
          <w:sz w:val="20"/>
        </w:rPr>
        <w:t xml:space="preserve">. </w:t>
      </w:r>
      <w:r w:rsidR="00617956" w:rsidRPr="00292138">
        <w:rPr>
          <w:rFonts w:ascii="Arial" w:hAnsi="Arial" w:cs="Arial"/>
          <w:b/>
          <w:bCs/>
          <w:kern w:val="36"/>
          <w:sz w:val="20"/>
        </w:rPr>
        <w:t xml:space="preserve">На извънредното заседание на Европейския съвет, </w:t>
      </w:r>
      <w:r w:rsidR="0024496F">
        <w:rPr>
          <w:rFonts w:ascii="Arial" w:hAnsi="Arial" w:cs="Arial"/>
          <w:b/>
          <w:bCs/>
          <w:kern w:val="36"/>
          <w:sz w:val="20"/>
        </w:rPr>
        <w:t xml:space="preserve">което се проведе от </w:t>
      </w:r>
      <w:r w:rsidR="00617956" w:rsidRPr="00292138">
        <w:rPr>
          <w:rFonts w:ascii="Arial" w:hAnsi="Arial" w:cs="Arial"/>
          <w:b/>
          <w:bCs/>
          <w:kern w:val="36"/>
          <w:sz w:val="20"/>
        </w:rPr>
        <w:t>17–</w:t>
      </w:r>
      <w:r w:rsidR="0024496F">
        <w:rPr>
          <w:rFonts w:ascii="Arial" w:hAnsi="Arial" w:cs="Arial"/>
          <w:b/>
          <w:bCs/>
          <w:kern w:val="36"/>
          <w:sz w:val="20"/>
        </w:rPr>
        <w:t xml:space="preserve"> до </w:t>
      </w:r>
      <w:r w:rsidR="00617956" w:rsidRPr="00292138">
        <w:rPr>
          <w:rFonts w:ascii="Arial" w:hAnsi="Arial" w:cs="Arial"/>
          <w:b/>
          <w:bCs/>
          <w:kern w:val="36"/>
          <w:sz w:val="20"/>
        </w:rPr>
        <w:t>21 юли 2020 г.</w:t>
      </w:r>
      <w:hyperlink r:id="rId8" w:history="1"/>
      <w:r w:rsidR="00617956" w:rsidRPr="00292138">
        <w:rPr>
          <w:rFonts w:ascii="Arial" w:hAnsi="Arial" w:cs="Arial"/>
          <w:sz w:val="20"/>
        </w:rPr>
        <w:t xml:space="preserve"> </w:t>
      </w:r>
      <w:r w:rsidR="0024496F" w:rsidRPr="0024496F">
        <w:rPr>
          <w:rFonts w:ascii="Arial" w:hAnsi="Arial" w:cs="Arial"/>
          <w:b/>
          <w:sz w:val="20"/>
        </w:rPr>
        <w:t xml:space="preserve">в Брюксел, </w:t>
      </w:r>
      <w:r w:rsidR="00617956" w:rsidRPr="0024496F">
        <w:rPr>
          <w:rFonts w:ascii="Arial" w:hAnsi="Arial" w:cs="Arial"/>
          <w:b/>
          <w:sz w:val="20"/>
        </w:rPr>
        <w:t xml:space="preserve">лидерите от ЕС </w:t>
      </w:r>
      <w:r w:rsidR="0024496F">
        <w:rPr>
          <w:rFonts w:ascii="Arial" w:hAnsi="Arial" w:cs="Arial"/>
          <w:b/>
          <w:sz w:val="20"/>
        </w:rPr>
        <w:t>л</w:t>
      </w:r>
      <w:r w:rsidR="0024496F" w:rsidRPr="0024496F">
        <w:rPr>
          <w:rFonts w:ascii="Arial" w:hAnsi="Arial" w:cs="Arial" w:hint="eastAsia"/>
          <w:b/>
          <w:sz w:val="20"/>
        </w:rPr>
        <w:t>идерите</w:t>
      </w:r>
      <w:r w:rsidR="0024496F" w:rsidRPr="0024496F">
        <w:rPr>
          <w:rFonts w:ascii="Arial" w:hAnsi="Arial" w:cs="Arial"/>
          <w:b/>
          <w:sz w:val="20"/>
        </w:rPr>
        <w:t xml:space="preserve"> </w:t>
      </w:r>
      <w:r w:rsidR="0024496F" w:rsidRPr="0024496F">
        <w:rPr>
          <w:rFonts w:ascii="Arial" w:hAnsi="Arial" w:cs="Arial" w:hint="eastAsia"/>
          <w:b/>
          <w:sz w:val="20"/>
        </w:rPr>
        <w:t>от</w:t>
      </w:r>
      <w:r w:rsidR="0024496F" w:rsidRPr="0024496F">
        <w:rPr>
          <w:rFonts w:ascii="Arial" w:hAnsi="Arial" w:cs="Arial"/>
          <w:b/>
          <w:sz w:val="20"/>
        </w:rPr>
        <w:t xml:space="preserve"> </w:t>
      </w:r>
      <w:r w:rsidR="0024496F" w:rsidRPr="0024496F">
        <w:rPr>
          <w:rFonts w:ascii="Arial" w:hAnsi="Arial" w:cs="Arial" w:hint="eastAsia"/>
          <w:b/>
          <w:sz w:val="20"/>
        </w:rPr>
        <w:t>ЕС</w:t>
      </w:r>
      <w:r w:rsidR="0024496F" w:rsidRPr="0024496F">
        <w:rPr>
          <w:rFonts w:ascii="Arial" w:hAnsi="Arial" w:cs="Arial"/>
          <w:b/>
          <w:sz w:val="20"/>
        </w:rPr>
        <w:t xml:space="preserve"> </w:t>
      </w:r>
      <w:r w:rsidR="0024496F" w:rsidRPr="0024496F">
        <w:rPr>
          <w:rFonts w:ascii="Arial" w:hAnsi="Arial" w:cs="Arial" w:hint="eastAsia"/>
          <w:b/>
          <w:sz w:val="20"/>
        </w:rPr>
        <w:t>се</w:t>
      </w:r>
      <w:r w:rsidR="0024496F" w:rsidRPr="0024496F">
        <w:rPr>
          <w:rFonts w:ascii="Arial" w:hAnsi="Arial" w:cs="Arial"/>
          <w:b/>
          <w:sz w:val="20"/>
        </w:rPr>
        <w:t xml:space="preserve"> </w:t>
      </w:r>
      <w:r w:rsidR="0024496F" w:rsidRPr="0024496F">
        <w:rPr>
          <w:rFonts w:ascii="Arial" w:hAnsi="Arial" w:cs="Arial" w:hint="eastAsia"/>
          <w:b/>
          <w:sz w:val="20"/>
        </w:rPr>
        <w:t>споразумяха</w:t>
      </w:r>
      <w:r w:rsidR="0024496F" w:rsidRPr="0024496F">
        <w:rPr>
          <w:rFonts w:ascii="Arial" w:hAnsi="Arial" w:cs="Arial"/>
          <w:b/>
          <w:sz w:val="20"/>
        </w:rPr>
        <w:t xml:space="preserve"> </w:t>
      </w:r>
      <w:r w:rsidR="0024496F" w:rsidRPr="0024496F">
        <w:rPr>
          <w:rFonts w:ascii="Arial" w:hAnsi="Arial" w:cs="Arial" w:hint="eastAsia"/>
          <w:b/>
          <w:sz w:val="20"/>
        </w:rPr>
        <w:t>за</w:t>
      </w:r>
      <w:r w:rsidR="0024496F" w:rsidRPr="0024496F">
        <w:rPr>
          <w:rFonts w:ascii="Arial" w:hAnsi="Arial" w:cs="Arial"/>
          <w:b/>
          <w:sz w:val="20"/>
        </w:rPr>
        <w:t xml:space="preserve"> </w:t>
      </w:r>
      <w:r w:rsidR="0024496F" w:rsidRPr="0024496F">
        <w:rPr>
          <w:rFonts w:ascii="Arial" w:hAnsi="Arial" w:cs="Arial" w:hint="eastAsia"/>
          <w:b/>
          <w:sz w:val="20"/>
        </w:rPr>
        <w:t>цялостен</w:t>
      </w:r>
      <w:r w:rsidR="0024496F" w:rsidRPr="0024496F">
        <w:rPr>
          <w:rFonts w:ascii="Arial" w:hAnsi="Arial" w:cs="Arial"/>
          <w:b/>
          <w:sz w:val="20"/>
        </w:rPr>
        <w:t xml:space="preserve"> </w:t>
      </w:r>
      <w:r w:rsidR="0024496F" w:rsidRPr="0024496F">
        <w:rPr>
          <w:rFonts w:ascii="Arial" w:hAnsi="Arial" w:cs="Arial" w:hint="eastAsia"/>
          <w:b/>
          <w:sz w:val="20"/>
        </w:rPr>
        <w:t>пакет</w:t>
      </w:r>
      <w:r w:rsidR="0024496F" w:rsidRPr="0024496F">
        <w:rPr>
          <w:rFonts w:ascii="Arial" w:hAnsi="Arial" w:cs="Arial"/>
          <w:b/>
          <w:sz w:val="20"/>
        </w:rPr>
        <w:t xml:space="preserve"> </w:t>
      </w:r>
      <w:r w:rsidR="0024496F" w:rsidRPr="0024496F">
        <w:rPr>
          <w:rFonts w:ascii="Arial" w:hAnsi="Arial" w:cs="Arial" w:hint="eastAsia"/>
          <w:b/>
          <w:sz w:val="20"/>
        </w:rPr>
        <w:t>от</w:t>
      </w:r>
      <w:r w:rsidR="0024496F" w:rsidRPr="0024496F">
        <w:rPr>
          <w:rFonts w:ascii="Arial" w:hAnsi="Arial" w:cs="Arial"/>
          <w:b/>
          <w:sz w:val="20"/>
        </w:rPr>
        <w:t xml:space="preserve"> 1824,3 </w:t>
      </w:r>
      <w:r w:rsidR="0024496F" w:rsidRPr="0024496F">
        <w:rPr>
          <w:rFonts w:ascii="Arial" w:hAnsi="Arial" w:cs="Arial" w:hint="eastAsia"/>
          <w:b/>
          <w:sz w:val="20"/>
        </w:rPr>
        <w:t>милиарда</w:t>
      </w:r>
      <w:r w:rsidR="0024496F" w:rsidRPr="0024496F">
        <w:rPr>
          <w:rFonts w:ascii="Arial" w:hAnsi="Arial" w:cs="Arial"/>
          <w:b/>
          <w:sz w:val="20"/>
        </w:rPr>
        <w:t xml:space="preserve"> </w:t>
      </w:r>
      <w:r w:rsidR="0024496F" w:rsidRPr="0024496F">
        <w:rPr>
          <w:rFonts w:ascii="Arial" w:hAnsi="Arial" w:cs="Arial" w:hint="eastAsia"/>
          <w:b/>
          <w:sz w:val="20"/>
        </w:rPr>
        <w:t>евро</w:t>
      </w:r>
      <w:r w:rsidR="0024496F" w:rsidRPr="0024496F">
        <w:rPr>
          <w:rFonts w:ascii="Arial" w:hAnsi="Arial" w:cs="Arial"/>
          <w:b/>
          <w:sz w:val="20"/>
        </w:rPr>
        <w:t xml:space="preserve">, </w:t>
      </w:r>
      <w:r w:rsidR="0024496F" w:rsidRPr="0024496F">
        <w:rPr>
          <w:rFonts w:ascii="Arial" w:hAnsi="Arial" w:cs="Arial" w:hint="eastAsia"/>
          <w:b/>
          <w:sz w:val="20"/>
        </w:rPr>
        <w:t>който</w:t>
      </w:r>
      <w:r w:rsidR="0024496F" w:rsidRPr="0024496F">
        <w:rPr>
          <w:rFonts w:ascii="Arial" w:hAnsi="Arial" w:cs="Arial"/>
          <w:b/>
          <w:sz w:val="20"/>
        </w:rPr>
        <w:t xml:space="preserve"> </w:t>
      </w:r>
      <w:r w:rsidR="0024496F" w:rsidRPr="0024496F">
        <w:rPr>
          <w:rFonts w:ascii="Arial" w:hAnsi="Arial" w:cs="Arial" w:hint="eastAsia"/>
          <w:b/>
          <w:sz w:val="20"/>
        </w:rPr>
        <w:t>включва</w:t>
      </w:r>
      <w:r w:rsidR="0024496F" w:rsidRPr="0024496F">
        <w:rPr>
          <w:rFonts w:ascii="Arial" w:hAnsi="Arial" w:cs="Arial"/>
          <w:b/>
          <w:sz w:val="20"/>
        </w:rPr>
        <w:t xml:space="preserve"> </w:t>
      </w:r>
      <w:r w:rsidR="0024496F" w:rsidRPr="0024496F">
        <w:rPr>
          <w:rFonts w:ascii="Arial" w:hAnsi="Arial" w:cs="Arial" w:hint="eastAsia"/>
          <w:b/>
          <w:sz w:val="20"/>
        </w:rPr>
        <w:t>многогодишната</w:t>
      </w:r>
      <w:r w:rsidR="0024496F" w:rsidRPr="0024496F">
        <w:rPr>
          <w:rFonts w:ascii="Arial" w:hAnsi="Arial" w:cs="Arial"/>
          <w:b/>
          <w:sz w:val="20"/>
        </w:rPr>
        <w:t xml:space="preserve"> </w:t>
      </w:r>
      <w:r w:rsidR="0024496F" w:rsidRPr="0024496F">
        <w:rPr>
          <w:rFonts w:ascii="Arial" w:hAnsi="Arial" w:cs="Arial" w:hint="eastAsia"/>
          <w:b/>
          <w:sz w:val="20"/>
        </w:rPr>
        <w:t>финансова</w:t>
      </w:r>
      <w:r w:rsidR="0024496F" w:rsidRPr="0024496F">
        <w:rPr>
          <w:rFonts w:ascii="Arial" w:hAnsi="Arial" w:cs="Arial"/>
          <w:b/>
          <w:sz w:val="20"/>
        </w:rPr>
        <w:t xml:space="preserve"> </w:t>
      </w:r>
      <w:r w:rsidR="0024496F" w:rsidRPr="0024496F">
        <w:rPr>
          <w:rFonts w:ascii="Arial" w:hAnsi="Arial" w:cs="Arial" w:hint="eastAsia"/>
          <w:b/>
          <w:sz w:val="20"/>
        </w:rPr>
        <w:t>рамка</w:t>
      </w:r>
      <w:r w:rsidR="0024496F" w:rsidRPr="0024496F">
        <w:rPr>
          <w:rFonts w:ascii="Arial" w:hAnsi="Arial" w:cs="Arial"/>
          <w:b/>
          <w:sz w:val="20"/>
        </w:rPr>
        <w:t xml:space="preserve"> (</w:t>
      </w:r>
      <w:r w:rsidR="0024496F" w:rsidRPr="0024496F">
        <w:rPr>
          <w:rFonts w:ascii="Arial" w:hAnsi="Arial" w:cs="Arial" w:hint="eastAsia"/>
          <w:b/>
          <w:sz w:val="20"/>
        </w:rPr>
        <w:t>МФР</w:t>
      </w:r>
      <w:r w:rsidR="0024496F" w:rsidRPr="0024496F">
        <w:rPr>
          <w:rFonts w:ascii="Arial" w:hAnsi="Arial" w:cs="Arial"/>
          <w:b/>
          <w:sz w:val="20"/>
        </w:rPr>
        <w:t xml:space="preserve">) </w:t>
      </w:r>
      <w:r w:rsidR="0024496F" w:rsidRPr="0024496F">
        <w:rPr>
          <w:rFonts w:ascii="Arial" w:hAnsi="Arial" w:cs="Arial" w:hint="eastAsia"/>
          <w:b/>
          <w:sz w:val="20"/>
        </w:rPr>
        <w:t>и</w:t>
      </w:r>
      <w:r w:rsidR="0024496F" w:rsidRPr="0024496F">
        <w:rPr>
          <w:rFonts w:ascii="Arial" w:hAnsi="Arial" w:cs="Arial"/>
          <w:b/>
          <w:sz w:val="20"/>
        </w:rPr>
        <w:t xml:space="preserve"> </w:t>
      </w:r>
      <w:r w:rsidR="0024496F" w:rsidRPr="0024496F">
        <w:rPr>
          <w:rFonts w:ascii="Arial" w:hAnsi="Arial" w:cs="Arial" w:hint="eastAsia"/>
          <w:b/>
          <w:sz w:val="20"/>
        </w:rPr>
        <w:t>извънреден</w:t>
      </w:r>
      <w:r w:rsidR="0024496F" w:rsidRPr="0024496F">
        <w:rPr>
          <w:rFonts w:ascii="Arial" w:hAnsi="Arial" w:cs="Arial"/>
          <w:b/>
          <w:sz w:val="20"/>
        </w:rPr>
        <w:t xml:space="preserve"> </w:t>
      </w:r>
      <w:r w:rsidR="0024496F" w:rsidRPr="0024496F">
        <w:rPr>
          <w:rFonts w:ascii="Arial" w:hAnsi="Arial" w:cs="Arial" w:hint="eastAsia"/>
          <w:b/>
          <w:sz w:val="20"/>
        </w:rPr>
        <w:t>фонд</w:t>
      </w:r>
      <w:r w:rsidR="0024496F" w:rsidRPr="0024496F">
        <w:rPr>
          <w:rFonts w:ascii="Arial" w:hAnsi="Arial" w:cs="Arial"/>
          <w:b/>
          <w:sz w:val="20"/>
        </w:rPr>
        <w:t xml:space="preserve"> </w:t>
      </w:r>
      <w:r w:rsidR="0024496F" w:rsidRPr="0024496F">
        <w:rPr>
          <w:rFonts w:ascii="Arial" w:hAnsi="Arial" w:cs="Arial" w:hint="eastAsia"/>
          <w:b/>
          <w:sz w:val="20"/>
        </w:rPr>
        <w:t>за</w:t>
      </w:r>
      <w:r w:rsidR="0024496F" w:rsidRPr="0024496F">
        <w:rPr>
          <w:rFonts w:ascii="Arial" w:hAnsi="Arial" w:cs="Arial"/>
          <w:b/>
          <w:sz w:val="20"/>
        </w:rPr>
        <w:t xml:space="preserve"> </w:t>
      </w:r>
      <w:r w:rsidR="0024496F" w:rsidRPr="0024496F">
        <w:rPr>
          <w:rFonts w:ascii="Arial" w:hAnsi="Arial" w:cs="Arial" w:hint="eastAsia"/>
          <w:b/>
          <w:sz w:val="20"/>
        </w:rPr>
        <w:t>възстановяване</w:t>
      </w:r>
      <w:r w:rsidR="0024496F" w:rsidRPr="0024496F">
        <w:rPr>
          <w:rFonts w:ascii="Arial" w:hAnsi="Arial" w:cs="Arial"/>
          <w:b/>
          <w:sz w:val="20"/>
        </w:rPr>
        <w:t xml:space="preserve"> </w:t>
      </w:r>
      <w:r w:rsidR="0024496F" w:rsidRPr="0024496F">
        <w:rPr>
          <w:rFonts w:ascii="Arial" w:hAnsi="Arial" w:cs="Arial" w:hint="eastAsia"/>
          <w:b/>
          <w:sz w:val="20"/>
        </w:rPr>
        <w:t>по</w:t>
      </w:r>
      <w:r w:rsidR="0024496F" w:rsidRPr="0024496F">
        <w:rPr>
          <w:rFonts w:ascii="Arial" w:hAnsi="Arial" w:cs="Arial"/>
          <w:b/>
          <w:sz w:val="20"/>
        </w:rPr>
        <w:t xml:space="preserve"> </w:t>
      </w:r>
      <w:r w:rsidR="0024496F" w:rsidRPr="0024496F">
        <w:rPr>
          <w:rFonts w:ascii="Arial" w:hAnsi="Arial" w:cs="Arial" w:hint="eastAsia"/>
          <w:b/>
          <w:sz w:val="20"/>
        </w:rPr>
        <w:t>линия</w:t>
      </w:r>
      <w:r w:rsidR="0024496F" w:rsidRPr="0024496F">
        <w:rPr>
          <w:rFonts w:ascii="Arial" w:hAnsi="Arial" w:cs="Arial"/>
          <w:b/>
          <w:sz w:val="20"/>
        </w:rPr>
        <w:t xml:space="preserve"> </w:t>
      </w:r>
      <w:r w:rsidR="0024496F" w:rsidRPr="0024496F">
        <w:rPr>
          <w:rFonts w:ascii="Arial" w:hAnsi="Arial" w:cs="Arial" w:hint="eastAsia"/>
          <w:b/>
          <w:sz w:val="20"/>
        </w:rPr>
        <w:t>на</w:t>
      </w:r>
      <w:r w:rsidR="0024496F" w:rsidRPr="0024496F">
        <w:rPr>
          <w:rFonts w:ascii="Arial" w:hAnsi="Arial" w:cs="Arial"/>
          <w:b/>
          <w:sz w:val="20"/>
        </w:rPr>
        <w:t xml:space="preserve"> </w:t>
      </w:r>
      <w:r w:rsidR="0024496F" w:rsidRPr="0024496F">
        <w:rPr>
          <w:rFonts w:ascii="Arial" w:hAnsi="Arial" w:cs="Arial" w:hint="eastAsia"/>
          <w:b/>
          <w:sz w:val="20"/>
        </w:rPr>
        <w:t>инструмента</w:t>
      </w:r>
      <w:r w:rsidR="0024496F" w:rsidRPr="0024496F">
        <w:rPr>
          <w:rFonts w:ascii="Arial" w:hAnsi="Arial" w:cs="Arial"/>
          <w:b/>
          <w:sz w:val="20"/>
        </w:rPr>
        <w:t xml:space="preserve"> </w:t>
      </w:r>
      <w:proofErr w:type="spellStart"/>
      <w:r w:rsidR="0024496F" w:rsidRPr="0024496F">
        <w:rPr>
          <w:rFonts w:ascii="Arial" w:hAnsi="Arial" w:cs="Arial"/>
          <w:b/>
          <w:sz w:val="20"/>
        </w:rPr>
        <w:t>Next</w:t>
      </w:r>
      <w:proofErr w:type="spellEnd"/>
      <w:r w:rsidR="0024496F" w:rsidRPr="0024496F">
        <w:rPr>
          <w:rFonts w:ascii="Arial" w:hAnsi="Arial" w:cs="Arial"/>
          <w:b/>
          <w:sz w:val="20"/>
        </w:rPr>
        <w:t xml:space="preserve"> </w:t>
      </w:r>
      <w:proofErr w:type="spellStart"/>
      <w:r w:rsidR="0024496F" w:rsidRPr="0024496F">
        <w:rPr>
          <w:rFonts w:ascii="Arial" w:hAnsi="Arial" w:cs="Arial"/>
          <w:b/>
          <w:sz w:val="20"/>
        </w:rPr>
        <w:t>Generation</w:t>
      </w:r>
      <w:proofErr w:type="spellEnd"/>
      <w:r w:rsidR="0024496F" w:rsidRPr="0024496F">
        <w:rPr>
          <w:rFonts w:ascii="Arial" w:hAnsi="Arial" w:cs="Arial"/>
          <w:b/>
          <w:sz w:val="20"/>
        </w:rPr>
        <w:t xml:space="preserve"> EU.</w:t>
      </w:r>
      <w:r w:rsidR="00617956" w:rsidRPr="00292138">
        <w:rPr>
          <w:rFonts w:ascii="Arial" w:hAnsi="Arial" w:cs="Arial"/>
          <w:sz w:val="20"/>
        </w:rPr>
        <w:t xml:space="preserve"> </w:t>
      </w:r>
      <w:r w:rsidR="00141A95" w:rsidRPr="00141A95">
        <w:rPr>
          <w:rFonts w:ascii="Arial" w:hAnsi="Arial" w:cs="Arial" w:hint="eastAsia"/>
          <w:sz w:val="20"/>
        </w:rPr>
        <w:t>Новата</w:t>
      </w:r>
      <w:r w:rsidR="00141A95" w:rsidRPr="00141A95">
        <w:rPr>
          <w:rFonts w:ascii="Arial" w:hAnsi="Arial" w:cs="Arial"/>
          <w:sz w:val="20"/>
        </w:rPr>
        <w:t xml:space="preserve"> </w:t>
      </w:r>
      <w:r w:rsidR="00141A95" w:rsidRPr="00141A95">
        <w:rPr>
          <w:rFonts w:ascii="Arial" w:hAnsi="Arial" w:cs="Arial" w:hint="eastAsia"/>
          <w:sz w:val="20"/>
        </w:rPr>
        <w:t>многогодишна</w:t>
      </w:r>
      <w:r w:rsidR="00141A95" w:rsidRPr="00141A95">
        <w:rPr>
          <w:rFonts w:ascii="Arial" w:hAnsi="Arial" w:cs="Arial"/>
          <w:sz w:val="20"/>
        </w:rPr>
        <w:t xml:space="preserve"> </w:t>
      </w:r>
      <w:r w:rsidR="00141A95" w:rsidRPr="00141A95">
        <w:rPr>
          <w:rFonts w:ascii="Arial" w:hAnsi="Arial" w:cs="Arial" w:hint="eastAsia"/>
          <w:sz w:val="20"/>
        </w:rPr>
        <w:t>финансова</w:t>
      </w:r>
      <w:r w:rsidR="00141A95" w:rsidRPr="00141A95">
        <w:rPr>
          <w:rFonts w:ascii="Arial" w:hAnsi="Arial" w:cs="Arial"/>
          <w:sz w:val="20"/>
        </w:rPr>
        <w:t xml:space="preserve"> </w:t>
      </w:r>
      <w:r w:rsidR="00141A95" w:rsidRPr="00141A95">
        <w:rPr>
          <w:rFonts w:ascii="Arial" w:hAnsi="Arial" w:cs="Arial" w:hint="eastAsia"/>
          <w:sz w:val="20"/>
        </w:rPr>
        <w:t>рамка</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обхваща</w:t>
      </w:r>
      <w:r w:rsidR="00141A95" w:rsidRPr="00141A95">
        <w:rPr>
          <w:rFonts w:ascii="Arial" w:hAnsi="Arial" w:cs="Arial"/>
          <w:sz w:val="20"/>
        </w:rPr>
        <w:t xml:space="preserve"> </w:t>
      </w:r>
      <w:r w:rsidR="00141A95" w:rsidRPr="00141A95">
        <w:rPr>
          <w:rFonts w:ascii="Arial" w:hAnsi="Arial" w:cs="Arial" w:hint="eastAsia"/>
          <w:sz w:val="20"/>
        </w:rPr>
        <w:t>период</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седем</w:t>
      </w:r>
      <w:r w:rsidR="00141A95" w:rsidRPr="00141A95">
        <w:rPr>
          <w:rFonts w:ascii="Arial" w:hAnsi="Arial" w:cs="Arial"/>
          <w:sz w:val="20"/>
        </w:rPr>
        <w:t xml:space="preserve"> </w:t>
      </w:r>
      <w:r w:rsidR="00141A95" w:rsidRPr="00141A95">
        <w:rPr>
          <w:rFonts w:ascii="Arial" w:hAnsi="Arial" w:cs="Arial" w:hint="eastAsia"/>
          <w:sz w:val="20"/>
        </w:rPr>
        <w:t>години</w:t>
      </w:r>
      <w:r w:rsidR="00141A95" w:rsidRPr="00141A95">
        <w:rPr>
          <w:rFonts w:ascii="Arial" w:hAnsi="Arial" w:cs="Arial"/>
          <w:sz w:val="20"/>
        </w:rPr>
        <w:t xml:space="preserve"> (2021 </w:t>
      </w:r>
      <w:r w:rsidR="00141A95" w:rsidRPr="00141A95">
        <w:rPr>
          <w:rFonts w:ascii="Arial" w:hAnsi="Arial" w:cs="Arial" w:hint="eastAsia"/>
          <w:sz w:val="20"/>
        </w:rPr>
        <w:t>г</w:t>
      </w:r>
      <w:r w:rsidR="00141A95" w:rsidRPr="00141A95">
        <w:rPr>
          <w:rFonts w:ascii="Arial" w:hAnsi="Arial" w:cs="Arial"/>
          <w:sz w:val="20"/>
        </w:rPr>
        <w:t xml:space="preserve">. – 2027 </w:t>
      </w:r>
      <w:r w:rsidR="00141A95" w:rsidRPr="00141A95">
        <w:rPr>
          <w:rFonts w:ascii="Arial" w:hAnsi="Arial" w:cs="Arial" w:hint="eastAsia"/>
          <w:sz w:val="20"/>
        </w:rPr>
        <w:t>г</w:t>
      </w:r>
      <w:r w:rsidR="00141A95" w:rsidRPr="00141A95">
        <w:rPr>
          <w:rFonts w:ascii="Arial" w:hAnsi="Arial" w:cs="Arial"/>
          <w:sz w:val="20"/>
        </w:rPr>
        <w:t xml:space="preserve">.). </w:t>
      </w:r>
      <w:r w:rsidR="00141A95" w:rsidRPr="00141A95">
        <w:rPr>
          <w:rFonts w:ascii="Arial" w:hAnsi="Arial" w:cs="Arial" w:hint="eastAsia"/>
          <w:sz w:val="20"/>
        </w:rPr>
        <w:t>Подсилена</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proofErr w:type="spellStart"/>
      <w:r w:rsidR="00141A95" w:rsidRPr="00141A95">
        <w:rPr>
          <w:rFonts w:ascii="Arial" w:hAnsi="Arial" w:cs="Arial"/>
          <w:sz w:val="20"/>
        </w:rPr>
        <w:t>Next</w:t>
      </w:r>
      <w:proofErr w:type="spellEnd"/>
      <w:r w:rsidR="00141A95" w:rsidRPr="00141A95">
        <w:rPr>
          <w:rFonts w:ascii="Arial" w:hAnsi="Arial" w:cs="Arial"/>
          <w:sz w:val="20"/>
        </w:rPr>
        <w:t xml:space="preserve"> </w:t>
      </w:r>
      <w:proofErr w:type="spellStart"/>
      <w:r w:rsidR="00141A95" w:rsidRPr="00141A95">
        <w:rPr>
          <w:rFonts w:ascii="Arial" w:hAnsi="Arial" w:cs="Arial"/>
          <w:sz w:val="20"/>
        </w:rPr>
        <w:t>Generation</w:t>
      </w:r>
      <w:proofErr w:type="spellEnd"/>
      <w:r w:rsidR="00141A95" w:rsidRPr="00141A95">
        <w:rPr>
          <w:rFonts w:ascii="Arial" w:hAnsi="Arial" w:cs="Arial"/>
          <w:sz w:val="20"/>
        </w:rPr>
        <w:t xml:space="preserve"> EU,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бъде</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основният</w:t>
      </w:r>
      <w:r w:rsidR="00141A95" w:rsidRPr="00141A95">
        <w:rPr>
          <w:rFonts w:ascii="Arial" w:hAnsi="Arial" w:cs="Arial"/>
          <w:sz w:val="20"/>
        </w:rPr>
        <w:t xml:space="preserve"> </w:t>
      </w:r>
      <w:r w:rsidR="00141A95" w:rsidRPr="00141A95">
        <w:rPr>
          <w:rFonts w:ascii="Arial" w:hAnsi="Arial" w:cs="Arial" w:hint="eastAsia"/>
          <w:sz w:val="20"/>
        </w:rPr>
        <w:t>европейски</w:t>
      </w:r>
      <w:r w:rsidR="00141A95" w:rsidRPr="00141A95">
        <w:rPr>
          <w:rFonts w:ascii="Arial" w:hAnsi="Arial" w:cs="Arial"/>
          <w:sz w:val="20"/>
        </w:rPr>
        <w:t xml:space="preserve"> </w:t>
      </w:r>
      <w:r w:rsidR="00141A95" w:rsidRPr="00141A95">
        <w:rPr>
          <w:rFonts w:ascii="Arial" w:hAnsi="Arial" w:cs="Arial" w:hint="eastAsia"/>
          <w:sz w:val="20"/>
        </w:rPr>
        <w:t>инструмент</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изпълнение</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пакета</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възстановяване</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социално</w:t>
      </w:r>
      <w:r w:rsidR="00141A95" w:rsidRPr="00141A95">
        <w:rPr>
          <w:rFonts w:ascii="Arial" w:hAnsi="Arial" w:cs="Arial"/>
          <w:sz w:val="20"/>
        </w:rPr>
        <w:t>-</w:t>
      </w:r>
      <w:r w:rsidR="00141A95" w:rsidRPr="00141A95">
        <w:rPr>
          <w:rFonts w:ascii="Arial" w:hAnsi="Arial" w:cs="Arial" w:hint="eastAsia"/>
          <w:sz w:val="20"/>
        </w:rPr>
        <w:t>икономическите</w:t>
      </w:r>
      <w:r w:rsidR="00141A95" w:rsidRPr="00141A95">
        <w:rPr>
          <w:rFonts w:ascii="Arial" w:hAnsi="Arial" w:cs="Arial"/>
          <w:sz w:val="20"/>
        </w:rPr>
        <w:t xml:space="preserve"> </w:t>
      </w:r>
      <w:r w:rsidR="00141A95" w:rsidRPr="00141A95">
        <w:rPr>
          <w:rFonts w:ascii="Arial" w:hAnsi="Arial" w:cs="Arial" w:hint="eastAsia"/>
          <w:sz w:val="20"/>
        </w:rPr>
        <w:t>последици</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w:t>
      </w:r>
      <w:r w:rsidR="00141A95" w:rsidRPr="00141A95">
        <w:rPr>
          <w:rFonts w:ascii="Arial" w:hAnsi="Arial" w:cs="Arial" w:hint="eastAsia"/>
          <w:sz w:val="20"/>
        </w:rPr>
        <w:t>пандемията</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COVID-19.</w:t>
      </w:r>
      <w:r w:rsidR="00141A95">
        <w:rPr>
          <w:rFonts w:ascii="Arial" w:hAnsi="Arial" w:cs="Arial"/>
          <w:sz w:val="20"/>
        </w:rPr>
        <w:t xml:space="preserve"> </w:t>
      </w:r>
      <w:r w:rsidR="00141A95" w:rsidRPr="00141A95">
        <w:rPr>
          <w:rFonts w:ascii="Arial" w:hAnsi="Arial" w:cs="Arial" w:hint="eastAsia"/>
          <w:sz w:val="20"/>
        </w:rPr>
        <w:t>Размерът</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от</w:t>
      </w:r>
      <w:r w:rsidR="00141A95" w:rsidRPr="00141A95">
        <w:rPr>
          <w:rFonts w:ascii="Arial" w:hAnsi="Arial" w:cs="Arial"/>
          <w:sz w:val="20"/>
        </w:rPr>
        <w:t xml:space="preserve"> 1074,3 </w:t>
      </w:r>
      <w:r w:rsidR="00141A95" w:rsidRPr="00141A95">
        <w:rPr>
          <w:rFonts w:ascii="Arial" w:hAnsi="Arial" w:cs="Arial" w:hint="eastAsia"/>
          <w:sz w:val="20"/>
        </w:rPr>
        <w:t>милиарда</w:t>
      </w:r>
      <w:r w:rsidR="00141A95" w:rsidRPr="00141A95">
        <w:rPr>
          <w:rFonts w:ascii="Arial" w:hAnsi="Arial" w:cs="Arial"/>
          <w:sz w:val="20"/>
        </w:rPr>
        <w:t xml:space="preserve"> </w:t>
      </w:r>
      <w:r w:rsidR="00141A95" w:rsidRPr="00141A95">
        <w:rPr>
          <w:rFonts w:ascii="Arial" w:hAnsi="Arial" w:cs="Arial" w:hint="eastAsia"/>
          <w:sz w:val="20"/>
        </w:rPr>
        <w:t>евро</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позволи</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ЕС</w:t>
      </w:r>
      <w:r w:rsidR="00141A95" w:rsidRPr="00141A95">
        <w:rPr>
          <w:rFonts w:ascii="Arial" w:hAnsi="Arial" w:cs="Arial"/>
          <w:sz w:val="20"/>
        </w:rPr>
        <w:t xml:space="preserve"> </w:t>
      </w:r>
      <w:r w:rsidR="00141A95" w:rsidRPr="00141A95">
        <w:rPr>
          <w:rFonts w:ascii="Arial" w:hAnsi="Arial" w:cs="Arial" w:hint="eastAsia"/>
          <w:sz w:val="20"/>
        </w:rPr>
        <w:t>да</w:t>
      </w:r>
      <w:r w:rsidR="00141A95" w:rsidRPr="00141A95">
        <w:rPr>
          <w:rFonts w:ascii="Arial" w:hAnsi="Arial" w:cs="Arial"/>
          <w:sz w:val="20"/>
        </w:rPr>
        <w:t xml:space="preserve"> </w:t>
      </w:r>
      <w:r w:rsidR="00141A95" w:rsidRPr="00141A95">
        <w:rPr>
          <w:rFonts w:ascii="Arial" w:hAnsi="Arial" w:cs="Arial" w:hint="eastAsia"/>
          <w:sz w:val="20"/>
        </w:rPr>
        <w:t>изпълни</w:t>
      </w:r>
      <w:r w:rsidR="00141A95" w:rsidRPr="00141A95">
        <w:rPr>
          <w:rFonts w:ascii="Arial" w:hAnsi="Arial" w:cs="Arial"/>
          <w:sz w:val="20"/>
        </w:rPr>
        <w:t xml:space="preserve"> </w:t>
      </w:r>
      <w:r w:rsidR="00141A95" w:rsidRPr="00141A95">
        <w:rPr>
          <w:rFonts w:ascii="Arial" w:hAnsi="Arial" w:cs="Arial" w:hint="eastAsia"/>
          <w:sz w:val="20"/>
        </w:rPr>
        <w:t>своите</w:t>
      </w:r>
      <w:r w:rsidR="00141A95" w:rsidRPr="00141A95">
        <w:rPr>
          <w:rFonts w:ascii="Arial" w:hAnsi="Arial" w:cs="Arial"/>
          <w:sz w:val="20"/>
        </w:rPr>
        <w:t xml:space="preserve"> </w:t>
      </w:r>
      <w:r w:rsidR="00141A95" w:rsidRPr="00141A95">
        <w:rPr>
          <w:rFonts w:ascii="Arial" w:hAnsi="Arial" w:cs="Arial" w:hint="eastAsia"/>
          <w:sz w:val="20"/>
        </w:rPr>
        <w:t>дългосрочни</w:t>
      </w:r>
      <w:r w:rsidR="00141A95" w:rsidRPr="00141A95">
        <w:rPr>
          <w:rFonts w:ascii="Arial" w:hAnsi="Arial" w:cs="Arial"/>
          <w:sz w:val="20"/>
        </w:rPr>
        <w:t xml:space="preserve"> </w:t>
      </w:r>
      <w:r w:rsidR="00141A95" w:rsidRPr="00141A95">
        <w:rPr>
          <w:rFonts w:ascii="Arial" w:hAnsi="Arial" w:cs="Arial" w:hint="eastAsia"/>
          <w:sz w:val="20"/>
        </w:rPr>
        <w:t>цели</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да</w:t>
      </w:r>
      <w:r w:rsidR="00141A95" w:rsidRPr="00141A95">
        <w:rPr>
          <w:rFonts w:ascii="Arial" w:hAnsi="Arial" w:cs="Arial"/>
          <w:sz w:val="20"/>
        </w:rPr>
        <w:t xml:space="preserve"> </w:t>
      </w:r>
      <w:r w:rsidR="00141A95" w:rsidRPr="00141A95">
        <w:rPr>
          <w:rFonts w:ascii="Arial" w:hAnsi="Arial" w:cs="Arial" w:hint="eastAsia"/>
          <w:sz w:val="20"/>
        </w:rPr>
        <w:t>запази</w:t>
      </w:r>
      <w:r w:rsidR="00141A95" w:rsidRPr="00141A95">
        <w:rPr>
          <w:rFonts w:ascii="Arial" w:hAnsi="Arial" w:cs="Arial"/>
          <w:sz w:val="20"/>
        </w:rPr>
        <w:t xml:space="preserve"> </w:t>
      </w:r>
      <w:r w:rsidR="00141A95" w:rsidRPr="00141A95">
        <w:rPr>
          <w:rFonts w:ascii="Arial" w:hAnsi="Arial" w:cs="Arial" w:hint="eastAsia"/>
          <w:sz w:val="20"/>
        </w:rPr>
        <w:t>пълния</w:t>
      </w:r>
      <w:r w:rsidR="00141A95" w:rsidRPr="00141A95">
        <w:rPr>
          <w:rFonts w:ascii="Arial" w:hAnsi="Arial" w:cs="Arial"/>
          <w:sz w:val="20"/>
        </w:rPr>
        <w:t xml:space="preserve"> </w:t>
      </w:r>
      <w:r w:rsidR="00141A95" w:rsidRPr="00141A95">
        <w:rPr>
          <w:rFonts w:ascii="Arial" w:hAnsi="Arial" w:cs="Arial" w:hint="eastAsia"/>
          <w:sz w:val="20"/>
        </w:rPr>
        <w:t>капацитет</w:t>
      </w:r>
      <w:r w:rsidR="00141A95" w:rsidRPr="00141A95">
        <w:rPr>
          <w:rFonts w:ascii="Arial" w:hAnsi="Arial" w:cs="Arial"/>
          <w:sz w:val="20"/>
        </w:rPr>
        <w:t xml:space="preserve"> </w:t>
      </w:r>
      <w:r w:rsidR="00141A95" w:rsidRPr="00141A95">
        <w:rPr>
          <w:rFonts w:ascii="Arial" w:hAnsi="Arial" w:cs="Arial" w:hint="eastAsia"/>
          <w:sz w:val="20"/>
        </w:rPr>
        <w:t>на</w:t>
      </w:r>
      <w:r w:rsidR="00141A95" w:rsidRPr="00141A95">
        <w:rPr>
          <w:rFonts w:ascii="Arial" w:hAnsi="Arial" w:cs="Arial"/>
          <w:sz w:val="20"/>
        </w:rPr>
        <w:t xml:space="preserve"> </w:t>
      </w:r>
      <w:r w:rsidR="00141A95" w:rsidRPr="00141A95">
        <w:rPr>
          <w:rFonts w:ascii="Arial" w:hAnsi="Arial" w:cs="Arial" w:hint="eastAsia"/>
          <w:sz w:val="20"/>
        </w:rPr>
        <w:t>плана</w:t>
      </w:r>
      <w:r w:rsidR="00141A95" w:rsidRPr="00141A95">
        <w:rPr>
          <w:rFonts w:ascii="Arial" w:hAnsi="Arial" w:cs="Arial"/>
          <w:sz w:val="20"/>
        </w:rPr>
        <w:t xml:space="preserve"> </w:t>
      </w:r>
      <w:r w:rsidR="00141A95" w:rsidRPr="00141A95">
        <w:rPr>
          <w:rFonts w:ascii="Arial" w:hAnsi="Arial" w:cs="Arial" w:hint="eastAsia"/>
          <w:sz w:val="20"/>
        </w:rPr>
        <w:t>за</w:t>
      </w:r>
      <w:r w:rsidR="00141A95" w:rsidRPr="00141A95">
        <w:rPr>
          <w:rFonts w:ascii="Arial" w:hAnsi="Arial" w:cs="Arial"/>
          <w:sz w:val="20"/>
        </w:rPr>
        <w:t xml:space="preserve"> </w:t>
      </w:r>
      <w:r w:rsidR="00141A95" w:rsidRPr="00141A95">
        <w:rPr>
          <w:rFonts w:ascii="Arial" w:hAnsi="Arial" w:cs="Arial" w:hint="eastAsia"/>
          <w:sz w:val="20"/>
        </w:rPr>
        <w:t>възстановяване</w:t>
      </w:r>
      <w:r w:rsidR="00141A95" w:rsidRPr="00141A95">
        <w:rPr>
          <w:rFonts w:ascii="Arial" w:hAnsi="Arial" w:cs="Arial"/>
          <w:sz w:val="20"/>
        </w:rPr>
        <w:t xml:space="preserve">. </w:t>
      </w:r>
      <w:r w:rsidR="00141A95" w:rsidRPr="00141A95">
        <w:rPr>
          <w:rFonts w:ascii="Arial" w:hAnsi="Arial" w:cs="Arial" w:hint="eastAsia"/>
          <w:sz w:val="20"/>
        </w:rPr>
        <w:t>МФР</w:t>
      </w:r>
      <w:r w:rsidR="00141A95" w:rsidRPr="00141A95">
        <w:rPr>
          <w:rFonts w:ascii="Arial" w:hAnsi="Arial" w:cs="Arial"/>
          <w:sz w:val="20"/>
        </w:rPr>
        <w:t xml:space="preserve"> </w:t>
      </w:r>
      <w:r w:rsidR="00141A95" w:rsidRPr="00141A95">
        <w:rPr>
          <w:rFonts w:ascii="Arial" w:hAnsi="Arial" w:cs="Arial" w:hint="eastAsia"/>
          <w:sz w:val="20"/>
        </w:rPr>
        <w:t>ще</w:t>
      </w:r>
      <w:r w:rsidR="00141A95" w:rsidRPr="00141A95">
        <w:rPr>
          <w:rFonts w:ascii="Arial" w:hAnsi="Arial" w:cs="Arial"/>
          <w:sz w:val="20"/>
        </w:rPr>
        <w:t xml:space="preserve"> </w:t>
      </w:r>
      <w:r w:rsidR="00141A95" w:rsidRPr="00141A95">
        <w:rPr>
          <w:rFonts w:ascii="Arial" w:hAnsi="Arial" w:cs="Arial" w:hint="eastAsia"/>
          <w:sz w:val="20"/>
        </w:rPr>
        <w:t>обхваща</w:t>
      </w:r>
      <w:r w:rsidR="00141A95" w:rsidRPr="00141A95">
        <w:rPr>
          <w:rFonts w:ascii="Arial" w:hAnsi="Arial" w:cs="Arial"/>
          <w:sz w:val="20"/>
        </w:rPr>
        <w:t xml:space="preserve"> </w:t>
      </w:r>
      <w:r w:rsidR="00141A95" w:rsidRPr="00141A95">
        <w:rPr>
          <w:rFonts w:ascii="Arial" w:hAnsi="Arial" w:cs="Arial" w:hint="eastAsia"/>
          <w:sz w:val="20"/>
        </w:rPr>
        <w:t>следните</w:t>
      </w:r>
      <w:r w:rsidR="00141A95" w:rsidRPr="00141A95">
        <w:rPr>
          <w:rFonts w:ascii="Arial" w:hAnsi="Arial" w:cs="Arial"/>
          <w:sz w:val="20"/>
        </w:rPr>
        <w:t xml:space="preserve"> </w:t>
      </w:r>
      <w:r w:rsidR="00141A95" w:rsidRPr="00141A95">
        <w:rPr>
          <w:rFonts w:ascii="Arial" w:hAnsi="Arial" w:cs="Arial" w:hint="eastAsia"/>
          <w:sz w:val="20"/>
        </w:rPr>
        <w:t>разходни</w:t>
      </w:r>
      <w:r w:rsidR="00141A95" w:rsidRPr="00141A95">
        <w:rPr>
          <w:rFonts w:ascii="Arial" w:hAnsi="Arial" w:cs="Arial"/>
          <w:sz w:val="20"/>
        </w:rPr>
        <w:t xml:space="preserve"> </w:t>
      </w:r>
      <w:r w:rsidR="00141A95" w:rsidRPr="00141A95">
        <w:rPr>
          <w:rFonts w:ascii="Arial" w:hAnsi="Arial" w:cs="Arial" w:hint="eastAsia"/>
          <w:sz w:val="20"/>
        </w:rPr>
        <w:t>области</w:t>
      </w:r>
      <w:r w:rsidR="00141A95" w:rsidRPr="00141A95">
        <w:rPr>
          <w:rFonts w:ascii="Arial" w:hAnsi="Arial" w:cs="Arial"/>
          <w:sz w:val="20"/>
        </w:rPr>
        <w:t>:</w:t>
      </w:r>
      <w:r w:rsidR="00141A95">
        <w:rPr>
          <w:rFonts w:ascii="Arial" w:hAnsi="Arial" w:cs="Arial"/>
          <w:sz w:val="20"/>
        </w:rPr>
        <w:t xml:space="preserve"> </w:t>
      </w:r>
      <w:r w:rsidR="00141A95" w:rsidRPr="00141A95">
        <w:rPr>
          <w:rFonts w:ascii="Arial" w:hAnsi="Arial" w:cs="Arial" w:hint="eastAsia"/>
          <w:sz w:val="20"/>
        </w:rPr>
        <w:t>единен</w:t>
      </w:r>
      <w:r w:rsidR="00141A95" w:rsidRPr="00141A95">
        <w:rPr>
          <w:rFonts w:ascii="Arial" w:hAnsi="Arial" w:cs="Arial"/>
          <w:sz w:val="20"/>
        </w:rPr>
        <w:t xml:space="preserve"> </w:t>
      </w:r>
      <w:r w:rsidR="00141A95" w:rsidRPr="00141A95">
        <w:rPr>
          <w:rFonts w:ascii="Arial" w:hAnsi="Arial" w:cs="Arial" w:hint="eastAsia"/>
          <w:sz w:val="20"/>
        </w:rPr>
        <w:t>пазар</w:t>
      </w:r>
      <w:r w:rsidR="00141A95" w:rsidRPr="00141A95">
        <w:rPr>
          <w:rFonts w:ascii="Arial" w:hAnsi="Arial" w:cs="Arial"/>
          <w:sz w:val="20"/>
        </w:rPr>
        <w:t xml:space="preserve">, </w:t>
      </w:r>
      <w:r w:rsidR="00141A95" w:rsidRPr="00141A95">
        <w:rPr>
          <w:rFonts w:ascii="Arial" w:hAnsi="Arial" w:cs="Arial" w:hint="eastAsia"/>
          <w:sz w:val="20"/>
        </w:rPr>
        <w:t>иновации</w:t>
      </w:r>
      <w:r w:rsidR="00141A95" w:rsidRPr="00141A95">
        <w:rPr>
          <w:rFonts w:ascii="Arial" w:hAnsi="Arial" w:cs="Arial"/>
          <w:sz w:val="20"/>
        </w:rPr>
        <w:t xml:space="preserve"> </w:t>
      </w:r>
      <w:r w:rsidR="00141A95" w:rsidRPr="00141A95">
        <w:rPr>
          <w:rFonts w:ascii="Arial" w:hAnsi="Arial" w:cs="Arial" w:hint="eastAsia"/>
          <w:sz w:val="20"/>
        </w:rPr>
        <w:t>и</w:t>
      </w:r>
      <w:r w:rsidR="00141A95" w:rsidRPr="00141A95">
        <w:rPr>
          <w:rFonts w:ascii="Arial" w:hAnsi="Arial" w:cs="Arial"/>
          <w:sz w:val="20"/>
        </w:rPr>
        <w:t xml:space="preserve"> </w:t>
      </w:r>
      <w:r w:rsidR="00141A95" w:rsidRPr="00141A95">
        <w:rPr>
          <w:rFonts w:ascii="Arial" w:hAnsi="Arial" w:cs="Arial" w:hint="eastAsia"/>
          <w:sz w:val="20"/>
        </w:rPr>
        <w:t>цифрови</w:t>
      </w:r>
      <w:r w:rsidR="00141A95" w:rsidRPr="00141A95">
        <w:rPr>
          <w:rFonts w:ascii="Arial" w:hAnsi="Arial" w:cs="Arial"/>
          <w:sz w:val="20"/>
        </w:rPr>
        <w:t xml:space="preserve"> </w:t>
      </w:r>
      <w:r w:rsidR="00141A95" w:rsidRPr="00141A95">
        <w:rPr>
          <w:rFonts w:ascii="Arial" w:hAnsi="Arial" w:cs="Arial"/>
          <w:noProof/>
          <w:sz w:val="20"/>
        </w:rPr>
        <w:t>технологии</w:t>
      </w:r>
      <w:r w:rsidR="00141A95">
        <w:rPr>
          <w:rFonts w:ascii="Arial" w:hAnsi="Arial" w:cs="Arial"/>
          <w:noProof/>
          <w:sz w:val="20"/>
        </w:rPr>
        <w:t xml:space="preserve">; </w:t>
      </w:r>
      <w:r w:rsidR="00141A95" w:rsidRPr="00141A95">
        <w:rPr>
          <w:rFonts w:ascii="Arial" w:hAnsi="Arial" w:cs="Arial"/>
          <w:noProof/>
          <w:sz w:val="20"/>
        </w:rPr>
        <w:t>сближаване, устойчивост и ценности</w:t>
      </w:r>
      <w:r w:rsidR="00141A95">
        <w:rPr>
          <w:rFonts w:ascii="Arial" w:hAnsi="Arial" w:cs="Arial"/>
          <w:noProof/>
          <w:sz w:val="20"/>
        </w:rPr>
        <w:t xml:space="preserve">; </w:t>
      </w:r>
      <w:r w:rsidR="00141A95" w:rsidRPr="00141A95">
        <w:rPr>
          <w:rFonts w:ascii="Arial" w:hAnsi="Arial" w:cs="Arial"/>
          <w:noProof/>
          <w:sz w:val="20"/>
        </w:rPr>
        <w:t>природни ресурси и околна среда</w:t>
      </w:r>
      <w:r w:rsidR="00141A95">
        <w:rPr>
          <w:rFonts w:ascii="Arial" w:hAnsi="Arial" w:cs="Arial"/>
          <w:noProof/>
          <w:sz w:val="20"/>
        </w:rPr>
        <w:t xml:space="preserve">; </w:t>
      </w:r>
      <w:r w:rsidR="00141A95" w:rsidRPr="00141A95">
        <w:rPr>
          <w:rFonts w:ascii="Arial" w:hAnsi="Arial" w:cs="Arial"/>
          <w:noProof/>
          <w:sz w:val="20"/>
        </w:rPr>
        <w:t>миграция и управление на границите</w:t>
      </w:r>
      <w:r w:rsidR="00141A95">
        <w:rPr>
          <w:rFonts w:ascii="Arial" w:hAnsi="Arial" w:cs="Arial"/>
          <w:noProof/>
          <w:sz w:val="20"/>
        </w:rPr>
        <w:t xml:space="preserve">; </w:t>
      </w:r>
      <w:r w:rsidR="00141A95" w:rsidRPr="00141A95">
        <w:rPr>
          <w:rFonts w:ascii="Arial" w:hAnsi="Arial" w:cs="Arial"/>
          <w:noProof/>
          <w:sz w:val="20"/>
        </w:rPr>
        <w:t>сигурност и отбрана</w:t>
      </w:r>
      <w:r w:rsidR="00141A95">
        <w:rPr>
          <w:rFonts w:ascii="Arial" w:hAnsi="Arial" w:cs="Arial"/>
          <w:noProof/>
          <w:sz w:val="20"/>
        </w:rPr>
        <w:t xml:space="preserve">; </w:t>
      </w:r>
      <w:r w:rsidR="00141A95" w:rsidRPr="00141A95">
        <w:rPr>
          <w:rFonts w:ascii="Arial" w:hAnsi="Arial" w:cs="Arial"/>
          <w:noProof/>
          <w:sz w:val="20"/>
        </w:rPr>
        <w:t>съседните региони и света</w:t>
      </w:r>
      <w:r w:rsidR="00141A95">
        <w:rPr>
          <w:rFonts w:ascii="Arial" w:hAnsi="Arial" w:cs="Arial"/>
          <w:noProof/>
          <w:sz w:val="20"/>
        </w:rPr>
        <w:t xml:space="preserve">; </w:t>
      </w:r>
      <w:r w:rsidR="00141A95" w:rsidRPr="00141A95">
        <w:rPr>
          <w:rFonts w:ascii="Arial" w:hAnsi="Arial" w:cs="Arial"/>
          <w:noProof/>
          <w:sz w:val="20"/>
        </w:rPr>
        <w:t>европейската публична администрация</w:t>
      </w:r>
      <w:r w:rsidR="00141A95">
        <w:rPr>
          <w:rFonts w:ascii="Arial" w:hAnsi="Arial" w:cs="Arial"/>
          <w:noProof/>
          <w:sz w:val="20"/>
        </w:rPr>
        <w:t xml:space="preserve">. </w:t>
      </w:r>
      <w:r w:rsidR="0024496F">
        <w:rPr>
          <w:rFonts w:ascii="Arial" w:hAnsi="Arial" w:cs="Arial"/>
          <w:noProof/>
          <w:sz w:val="20"/>
        </w:rPr>
        <w:t>Подробна информация можете да видите в Приложение 1.</w:t>
      </w:r>
    </w:p>
    <w:p w:rsidR="0072576F" w:rsidRDefault="0072576F" w:rsidP="008B7A95">
      <w:pPr>
        <w:jc w:val="both"/>
        <w:outlineLvl w:val="0"/>
        <w:rPr>
          <w:rFonts w:ascii="Arial" w:hAnsi="Arial" w:cs="Arial"/>
          <w:noProof/>
          <w:sz w:val="20"/>
        </w:rPr>
      </w:pPr>
    </w:p>
    <w:p w:rsidR="0072576F" w:rsidRPr="00D3658D" w:rsidRDefault="00D3658D" w:rsidP="008B7A95">
      <w:pPr>
        <w:jc w:val="both"/>
        <w:rPr>
          <w:rFonts w:ascii="Arial" w:hAnsi="Arial" w:cs="Arial"/>
          <w:noProof/>
          <w:sz w:val="20"/>
        </w:rPr>
      </w:pPr>
      <w:r>
        <w:rPr>
          <w:rFonts w:ascii="Arial" w:hAnsi="Arial" w:cs="Arial"/>
          <w:b/>
          <w:noProof/>
          <w:sz w:val="20"/>
        </w:rPr>
        <w:lastRenderedPageBreak/>
        <w:t>2</w:t>
      </w:r>
      <w:r w:rsidR="0072576F" w:rsidRPr="00210A29">
        <w:rPr>
          <w:rFonts w:ascii="Arial" w:hAnsi="Arial" w:cs="Arial"/>
          <w:b/>
          <w:noProof/>
          <w:sz w:val="20"/>
        </w:rPr>
        <w:t>.</w:t>
      </w:r>
      <w:r w:rsidR="0072576F" w:rsidRPr="00292138">
        <w:rPr>
          <w:rFonts w:ascii="Arial" w:hAnsi="Arial" w:cs="Arial"/>
          <w:noProof/>
          <w:sz w:val="20"/>
        </w:rPr>
        <w:t xml:space="preserve"> </w:t>
      </w:r>
      <w:r w:rsidR="0072576F">
        <w:rPr>
          <w:rFonts w:ascii="Arial" w:hAnsi="Arial" w:cs="Arial"/>
          <w:b/>
          <w:noProof/>
          <w:sz w:val="20"/>
        </w:rPr>
        <w:t>Н</w:t>
      </w:r>
      <w:r w:rsidR="0072576F" w:rsidRPr="00292138">
        <w:rPr>
          <w:rFonts w:ascii="Arial" w:hAnsi="Arial" w:cs="Arial"/>
          <w:b/>
          <w:noProof/>
          <w:sz w:val="20"/>
        </w:rPr>
        <w:t xml:space="preserve">а 23 юли Европейският парламент (ЕП) прие резолюция, </w:t>
      </w:r>
      <w:r w:rsidR="0072576F">
        <w:rPr>
          <w:rFonts w:ascii="Arial" w:hAnsi="Arial" w:cs="Arial"/>
          <w:b/>
          <w:noProof/>
          <w:sz w:val="20"/>
        </w:rPr>
        <w:t>с</w:t>
      </w:r>
      <w:r w:rsidR="0072576F" w:rsidRPr="00292138">
        <w:rPr>
          <w:rFonts w:ascii="Arial" w:hAnsi="Arial" w:cs="Arial"/>
          <w:b/>
          <w:noProof/>
          <w:sz w:val="20"/>
        </w:rPr>
        <w:t xml:space="preserve"> която се отбелязва, че не приема политическото споразумение относно МФР за периода 2021 – 2027 г. в настоящия му вид и изразява готовност да започне незабавно конструктивни преговори със Съвета за подобряване на предложението</w:t>
      </w:r>
      <w:r w:rsidR="0072576F">
        <w:rPr>
          <w:rFonts w:ascii="Arial" w:hAnsi="Arial" w:cs="Arial"/>
          <w:noProof/>
          <w:sz w:val="20"/>
        </w:rPr>
        <w:t>. ЕП прие резолюцията веднага с</w:t>
      </w:r>
      <w:r w:rsidR="0072576F" w:rsidRPr="00292138">
        <w:rPr>
          <w:rFonts w:ascii="Arial" w:hAnsi="Arial" w:cs="Arial"/>
          <w:noProof/>
          <w:sz w:val="20"/>
        </w:rPr>
        <w:t xml:space="preserve">лед </w:t>
      </w:r>
      <w:r w:rsidR="0072576F">
        <w:rPr>
          <w:rFonts w:ascii="Arial" w:hAnsi="Arial" w:cs="Arial"/>
          <w:noProof/>
          <w:sz w:val="20"/>
        </w:rPr>
        <w:t>приключване</w:t>
      </w:r>
      <w:r w:rsidR="0072576F" w:rsidRPr="00292138">
        <w:rPr>
          <w:rFonts w:ascii="Arial" w:hAnsi="Arial" w:cs="Arial"/>
          <w:noProof/>
          <w:sz w:val="20"/>
        </w:rPr>
        <w:t xml:space="preserve"> на извънредното заседание на Европей</w:t>
      </w:r>
      <w:r w:rsidR="0072576F">
        <w:rPr>
          <w:rFonts w:ascii="Arial" w:hAnsi="Arial" w:cs="Arial"/>
          <w:noProof/>
          <w:sz w:val="20"/>
        </w:rPr>
        <w:t>ския съвет от</w:t>
      </w:r>
      <w:r w:rsidR="0072576F" w:rsidRPr="00292138">
        <w:rPr>
          <w:rFonts w:ascii="Arial" w:hAnsi="Arial" w:cs="Arial"/>
          <w:noProof/>
          <w:sz w:val="20"/>
        </w:rPr>
        <w:t xml:space="preserve"> 17–21 юли 2020 г., на което лидерите от ЕС договориха пакета за възстановяване и бю</w:t>
      </w:r>
      <w:r w:rsidR="0072576F">
        <w:rPr>
          <w:rFonts w:ascii="Arial" w:hAnsi="Arial" w:cs="Arial"/>
          <w:noProof/>
          <w:sz w:val="20"/>
        </w:rPr>
        <w:t>джета за периода 2021 – 2027 г. С</w:t>
      </w:r>
      <w:r w:rsidR="0072576F" w:rsidRPr="00292138">
        <w:rPr>
          <w:rFonts w:ascii="Arial" w:hAnsi="Arial" w:cs="Arial"/>
          <w:noProof/>
          <w:sz w:val="20"/>
        </w:rPr>
        <w:t xml:space="preserve">ъгласно член 312 от Договора за функциониране на Европейския съюз (ДФЕС) ЕП трябва </w:t>
      </w:r>
      <w:r w:rsidR="0072576F">
        <w:rPr>
          <w:rFonts w:ascii="Arial" w:hAnsi="Arial" w:cs="Arial"/>
          <w:noProof/>
          <w:sz w:val="20"/>
        </w:rPr>
        <w:t xml:space="preserve">да даде одобрението си за МФР. </w:t>
      </w:r>
      <w:r w:rsidR="0072576F" w:rsidRPr="00292138">
        <w:rPr>
          <w:rFonts w:ascii="Arial" w:hAnsi="Arial" w:cs="Arial"/>
          <w:noProof/>
          <w:color w:val="202736"/>
          <w:sz w:val="20"/>
        </w:rPr>
        <w:t xml:space="preserve">В </w:t>
      </w:r>
      <w:r w:rsidR="0072576F">
        <w:rPr>
          <w:rFonts w:ascii="Arial" w:hAnsi="Arial" w:cs="Arial"/>
          <w:noProof/>
          <w:color w:val="202736"/>
          <w:sz w:val="20"/>
        </w:rPr>
        <w:t>резолюцията</w:t>
      </w:r>
      <w:r w:rsidR="0072576F" w:rsidRPr="00292138">
        <w:rPr>
          <w:rFonts w:ascii="Arial" w:hAnsi="Arial" w:cs="Arial"/>
          <w:noProof/>
          <w:color w:val="202736"/>
          <w:sz w:val="20"/>
        </w:rPr>
        <w:t xml:space="preserve"> се напомня, че заключенията на Европейския съвет относно МФР не представляват нищо повече от политическо споразумение между държавните и правителствените ръководители и се подчертава, че ЕП няма да парафира това решение като свършен факт</w:t>
      </w:r>
      <w:r w:rsidR="0072576F">
        <w:rPr>
          <w:rFonts w:ascii="Arial" w:hAnsi="Arial" w:cs="Arial"/>
          <w:noProof/>
          <w:color w:val="202736"/>
          <w:sz w:val="20"/>
        </w:rPr>
        <w:t>. ЕП</w:t>
      </w:r>
      <w:r w:rsidR="0072576F" w:rsidRPr="00292138">
        <w:rPr>
          <w:rFonts w:ascii="Arial" w:hAnsi="Arial" w:cs="Arial"/>
          <w:noProof/>
          <w:color w:val="202736"/>
          <w:sz w:val="20"/>
        </w:rPr>
        <w:t xml:space="preserve"> е готов да оттегли одобрението си за МФР, докато не бъде постигнато задоволително споразумение в предстоящите преговори между ЕП и Съвета. Евродепутатите припомнят, че всичките 40 програми на ЕС, финансирани по линия на МФР, ще трябва да бъдат одо</w:t>
      </w:r>
      <w:r w:rsidR="0072576F">
        <w:rPr>
          <w:rFonts w:ascii="Arial" w:hAnsi="Arial" w:cs="Arial"/>
          <w:noProof/>
          <w:color w:val="202736"/>
          <w:sz w:val="20"/>
        </w:rPr>
        <w:t xml:space="preserve">брени от ЕП като съзаконодател. </w:t>
      </w:r>
      <w:r w:rsidR="0072576F" w:rsidRPr="00292138">
        <w:rPr>
          <w:rFonts w:ascii="Arial" w:hAnsi="Arial" w:cs="Arial"/>
          <w:noProof/>
          <w:color w:val="202736"/>
          <w:sz w:val="20"/>
        </w:rPr>
        <w:t xml:space="preserve">ЕП изразява дълбоко съжаление във връзка с факта, че Европейският съвет значително отслаби усилията на ЕК и ЕП да защитават принципите на правовата държава, </w:t>
      </w:r>
      <w:r w:rsidR="0072576F">
        <w:rPr>
          <w:rFonts w:ascii="Arial" w:hAnsi="Arial" w:cs="Arial"/>
          <w:noProof/>
          <w:color w:val="202736"/>
          <w:sz w:val="20"/>
        </w:rPr>
        <w:t>основните права и демокрацията. ЕП отбелязва със съжаление</w:t>
      </w:r>
      <w:r w:rsidR="0072576F" w:rsidRPr="00292138">
        <w:rPr>
          <w:rFonts w:ascii="Arial" w:hAnsi="Arial" w:cs="Arial"/>
          <w:noProof/>
          <w:color w:val="202736"/>
          <w:sz w:val="20"/>
        </w:rPr>
        <w:t>, че твърде често изключителното придържане към националните интереси и позиции застрашава постигането на съвместни решения, които са от общ интерес. Предупреждава, че съкращенията в МФР са в противоречие с целите на ЕС и счита например, че предложените съкращения в програмите в областта на здравеопазването и научните изследвания са опасни в контекста на световна пандемия</w:t>
      </w:r>
      <w:r w:rsidR="0072576F">
        <w:rPr>
          <w:rFonts w:ascii="Arial" w:hAnsi="Arial" w:cs="Arial"/>
          <w:noProof/>
          <w:color w:val="202736"/>
          <w:sz w:val="20"/>
        </w:rPr>
        <w:t>. П</w:t>
      </w:r>
      <w:r w:rsidR="0072576F" w:rsidRPr="00292138">
        <w:rPr>
          <w:rFonts w:ascii="Arial" w:hAnsi="Arial" w:cs="Arial"/>
          <w:noProof/>
          <w:color w:val="202736"/>
          <w:sz w:val="20"/>
        </w:rPr>
        <w:t>редложените съкращения в областта на образованието, цифровата трансформация и иновациите застрашават бъдещето на следващото поколение европейци. Съкращения на програмите в подкрепа на прехода на зависими от въглерода региони са в противоречие с програмата на ЕС, свързана със Зеления пакт</w:t>
      </w:r>
      <w:r w:rsidR="0072576F">
        <w:rPr>
          <w:rFonts w:ascii="Arial" w:hAnsi="Arial" w:cs="Arial"/>
          <w:noProof/>
          <w:color w:val="202736"/>
          <w:sz w:val="20"/>
        </w:rPr>
        <w:t>, а с</w:t>
      </w:r>
      <w:r w:rsidR="0072576F" w:rsidRPr="00292138">
        <w:rPr>
          <w:rFonts w:ascii="Arial" w:hAnsi="Arial" w:cs="Arial"/>
          <w:noProof/>
          <w:color w:val="202736"/>
          <w:sz w:val="20"/>
        </w:rPr>
        <w:t>ъкращения</w:t>
      </w:r>
      <w:r w:rsidR="0072576F">
        <w:rPr>
          <w:rFonts w:ascii="Arial" w:hAnsi="Arial" w:cs="Arial"/>
          <w:noProof/>
          <w:color w:val="202736"/>
          <w:sz w:val="20"/>
        </w:rPr>
        <w:t>та</w:t>
      </w:r>
      <w:r w:rsidR="0072576F" w:rsidRPr="00292138">
        <w:rPr>
          <w:rFonts w:ascii="Arial" w:hAnsi="Arial" w:cs="Arial"/>
          <w:noProof/>
          <w:color w:val="202736"/>
          <w:sz w:val="20"/>
        </w:rPr>
        <w:t xml:space="preserve"> в областта на убежището, миграцията и управлението на границите застрашават позицията на ЕС в един все по-нестабилен и несигурен свят.</w:t>
      </w:r>
      <w:r w:rsidR="0072576F">
        <w:rPr>
          <w:rFonts w:ascii="Arial" w:hAnsi="Arial" w:cs="Arial"/>
          <w:noProof/>
          <w:color w:val="202736"/>
          <w:sz w:val="20"/>
        </w:rPr>
        <w:t xml:space="preserve"> </w:t>
      </w:r>
      <w:r w:rsidR="0072576F" w:rsidRPr="00292138">
        <w:rPr>
          <w:rFonts w:ascii="Arial" w:hAnsi="Arial" w:cs="Arial"/>
          <w:noProof/>
          <w:color w:val="202736"/>
          <w:sz w:val="20"/>
        </w:rPr>
        <w:t xml:space="preserve">Същият ден председателят на Европейския съвет Шарл Мишел и председателят на ЕК Урсула фон дер Лайен взеха участие в извънредната пленарна сесия на ЕП със съобщение за резултатите от извънредното заседание на Европейския съвет и в състоялите се дебати. </w:t>
      </w:r>
    </w:p>
    <w:p w:rsidR="0072576F" w:rsidRDefault="0072576F" w:rsidP="008B7A95">
      <w:pPr>
        <w:jc w:val="both"/>
        <w:rPr>
          <w:rFonts w:ascii="Arial" w:hAnsi="Arial" w:cs="Arial"/>
          <w:b/>
          <w:sz w:val="20"/>
        </w:rPr>
      </w:pPr>
      <w:bookmarkStart w:id="0" w:name="_GoBack"/>
      <w:bookmarkEnd w:id="0"/>
    </w:p>
    <w:p w:rsidR="0024496F" w:rsidRPr="008B7A95" w:rsidRDefault="0024496F" w:rsidP="008B7A95">
      <w:pPr>
        <w:jc w:val="right"/>
        <w:rPr>
          <w:rFonts w:ascii="Arial" w:hAnsi="Arial" w:cs="Arial"/>
          <w:b/>
          <w:i/>
          <w:sz w:val="20"/>
        </w:rPr>
      </w:pPr>
      <w:r w:rsidRPr="008B7A95">
        <w:rPr>
          <w:rFonts w:ascii="Arial" w:hAnsi="Arial" w:cs="Arial"/>
          <w:b/>
          <w:i/>
          <w:sz w:val="20"/>
        </w:rPr>
        <w:t>Приложение 1</w:t>
      </w:r>
    </w:p>
    <w:p w:rsidR="0024496F" w:rsidRDefault="0024496F" w:rsidP="008B7A95">
      <w:pPr>
        <w:jc w:val="both"/>
        <w:rPr>
          <w:rFonts w:ascii="Arial" w:hAnsi="Arial" w:cs="Arial"/>
          <w:b/>
          <w:sz w:val="20"/>
        </w:rPr>
      </w:pPr>
    </w:p>
    <w:p w:rsidR="0072576F" w:rsidRPr="001C5BC3" w:rsidRDefault="0072576F" w:rsidP="008B7A95">
      <w:pPr>
        <w:jc w:val="center"/>
        <w:rPr>
          <w:rFonts w:asciiTheme="minorHAnsi" w:hAnsiTheme="minorHAnsi"/>
          <w:b/>
        </w:rPr>
      </w:pPr>
      <w:r w:rsidRPr="001C5BC3">
        <w:rPr>
          <w:rFonts w:asciiTheme="minorHAnsi" w:hAnsiTheme="minorHAnsi"/>
          <w:b/>
        </w:rPr>
        <w:t>Основни резултати от и</w:t>
      </w:r>
      <w:r w:rsidRPr="001C5BC3">
        <w:rPr>
          <w:rFonts w:asciiTheme="minorHAnsi" w:hAnsiTheme="minorHAnsi" w:hint="eastAsia"/>
          <w:b/>
        </w:rPr>
        <w:t>звънредно</w:t>
      </w:r>
      <w:r w:rsidRPr="001C5BC3">
        <w:rPr>
          <w:rFonts w:asciiTheme="minorHAnsi" w:hAnsiTheme="minorHAnsi"/>
          <w:b/>
        </w:rPr>
        <w:t xml:space="preserve">то </w:t>
      </w:r>
      <w:r w:rsidRPr="001C5BC3">
        <w:rPr>
          <w:rFonts w:asciiTheme="minorHAnsi" w:hAnsiTheme="minorHAnsi" w:hint="eastAsia"/>
          <w:b/>
        </w:rPr>
        <w:t>заседание</w:t>
      </w:r>
      <w:r w:rsidRPr="001C5BC3">
        <w:rPr>
          <w:rFonts w:asciiTheme="minorHAnsi" w:hAnsiTheme="minorHAnsi"/>
          <w:b/>
        </w:rPr>
        <w:t xml:space="preserve"> </w:t>
      </w:r>
      <w:r w:rsidRPr="001C5BC3">
        <w:rPr>
          <w:rFonts w:asciiTheme="minorHAnsi" w:hAnsiTheme="minorHAnsi" w:hint="eastAsia"/>
          <w:b/>
        </w:rPr>
        <w:t>на</w:t>
      </w:r>
      <w:r w:rsidRPr="001C5BC3">
        <w:rPr>
          <w:rFonts w:asciiTheme="minorHAnsi" w:hAnsiTheme="minorHAnsi"/>
          <w:b/>
        </w:rPr>
        <w:t xml:space="preserve"> </w:t>
      </w:r>
      <w:r w:rsidRPr="001C5BC3">
        <w:rPr>
          <w:rFonts w:asciiTheme="minorHAnsi" w:hAnsiTheme="minorHAnsi" w:hint="eastAsia"/>
          <w:b/>
        </w:rPr>
        <w:t>Европейския</w:t>
      </w:r>
      <w:r w:rsidRPr="001C5BC3">
        <w:rPr>
          <w:rFonts w:asciiTheme="minorHAnsi" w:hAnsiTheme="minorHAnsi"/>
          <w:b/>
        </w:rPr>
        <w:t xml:space="preserve"> </w:t>
      </w:r>
      <w:r w:rsidRPr="001C5BC3">
        <w:rPr>
          <w:rFonts w:asciiTheme="minorHAnsi" w:hAnsiTheme="minorHAnsi" w:hint="eastAsia"/>
          <w:b/>
        </w:rPr>
        <w:t>съвет</w:t>
      </w:r>
      <w:r w:rsidRPr="001C5BC3">
        <w:rPr>
          <w:rFonts w:asciiTheme="minorHAnsi" w:hAnsiTheme="minorHAnsi"/>
          <w:b/>
        </w:rPr>
        <w:t xml:space="preserve">, 17–21 </w:t>
      </w:r>
      <w:r w:rsidRPr="001C5BC3">
        <w:rPr>
          <w:rFonts w:asciiTheme="minorHAnsi" w:hAnsiTheme="minorHAnsi" w:hint="eastAsia"/>
          <w:b/>
        </w:rPr>
        <w:t>юли</w:t>
      </w:r>
      <w:r w:rsidRPr="001C5BC3">
        <w:rPr>
          <w:rFonts w:asciiTheme="minorHAnsi" w:hAnsiTheme="minorHAnsi"/>
          <w:b/>
        </w:rPr>
        <w:t xml:space="preserve"> 2020 </w:t>
      </w:r>
      <w:r w:rsidRPr="001C5BC3">
        <w:rPr>
          <w:rFonts w:asciiTheme="minorHAnsi" w:hAnsiTheme="minorHAnsi" w:hint="eastAsia"/>
          <w:b/>
        </w:rPr>
        <w:t>г</w:t>
      </w:r>
      <w:r w:rsidRPr="001C5BC3">
        <w:rPr>
          <w:rFonts w:asciiTheme="minorHAnsi" w:hAnsiTheme="minorHAnsi"/>
          <w:b/>
        </w:rPr>
        <w:t>.</w:t>
      </w:r>
    </w:p>
    <w:p w:rsidR="0072576F" w:rsidRDefault="0072576F" w:rsidP="008B7A95">
      <w:pPr>
        <w:jc w:val="both"/>
        <w:rPr>
          <w:rFonts w:asciiTheme="minorHAnsi" w:hAnsiTheme="minorHAnsi"/>
        </w:rPr>
      </w:pPr>
    </w:p>
    <w:p w:rsidR="00617956" w:rsidRPr="00292138" w:rsidRDefault="00D3658D" w:rsidP="008B7A95">
      <w:pPr>
        <w:jc w:val="both"/>
        <w:rPr>
          <w:rFonts w:ascii="Arial" w:hAnsi="Arial" w:cs="Arial"/>
          <w:sz w:val="20"/>
        </w:rPr>
      </w:pPr>
      <w:hyperlink r:id="rId9" w:tooltip="Дългосрочен бюджет на ЕС за 2021 – 2027 г. (обща информация)" w:history="1"/>
      <w:r w:rsidR="00617956" w:rsidRPr="00292138">
        <w:rPr>
          <w:rFonts w:ascii="Arial" w:hAnsi="Arial" w:cs="Arial"/>
          <w:b/>
          <w:bCs/>
          <w:sz w:val="20"/>
        </w:rPr>
        <w:t>Фонд за възстановяване</w:t>
      </w:r>
      <w:r w:rsidR="00617956" w:rsidRPr="00292138">
        <w:rPr>
          <w:rFonts w:ascii="Arial" w:hAnsi="Arial" w:cs="Arial"/>
          <w:sz w:val="20"/>
        </w:rPr>
        <w:t xml:space="preserve"> NGEU</w:t>
      </w:r>
      <w:r w:rsidR="0072576F">
        <w:rPr>
          <w:rFonts w:ascii="Arial" w:hAnsi="Arial" w:cs="Arial"/>
          <w:sz w:val="20"/>
        </w:rPr>
        <w:t>-</w:t>
      </w:r>
      <w:r w:rsidR="00617956" w:rsidRPr="00292138">
        <w:rPr>
          <w:rFonts w:ascii="Arial" w:hAnsi="Arial" w:cs="Arial"/>
          <w:sz w:val="20"/>
        </w:rPr>
        <w:t xml:space="preserve"> ще осигури на Съюза необходимите средства за справяне с предизвикателствата, свързани с пандемията от COVID-19. Съгласно споразумението Европейската комисия (ЕК) ще може да получи заеми на капиталовите пазари в размер до </w:t>
      </w:r>
      <w:r w:rsidR="00617956" w:rsidRPr="0072576F">
        <w:rPr>
          <w:rFonts w:ascii="Arial" w:hAnsi="Arial" w:cs="Arial"/>
          <w:bCs/>
          <w:sz w:val="20"/>
        </w:rPr>
        <w:t>750 милиарда евро</w:t>
      </w:r>
      <w:r w:rsidR="00617956" w:rsidRPr="00292138">
        <w:rPr>
          <w:rFonts w:ascii="Arial" w:hAnsi="Arial" w:cs="Arial"/>
          <w:sz w:val="20"/>
        </w:rPr>
        <w:t xml:space="preserve">, които ще бъдат изплатени до 2058 г. </w:t>
      </w:r>
      <w:r w:rsidR="00617956" w:rsidRPr="0072576F">
        <w:rPr>
          <w:rFonts w:ascii="Arial" w:hAnsi="Arial" w:cs="Arial"/>
          <w:sz w:val="20"/>
        </w:rPr>
        <w:t>Заемните средства може да се използват за предоставяне на заеми на ДЧ в размер до 360 млрд. евро и за разходи (грантове) в размер до 390 млрд. евро по цени от 2018</w:t>
      </w:r>
      <w:r w:rsidR="00617956" w:rsidRPr="00292138">
        <w:rPr>
          <w:rFonts w:ascii="Arial" w:hAnsi="Arial" w:cs="Arial"/>
          <w:b/>
          <w:sz w:val="20"/>
        </w:rPr>
        <w:t xml:space="preserve"> г.</w:t>
      </w:r>
      <w:r w:rsidR="00617956" w:rsidRPr="00292138">
        <w:rPr>
          <w:rFonts w:ascii="Arial" w:hAnsi="Arial" w:cs="Arial"/>
          <w:sz w:val="20"/>
        </w:rPr>
        <w:t xml:space="preserve"> Сумите по линия на NGEU ще бъдат разпределени за седем отделни програми: Механизъм за възстановяване и устойчивост: 672,5 млрд. евро (заеми: 360 млрд. евро, грантове: 312,5 млрд. евро), </w:t>
      </w:r>
      <w:proofErr w:type="spellStart"/>
      <w:r w:rsidR="00617956" w:rsidRPr="00292138">
        <w:rPr>
          <w:rFonts w:ascii="Arial" w:hAnsi="Arial" w:cs="Arial"/>
          <w:sz w:val="20"/>
        </w:rPr>
        <w:t>ReactEU</w:t>
      </w:r>
      <w:proofErr w:type="spellEnd"/>
      <w:r w:rsidR="00617956" w:rsidRPr="00292138">
        <w:rPr>
          <w:rFonts w:ascii="Arial" w:hAnsi="Arial" w:cs="Arial"/>
          <w:sz w:val="20"/>
        </w:rPr>
        <w:t xml:space="preserve">: 47,5 млрд. евро, „Хоризонт Европа“: 5 млрд. евро, </w:t>
      </w:r>
      <w:proofErr w:type="spellStart"/>
      <w:r w:rsidR="00617956" w:rsidRPr="00292138">
        <w:rPr>
          <w:rFonts w:ascii="Arial" w:hAnsi="Arial" w:cs="Arial"/>
          <w:sz w:val="20"/>
        </w:rPr>
        <w:t>InvestEU</w:t>
      </w:r>
      <w:proofErr w:type="spellEnd"/>
      <w:r w:rsidR="00617956" w:rsidRPr="00292138">
        <w:rPr>
          <w:rFonts w:ascii="Arial" w:hAnsi="Arial" w:cs="Arial"/>
          <w:sz w:val="20"/>
        </w:rPr>
        <w:t xml:space="preserve">: 5,6 млрд. евро, Развитие на селските райони: 7,5 млрд. евро, Фонд за справедлив преход (ФСП): 10 млрд. евро и </w:t>
      </w:r>
      <w:proofErr w:type="spellStart"/>
      <w:r w:rsidR="00617956" w:rsidRPr="00292138">
        <w:rPr>
          <w:rFonts w:ascii="Arial" w:hAnsi="Arial" w:cs="Arial"/>
          <w:sz w:val="20"/>
        </w:rPr>
        <w:t>RescEU</w:t>
      </w:r>
      <w:proofErr w:type="spellEnd"/>
      <w:r w:rsidR="00617956" w:rsidRPr="00292138">
        <w:rPr>
          <w:rFonts w:ascii="Arial" w:hAnsi="Arial" w:cs="Arial"/>
          <w:sz w:val="20"/>
        </w:rPr>
        <w:t>: 1,9 млрд. евро</w:t>
      </w:r>
      <w:r w:rsidR="0072576F">
        <w:rPr>
          <w:rFonts w:ascii="Arial" w:hAnsi="Arial" w:cs="Arial"/>
          <w:sz w:val="20"/>
        </w:rPr>
        <w:t>.</w:t>
      </w:r>
    </w:p>
    <w:p w:rsidR="00617956" w:rsidRPr="00292138" w:rsidRDefault="00617956" w:rsidP="008B7A95">
      <w:pPr>
        <w:jc w:val="both"/>
        <w:rPr>
          <w:rFonts w:ascii="Arial" w:hAnsi="Arial" w:cs="Arial"/>
          <w:sz w:val="20"/>
        </w:rPr>
      </w:pPr>
      <w:r w:rsidRPr="00292138">
        <w:rPr>
          <w:rFonts w:ascii="Arial" w:hAnsi="Arial" w:cs="Arial"/>
          <w:sz w:val="20"/>
        </w:rPr>
        <w:t>30% от общите разходи по линия на МФР и NGEU ще бъдат насочени към </w:t>
      </w:r>
      <w:r w:rsidRPr="00292138">
        <w:rPr>
          <w:rFonts w:ascii="Arial" w:hAnsi="Arial" w:cs="Arial"/>
          <w:b/>
          <w:bCs/>
          <w:sz w:val="20"/>
        </w:rPr>
        <w:t>проекти, свързани с климата</w:t>
      </w:r>
      <w:r w:rsidRPr="00292138">
        <w:rPr>
          <w:rFonts w:ascii="Arial" w:hAnsi="Arial" w:cs="Arial"/>
          <w:sz w:val="20"/>
        </w:rPr>
        <w:t xml:space="preserve">. </w:t>
      </w:r>
    </w:p>
    <w:p w:rsidR="00617956" w:rsidRPr="00292138" w:rsidRDefault="00617956" w:rsidP="008B7A95">
      <w:pPr>
        <w:jc w:val="both"/>
        <w:rPr>
          <w:rFonts w:ascii="Arial" w:hAnsi="Arial" w:cs="Arial"/>
          <w:sz w:val="20"/>
        </w:rPr>
      </w:pPr>
      <w:r w:rsidRPr="00292138">
        <w:rPr>
          <w:rFonts w:ascii="Arial" w:hAnsi="Arial" w:cs="Arial"/>
          <w:color w:val="000000"/>
          <w:sz w:val="20"/>
        </w:rPr>
        <w:t xml:space="preserve">Предвиденият </w:t>
      </w:r>
      <w:r w:rsidRPr="00292138">
        <w:rPr>
          <w:rFonts w:ascii="Arial" w:hAnsi="Arial" w:cs="Arial"/>
          <w:b/>
          <w:color w:val="000000"/>
          <w:sz w:val="20"/>
        </w:rPr>
        <w:t>бюджет за ОСП</w:t>
      </w:r>
      <w:r w:rsidRPr="00292138">
        <w:rPr>
          <w:rFonts w:ascii="Arial" w:hAnsi="Arial" w:cs="Arial"/>
          <w:color w:val="000000"/>
          <w:sz w:val="20"/>
        </w:rPr>
        <w:t xml:space="preserve"> за периода 2021-2027 г. възлиза на 343,95 милиарда евро (по съпоставими цени от 2018 г.), от които 258,594 милиарда евро за 1-ви стълб и 77,85 милиарда евро за 2-ри стълб. Съгласно плана на ЕС за икономическо възстановяване след 2020 г. 7,5 милиарда евро ще бъдат добавени към бюджета на 2-ри стълб. Секторът ще трябва да се изправи пред „повече предизвикателства с по-малко бюджет“.</w:t>
      </w:r>
      <w:r w:rsidRPr="00292138">
        <w:rPr>
          <w:rFonts w:ascii="Arial" w:hAnsi="Arial" w:cs="Arial"/>
          <w:sz w:val="20"/>
        </w:rPr>
        <w:t xml:space="preserve"> Директните плащания (ДП) съгласно Регламент (ЕС) № 1307/2013 и съгласно Регламента за стратегическите планове по ОСП няма да надвишават 239 916 млн. евро.</w:t>
      </w:r>
    </w:p>
    <w:p w:rsidR="00617956" w:rsidRPr="00292138" w:rsidRDefault="00617956" w:rsidP="008B7A95">
      <w:pPr>
        <w:jc w:val="both"/>
        <w:rPr>
          <w:rFonts w:ascii="Arial" w:hAnsi="Arial" w:cs="Arial"/>
          <w:sz w:val="20"/>
        </w:rPr>
      </w:pPr>
      <w:r w:rsidRPr="00292138">
        <w:rPr>
          <w:rFonts w:ascii="Arial" w:hAnsi="Arial" w:cs="Arial"/>
          <w:sz w:val="20"/>
        </w:rPr>
        <w:t xml:space="preserve">В рамките на ОСП по 1-ви стълб ще продължи </w:t>
      </w:r>
      <w:r w:rsidRPr="00292138">
        <w:rPr>
          <w:rFonts w:ascii="Arial" w:hAnsi="Arial" w:cs="Arial"/>
          <w:b/>
          <w:sz w:val="20"/>
        </w:rPr>
        <w:t>външното сближаване (конвергенция)</w:t>
      </w:r>
      <w:r w:rsidRPr="00292138">
        <w:rPr>
          <w:rFonts w:ascii="Arial" w:hAnsi="Arial" w:cs="Arial"/>
          <w:sz w:val="20"/>
        </w:rPr>
        <w:t xml:space="preserve"> на ДП. Всички държави членки (ДЧ) с ДП на хектар под 90% от средната стойност за ЕС ще намалят с 50% разликата между средното равнище на своите текущи директни плащания и 90 % от средната стойност за ЕС на шест равни стъпки, започвайки през 2022 г. Това сближаване ще бъде финансирано пропорционално от всички ДЧ. В допълнение всички ДЧ ще разполагат с равнище от поне 200 евро на хектар, като ще трябва да достигнат ниво от поне 215 евро на хектар до 2027 г.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На доброволен принцип ще бъде въведена </w:t>
      </w:r>
      <w:r w:rsidRPr="00292138">
        <w:rPr>
          <w:b/>
          <w:color w:val="auto"/>
          <w:sz w:val="20"/>
          <w:szCs w:val="20"/>
          <w:lang w:val="bg-BG"/>
        </w:rPr>
        <w:t>горна граница на директните плащания от 100 000 евро</w:t>
      </w:r>
      <w:r w:rsidRPr="00292138">
        <w:rPr>
          <w:color w:val="auto"/>
          <w:sz w:val="20"/>
          <w:szCs w:val="20"/>
          <w:lang w:val="bg-BG"/>
        </w:rPr>
        <w:t xml:space="preserve"> за големите бенефициенти. Тя ще се прилага само за основното подпомагане на доходите за устойчивост (BISS). При прилагането на горната граница ДЧ ще могат да приспадат от сумата на основното подпомагане на всеки бенефициент всички разходи, свързани с работната сила. </w:t>
      </w:r>
    </w:p>
    <w:p w:rsidR="00617956" w:rsidRPr="00292138" w:rsidRDefault="00617956" w:rsidP="008B7A95">
      <w:pPr>
        <w:pStyle w:val="Default"/>
        <w:jc w:val="both"/>
        <w:rPr>
          <w:color w:val="auto"/>
          <w:sz w:val="20"/>
          <w:szCs w:val="20"/>
          <w:lang w:val="bg-BG"/>
        </w:rPr>
      </w:pPr>
      <w:r w:rsidRPr="00292138">
        <w:rPr>
          <w:color w:val="auto"/>
          <w:sz w:val="20"/>
          <w:szCs w:val="20"/>
          <w:lang w:val="bg-BG"/>
        </w:rPr>
        <w:t xml:space="preserve">В началото на всяка година в рамките на Европейския фонд за гарантиране на земеделието (ЕФГЗ) се създава </w:t>
      </w:r>
      <w:r w:rsidRPr="00292138">
        <w:rPr>
          <w:b/>
          <w:color w:val="auto"/>
          <w:sz w:val="20"/>
          <w:szCs w:val="20"/>
          <w:lang w:val="bg-BG"/>
        </w:rPr>
        <w:t>резерв,</w:t>
      </w:r>
      <w:r w:rsidRPr="00292138">
        <w:rPr>
          <w:color w:val="auto"/>
          <w:sz w:val="20"/>
          <w:szCs w:val="20"/>
          <w:lang w:val="bg-BG"/>
        </w:rPr>
        <w:t xml:space="preserve"> чрез който да се оказва подкрепа на селскостопанския сектор с цел пазарно управление или стабилизация или в случай на кризи, засягащи селскостопанското производство или разпределение („селскостопански резерв“). Сумата по селскостопанския резерв е 450 млн. евро по текущи цени в началото на всяка година за периода 2021—2027 г. Неизползваните суми от този резерв през финансовата 2020 година ще бъдат пренесени към финансовата 2021 година с цел формиране на резерва (точните години ще бъдат синхронизирани с преходния период на ОСП).  </w:t>
      </w:r>
    </w:p>
    <w:p w:rsidR="00617956" w:rsidRPr="00292138" w:rsidRDefault="00617956" w:rsidP="008B7A95">
      <w:pPr>
        <w:jc w:val="both"/>
        <w:rPr>
          <w:rFonts w:ascii="Arial" w:hAnsi="Arial" w:cs="Arial"/>
          <w:sz w:val="20"/>
        </w:rPr>
      </w:pPr>
      <w:r w:rsidRPr="00292138">
        <w:rPr>
          <w:rFonts w:ascii="Arial" w:hAnsi="Arial" w:cs="Arial"/>
          <w:b/>
          <w:sz w:val="20"/>
        </w:rPr>
        <w:t>Бюджетните трансфери</w:t>
      </w:r>
      <w:r w:rsidRPr="00292138">
        <w:rPr>
          <w:rFonts w:ascii="Arial" w:hAnsi="Arial" w:cs="Arial"/>
          <w:sz w:val="20"/>
        </w:rPr>
        <w:t xml:space="preserve"> от </w:t>
      </w:r>
      <w:r w:rsidRPr="00292138">
        <w:rPr>
          <w:rFonts w:ascii="Arial" w:hAnsi="Arial" w:cs="Arial"/>
          <w:b/>
          <w:sz w:val="20"/>
        </w:rPr>
        <w:t>1-ви към 2-ри стълб</w:t>
      </w:r>
      <w:r w:rsidRPr="00292138">
        <w:rPr>
          <w:rFonts w:ascii="Arial" w:hAnsi="Arial" w:cs="Arial"/>
          <w:sz w:val="20"/>
        </w:rPr>
        <w:t xml:space="preserve"> на ОСП ще бъдат до 42%, като с 25% ще се финансират всяко действие, избрано от 2-ри стълб, 15% за финансиране само на действия в областта на околната среда и 2% за мерки в полза на младите земеделски стопани. Обратно, трансферите от </w:t>
      </w:r>
      <w:r w:rsidRPr="00292138">
        <w:rPr>
          <w:rFonts w:ascii="Arial" w:hAnsi="Arial" w:cs="Arial"/>
          <w:b/>
          <w:sz w:val="20"/>
        </w:rPr>
        <w:t>2-ри към 1-ви стълб</w:t>
      </w:r>
      <w:r w:rsidRPr="00292138">
        <w:rPr>
          <w:rFonts w:ascii="Arial" w:hAnsi="Arial" w:cs="Arial"/>
          <w:sz w:val="20"/>
        </w:rPr>
        <w:t xml:space="preserve"> могат да бъдат до 25% и могат да бъдат увеличени до 30% за ДЧ, чието директно подпомагане под 90% от средното за Европа.</w:t>
      </w:r>
    </w:p>
    <w:p w:rsidR="00617956" w:rsidRPr="00292138" w:rsidRDefault="00617956" w:rsidP="008B7A95">
      <w:pPr>
        <w:jc w:val="both"/>
        <w:rPr>
          <w:rFonts w:ascii="Arial" w:hAnsi="Arial" w:cs="Arial"/>
          <w:sz w:val="20"/>
        </w:rPr>
      </w:pPr>
      <w:r w:rsidRPr="00292138">
        <w:rPr>
          <w:rFonts w:ascii="Arial" w:hAnsi="Arial" w:cs="Arial"/>
          <w:b/>
          <w:sz w:val="20"/>
        </w:rPr>
        <w:t>В рамките на ОСП България ще има достъп до над 7 млрд. евро</w:t>
      </w:r>
      <w:r w:rsidRPr="00292138">
        <w:rPr>
          <w:rFonts w:ascii="Arial" w:hAnsi="Arial" w:cs="Arial"/>
          <w:sz w:val="20"/>
        </w:rPr>
        <w:t>, над 5 от които са за ДП и над 2 млрд. евро за развитие на селските райони (РСР) по предварителни изчисления.</w:t>
      </w:r>
    </w:p>
    <w:p w:rsidR="00617956" w:rsidRPr="00292138" w:rsidRDefault="00617956" w:rsidP="008B7A95">
      <w:pPr>
        <w:jc w:val="both"/>
        <w:rPr>
          <w:rFonts w:ascii="Arial" w:hAnsi="Arial" w:cs="Arial"/>
          <w:sz w:val="20"/>
        </w:rPr>
      </w:pPr>
      <w:r w:rsidRPr="00292138">
        <w:rPr>
          <w:rFonts w:ascii="Arial" w:hAnsi="Arial" w:cs="Arial"/>
          <w:sz w:val="20"/>
        </w:rPr>
        <w:t>Това ще позволи повишаване на средствата за ДП прогнозно с около 5% в сравнение с текущия финансов период и от 5,3 млрд. евро да станат 5,6 млрд. евро, благодарение на прилагането на механизма за външна конвергенция. Прогнозно осредненото плащане на хектар до 2027 г. следва да достигне 219 евро/ха.</w:t>
      </w:r>
    </w:p>
    <w:p w:rsidR="00617956" w:rsidRPr="00292138" w:rsidRDefault="00617956" w:rsidP="008B7A95">
      <w:pPr>
        <w:jc w:val="both"/>
        <w:rPr>
          <w:rFonts w:ascii="Arial" w:hAnsi="Arial" w:cs="Arial"/>
          <w:sz w:val="20"/>
        </w:rPr>
      </w:pPr>
      <w:r w:rsidRPr="00292138">
        <w:rPr>
          <w:rFonts w:ascii="Arial" w:hAnsi="Arial" w:cs="Arial"/>
          <w:sz w:val="20"/>
        </w:rPr>
        <w:t xml:space="preserve">Очакванията са предвиденият финансов ресурс да позволи повишаване на средствата за РСР за България с 250 млн. евро от ЕЗФРСР, или 10% повече в сравнение с първоначалното предложение на ЕК от 2018 г. С увеличението спрямо 2018 г. средствата за ЕЗФРСР от 1.97 млрд. евро достигат  2.2 млрд. евро по текущи цени.  </w:t>
      </w:r>
    </w:p>
    <w:p w:rsidR="0001496E" w:rsidRPr="0002016E" w:rsidRDefault="00617956" w:rsidP="008B7A95">
      <w:pPr>
        <w:jc w:val="both"/>
        <w:rPr>
          <w:rStyle w:val="longtext"/>
          <w:noProof/>
        </w:rPr>
      </w:pPr>
      <w:r w:rsidRPr="00292138">
        <w:rPr>
          <w:rFonts w:ascii="Arial" w:hAnsi="Arial" w:cs="Arial"/>
          <w:sz w:val="20"/>
        </w:rPr>
        <w:t xml:space="preserve">Пакетът за МФР предстои да бъде представен за съгласуване с Европейския парламент.  </w:t>
      </w:r>
    </w:p>
    <w:sectPr w:rsidR="0001496E" w:rsidRPr="0002016E"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20" w:rsidRDefault="008C1A20">
      <w:r>
        <w:separator/>
      </w:r>
    </w:p>
  </w:endnote>
  <w:endnote w:type="continuationSeparator" w:id="0">
    <w:p w:rsidR="008C1A20" w:rsidRDefault="008C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D3658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3658D"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3658D">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D3658D">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20" w:rsidRDefault="008C1A20">
      <w:r>
        <w:separator/>
      </w:r>
    </w:p>
  </w:footnote>
  <w:footnote w:type="continuationSeparator" w:id="0">
    <w:p w:rsidR="008C1A20" w:rsidRDefault="008C1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D3658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D3658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27A50">
      <w:rPr>
        <w:rFonts w:ascii="Arial" w:hAnsi="Arial"/>
        <w:b/>
        <w:bCs/>
        <w:color w:val="800080"/>
        <w:sz w:val="20"/>
        <w:lang w:val="en-US"/>
      </w:rPr>
      <w:t>30</w:t>
    </w:r>
    <w:r>
      <w:rPr>
        <w:rFonts w:ascii="Arial" w:hAnsi="Arial"/>
        <w:b/>
        <w:bCs/>
        <w:color w:val="800080"/>
        <w:sz w:val="20"/>
      </w:rPr>
      <w:t>/</w:t>
    </w:r>
    <w:r w:rsidR="00A741E2">
      <w:rPr>
        <w:rFonts w:ascii="Arial" w:hAnsi="Arial"/>
        <w:b/>
        <w:bCs/>
        <w:color w:val="800080"/>
        <w:sz w:val="20"/>
      </w:rPr>
      <w:t>2</w:t>
    </w:r>
    <w:r w:rsidR="00527A50">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B5ADA"/>
    <w:rsid w:val="005C1BB7"/>
    <w:rsid w:val="005F3548"/>
    <w:rsid w:val="006068B4"/>
    <w:rsid w:val="00617956"/>
    <w:rsid w:val="00623765"/>
    <w:rsid w:val="00626A3F"/>
    <w:rsid w:val="00627881"/>
    <w:rsid w:val="006367A9"/>
    <w:rsid w:val="00642BB6"/>
    <w:rsid w:val="0066444F"/>
    <w:rsid w:val="00667C81"/>
    <w:rsid w:val="006809BC"/>
    <w:rsid w:val="00682667"/>
    <w:rsid w:val="006961F0"/>
    <w:rsid w:val="006A094F"/>
    <w:rsid w:val="006A7391"/>
    <w:rsid w:val="006A739D"/>
    <w:rsid w:val="006C196D"/>
    <w:rsid w:val="006E7A46"/>
    <w:rsid w:val="006F38F7"/>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D504F"/>
    <w:rsid w:val="00AE0D25"/>
    <w:rsid w:val="00AE14FF"/>
    <w:rsid w:val="00AE2FF4"/>
    <w:rsid w:val="00B03285"/>
    <w:rsid w:val="00B16835"/>
    <w:rsid w:val="00B16C07"/>
    <w:rsid w:val="00B200ED"/>
    <w:rsid w:val="00B3223C"/>
    <w:rsid w:val="00B34793"/>
    <w:rsid w:val="00B36E39"/>
    <w:rsid w:val="00B411AC"/>
    <w:rsid w:val="00B539A9"/>
    <w:rsid w:val="00B6207E"/>
    <w:rsid w:val="00B64F87"/>
    <w:rsid w:val="00B73DA3"/>
    <w:rsid w:val="00B81125"/>
    <w:rsid w:val="00B8112B"/>
    <w:rsid w:val="00B853D4"/>
    <w:rsid w:val="00B873EA"/>
    <w:rsid w:val="00B90317"/>
    <w:rsid w:val="00B93F21"/>
    <w:rsid w:val="00BA2A9E"/>
    <w:rsid w:val="00BB4446"/>
    <w:rsid w:val="00BC35B8"/>
    <w:rsid w:val="00BC70E2"/>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304C"/>
    <w:rsid w:val="00CE5641"/>
    <w:rsid w:val="00CE5E69"/>
    <w:rsid w:val="00CE7025"/>
    <w:rsid w:val="00CF0DEA"/>
    <w:rsid w:val="00D000AE"/>
    <w:rsid w:val="00D100BD"/>
    <w:rsid w:val="00D118DE"/>
    <w:rsid w:val="00D1195A"/>
    <w:rsid w:val="00D167B1"/>
    <w:rsid w:val="00D25C9A"/>
    <w:rsid w:val="00D3159B"/>
    <w:rsid w:val="00D32B06"/>
    <w:rsid w:val="00D3658D"/>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5425D"/>
  <w15:docId w15:val="{9A83E24C-96E6-4F14-8213-05DF70E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bg/meetings/european-council/2020/07/17-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ilium.europa.eu/bg/policies/long-term-eu-budget-2021-202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40C4-C75B-4E17-8B2A-CF9B7EA6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1980</Words>
  <Characters>11290</Characters>
  <Application>Microsoft Office Word</Application>
  <DocSecurity>0</DocSecurity>
  <Lines>94</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cp:revision>
  <dcterms:created xsi:type="dcterms:W3CDTF">2020-07-28T06:33:00Z</dcterms:created>
  <dcterms:modified xsi:type="dcterms:W3CDTF">2020-07-28T06:35:00Z</dcterms:modified>
</cp:coreProperties>
</file>