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Default="001B1430" w:rsidP="008B7A9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0B75B5" w:rsidRDefault="000B75B5" w:rsidP="00EB31B9">
      <w:pPr>
        <w:jc w:val="both"/>
        <w:textAlignment w:val="baseline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A63AE5" w:rsidRDefault="00F93F7E" w:rsidP="00A63AE5">
      <w:pPr>
        <w:pStyle w:val="xmsolist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noProof/>
          <w:color w:val="000000"/>
          <w:sz w:val="20"/>
          <w:szCs w:val="20"/>
          <w:lang w:val="bg-BG"/>
        </w:rPr>
      </w:pPr>
      <w:r>
        <w:rPr>
          <w:rFonts w:ascii="Arial" w:hAnsi="Arial" w:cs="Arial"/>
          <w:b/>
          <w:noProof/>
          <w:sz w:val="20"/>
          <w:lang w:val="bg-BG"/>
        </w:rPr>
        <w:t>1</w:t>
      </w:r>
      <w:r w:rsidR="00414A33" w:rsidRPr="00414A33">
        <w:rPr>
          <w:rFonts w:ascii="Arial" w:hAnsi="Arial" w:cs="Arial"/>
          <w:b/>
          <w:noProof/>
          <w:sz w:val="20"/>
          <w:lang w:val="bg-BG"/>
        </w:rPr>
        <w:t xml:space="preserve">. </w:t>
      </w:r>
      <w:r w:rsidR="000C3AE3" w:rsidRPr="00EA1C65">
        <w:rPr>
          <w:rFonts w:ascii="Arial" w:hAnsi="Arial" w:cs="Arial"/>
          <w:b/>
          <w:noProof/>
          <w:sz w:val="20"/>
          <w:szCs w:val="20"/>
          <w:lang w:val="bg-BG"/>
        </w:rPr>
        <w:t>На 7 декември, в гр. Брюксел се проведе заседание на Специалния комитет по селско стопанство (СКСС).</w:t>
      </w:r>
      <w:r w:rsidR="000C3AE3" w:rsidRPr="00EA1C65">
        <w:rPr>
          <w:rFonts w:ascii="Arial" w:hAnsi="Arial" w:cs="Arial"/>
          <w:noProof/>
          <w:sz w:val="20"/>
          <w:szCs w:val="20"/>
          <w:lang w:val="bg-BG"/>
        </w:rPr>
        <w:t> 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Председателството представи информация относно развитието на триалозите по трите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регламента на реформата на ОСП. 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В триалозите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,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за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 xml:space="preserve">Регламента за </w:t>
      </w:r>
      <w:r w:rsidR="00342FD7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общата органицазия на пазара (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ООП</w:t>
      </w:r>
      <w:r w:rsidR="00342FD7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е постигнато съгласие за дискусия в четири блока. Първият триалог по ООП беше на 2 декември с акцент върху вино и защитени наименования (ЗН). На втория триалог се обсъждаха правата за засаждане, вината със ГО, продуктови спецификации. Позициите на Съвета и ЕП са близки. Относно управлението на пазара и управлението на кризи позицията на ЕП е доста различна от позициите на Съвета и доста далеч от предложеното от ЕК.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По отношение на Триалозите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за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Хоризонталния регламент</w:t>
      </w:r>
      <w:r w:rsidR="00342FD7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,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 от съществена важност е развитието на дискусиите по новия модел за изпълнение. ЕП счита, че трябва да има хибриден модел, съчетаващ прилагане, базирано на резултата, с елементи от настоящия модела на съответствие. В триалозите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по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Регламента за стратегическите планове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(СП) са дискутирани няколко основни елемента: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1)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У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словност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-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държавите членки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трябва да могат да специфицират допълнително изискванията. ЕП иска да лимитира възможността 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държавите членки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да доразвиват стандартите, за да не се допусне неравнопоставеност на фермерите в отделните 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държави-членки.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2)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Завишени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еко-схеми-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базирани на съществуващи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те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стандарти в условността, които се надхвърлят в еко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-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схемата.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3)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ДЗЕС 8 и 9 – по отношение ДЗЕС 8 Съветът счита, че ротацията и диверсификацията на културите са алтернативи, а ЕП настоява за предвиждане само на ротация на културите, с включени бобови култури. Продължава работа на техническо ниво.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4)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 Относно 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постоянно затревените площи (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ПЗП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има различия дали изискването за запазване на ПЗП да се въведе на национално или на ниво ферма.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5)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 Няма съгласие относно отпадането на ЗИУ 7-9 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за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идентификация на животните. 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6)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Система за съвети в земеделието (ССЗ) – ЕП настоява за 30% запазен бюджет за екологични съвети. ЕК счита предложението за неподходящо.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</w:t>
      </w:r>
      <w:r w:rsidR="000C3AE3" w:rsidRPr="00EA1C65">
        <w:rPr>
          <w:rFonts w:ascii="Arial" w:hAnsi="Arial" w:cs="Arial"/>
          <w:bCs/>
          <w:noProof/>
          <w:color w:val="000000"/>
          <w:sz w:val="20"/>
          <w:szCs w:val="20"/>
          <w:lang w:val="bg-BG"/>
        </w:rPr>
        <w:t>7)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> Еко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-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схеми– ЕП настоява за по-дискриптивен подход, докато Съветът счита, че трябва да има повече гъвкавост за ДЧ при определяне на еко</w:t>
      </w:r>
      <w:r w:rsidR="00342FD7">
        <w:rPr>
          <w:rFonts w:ascii="Arial" w:hAnsi="Arial" w:cs="Arial"/>
          <w:noProof/>
          <w:color w:val="000000"/>
          <w:sz w:val="20"/>
          <w:szCs w:val="20"/>
          <w:lang w:val="bg-BG"/>
        </w:rPr>
        <w:t>-</w:t>
      </w:r>
      <w:r w:rsidR="000C3AE3" w:rsidRPr="00EA1C65">
        <w:rPr>
          <w:rFonts w:ascii="Arial" w:hAnsi="Arial" w:cs="Arial"/>
          <w:noProof/>
          <w:color w:val="000000"/>
          <w:sz w:val="20"/>
          <w:szCs w:val="20"/>
          <w:lang w:val="bg-BG"/>
        </w:rPr>
        <w:t xml:space="preserve"> схемите. ЕП иска 30% запазен бюджет, Съветът настоява за 20%.</w:t>
      </w:r>
    </w:p>
    <w:p w:rsidR="00A63AE5" w:rsidRPr="00A63AE5" w:rsidRDefault="00F93F7E" w:rsidP="00D05A7F">
      <w:pPr>
        <w:pStyle w:val="xmsolist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noProof/>
          <w:color w:val="000000"/>
          <w:sz w:val="20"/>
          <w:szCs w:val="20"/>
          <w:lang w:val="bg-BG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C77E05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C77E05" w:rsidRPr="000B75B5">
        <w:rPr>
          <w:rFonts w:ascii="Arial" w:hAnsi="Arial" w:cs="Arial"/>
          <w:b/>
          <w:noProof/>
          <w:color w:val="000000"/>
          <w:sz w:val="20"/>
        </w:rPr>
        <w:t>Все още няма постигнат политически компромис по въпросите, които засягат финансирането,</w:t>
      </w:r>
      <w:r w:rsidR="00C77E05">
        <w:rPr>
          <w:rFonts w:ascii="Arial" w:hAnsi="Arial" w:cs="Arial"/>
          <w:b/>
          <w:noProof/>
          <w:color w:val="000000"/>
          <w:sz w:val="20"/>
        </w:rPr>
        <w:t xml:space="preserve"> управлението и мониторинга на О</w:t>
      </w:r>
      <w:r w:rsidR="00C77E05" w:rsidRPr="000B75B5">
        <w:rPr>
          <w:rFonts w:ascii="Arial" w:hAnsi="Arial" w:cs="Arial"/>
          <w:b/>
          <w:noProof/>
          <w:color w:val="000000"/>
          <w:sz w:val="20"/>
        </w:rPr>
        <w:t>бщата селскостопанска политика през следващия програмен период</w:t>
      </w:r>
      <w:r w:rsidR="00C77E05">
        <w:rPr>
          <w:rFonts w:ascii="Arial" w:hAnsi="Arial" w:cs="Arial"/>
          <w:b/>
          <w:noProof/>
          <w:color w:val="000000"/>
          <w:sz w:val="20"/>
        </w:rPr>
        <w:t xml:space="preserve">, </w:t>
      </w:r>
      <w:r w:rsidR="00C77E05" w:rsidRPr="000B75B5">
        <w:rPr>
          <w:rFonts w:ascii="Arial" w:hAnsi="Arial" w:cs="Arial"/>
          <w:b/>
          <w:noProof/>
          <w:color w:val="000000"/>
          <w:sz w:val="20"/>
        </w:rPr>
        <w:t>стана ясно на последното видеоконферентно заседание под Германско председателство на Работната група по финансови селскостопански въпроси (</w:t>
      </w:r>
      <w:r w:rsidR="00C77E05">
        <w:rPr>
          <w:rFonts w:ascii="Arial" w:hAnsi="Arial" w:cs="Arial"/>
          <w:b/>
          <w:noProof/>
          <w:color w:val="000000"/>
          <w:sz w:val="20"/>
        </w:rPr>
        <w:t xml:space="preserve">АГРИФИН), което се проведе на 8 декември 2020 </w:t>
      </w:r>
      <w:r w:rsidR="00C77E05" w:rsidRPr="000B75B5">
        <w:rPr>
          <w:rFonts w:ascii="Arial" w:hAnsi="Arial" w:cs="Arial"/>
          <w:b/>
          <w:noProof/>
          <w:color w:val="000000"/>
          <w:sz w:val="20"/>
        </w:rPr>
        <w:t>г.</w:t>
      </w:r>
      <w:r w:rsidR="00C77E05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C77E05" w:rsidRPr="000B75B5">
        <w:rPr>
          <w:rFonts w:ascii="Arial" w:hAnsi="Arial" w:cs="Arial"/>
          <w:noProof/>
          <w:color w:val="000000"/>
          <w:sz w:val="20"/>
        </w:rPr>
        <w:t xml:space="preserve">Председателството даде информация относно текущото състояние на </w:t>
      </w:r>
      <w:r w:rsidR="00C77E05" w:rsidRPr="000B75B5">
        <w:rPr>
          <w:rFonts w:ascii="Arial" w:hAnsi="Arial" w:cs="Arial"/>
          <w:noProof/>
          <w:color w:val="000000"/>
          <w:sz w:val="20"/>
        </w:rPr>
        <w:lastRenderedPageBreak/>
        <w:t>междуинституционалните преговори по проекта за нов Хоризонтален регламент. През месец ноември са се състояли три технически срещи, предшес</w:t>
      </w:r>
      <w:r w:rsidR="00C77E05">
        <w:rPr>
          <w:rFonts w:ascii="Arial" w:hAnsi="Arial" w:cs="Arial"/>
          <w:noProof/>
          <w:color w:val="000000"/>
          <w:sz w:val="20"/>
        </w:rPr>
        <w:t>тващи политическия т</w:t>
      </w:r>
      <w:r w:rsidR="00C77E05" w:rsidRPr="000B75B5">
        <w:rPr>
          <w:rFonts w:ascii="Arial" w:hAnsi="Arial" w:cs="Arial"/>
          <w:noProof/>
          <w:color w:val="000000"/>
          <w:sz w:val="20"/>
        </w:rPr>
        <w:t>риалог през месец декември. Одобрени са би</w:t>
      </w:r>
      <w:r w:rsidR="00C77E05">
        <w:rPr>
          <w:rFonts w:ascii="Arial" w:hAnsi="Arial" w:cs="Arial"/>
          <w:noProof/>
          <w:color w:val="000000"/>
          <w:sz w:val="20"/>
        </w:rPr>
        <w:t>ли техническите правила на работа</w:t>
      </w:r>
      <w:r w:rsidR="00C77E05" w:rsidRPr="000B75B5">
        <w:rPr>
          <w:rFonts w:ascii="Arial" w:hAnsi="Arial" w:cs="Arial"/>
          <w:noProof/>
          <w:color w:val="000000"/>
          <w:sz w:val="20"/>
        </w:rPr>
        <w:t xml:space="preserve"> и по същество</w:t>
      </w:r>
      <w:r w:rsidR="00C77E05">
        <w:rPr>
          <w:rFonts w:ascii="Arial" w:hAnsi="Arial" w:cs="Arial"/>
          <w:noProof/>
          <w:color w:val="000000"/>
          <w:sz w:val="20"/>
        </w:rPr>
        <w:t xml:space="preserve"> </w:t>
      </w:r>
      <w:r w:rsidR="00C77E05" w:rsidRPr="000B75B5">
        <w:rPr>
          <w:rFonts w:ascii="Arial" w:hAnsi="Arial" w:cs="Arial"/>
          <w:noProof/>
          <w:color w:val="000000"/>
          <w:sz w:val="20"/>
        </w:rPr>
        <w:t xml:space="preserve">са стартирани преговори по разпоредби, свързани с органите на управление и финансовото управление на фондовете. Има разногласия с Парламента по отношение на новия модел на прилагане. ЕК и Съветът подкрепят новия модел, докато ЕП има </w:t>
      </w:r>
      <w:r w:rsidR="00C77E05" w:rsidRPr="00A63AE5">
        <w:rPr>
          <w:rFonts w:ascii="Arial" w:hAnsi="Arial" w:cs="Arial"/>
          <w:noProof/>
          <w:color w:val="000000"/>
          <w:sz w:val="20"/>
          <w:lang w:val="bg-BG"/>
        </w:rPr>
        <w:t>колебания и несигурност и иска запазване на старата система. Като компромис ЕП предлага хибридна система. Преговорите между трите институции продължават</w:t>
      </w:r>
      <w:r w:rsidR="00C77E05" w:rsidRPr="00A63AE5">
        <w:rPr>
          <w:rFonts w:ascii="Verdana" w:hAnsi="Verdana"/>
          <w:noProof/>
          <w:sz w:val="20"/>
          <w:lang w:val="bg-BG"/>
        </w:rPr>
        <w:t>.</w:t>
      </w:r>
    </w:p>
    <w:p w:rsidR="00D05A7F" w:rsidRPr="00A63AE5" w:rsidRDefault="00F93F7E" w:rsidP="00D05A7F">
      <w:pPr>
        <w:pStyle w:val="xmsolist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noProof/>
          <w:color w:val="000000"/>
          <w:sz w:val="20"/>
          <w:szCs w:val="20"/>
          <w:lang w:val="bg-BG"/>
        </w:rPr>
      </w:pPr>
      <w:r>
        <w:rPr>
          <w:rFonts w:ascii="Arial" w:hAnsi="Arial" w:cs="Arial"/>
          <w:b/>
          <w:noProof/>
          <w:sz w:val="20"/>
          <w:lang w:val="bg-BG"/>
        </w:rPr>
        <w:t>3</w:t>
      </w:r>
      <w:r w:rsidR="006975B9">
        <w:rPr>
          <w:rFonts w:ascii="Arial" w:hAnsi="Arial" w:cs="Arial"/>
          <w:b/>
          <w:noProof/>
          <w:sz w:val="20"/>
        </w:rPr>
        <w:t xml:space="preserve">. </w:t>
      </w:r>
      <w:r w:rsidR="00553DFC" w:rsidRPr="00F4430D">
        <w:rPr>
          <w:rFonts w:ascii="Arial" w:hAnsi="Arial" w:cs="Arial"/>
          <w:b/>
          <w:noProof/>
          <w:sz w:val="20"/>
        </w:rPr>
        <w:t>На 9 декември се проведе дистанционно заседание на Експертната група по директни плащания към Европейската комисия.</w:t>
      </w:r>
      <w:r w:rsidR="00553DFC" w:rsidRPr="00F4430D">
        <w:rPr>
          <w:rFonts w:ascii="Arial" w:hAnsi="Arial" w:cs="Arial"/>
          <w:noProof/>
          <w:sz w:val="20"/>
        </w:rPr>
        <w:t xml:space="preserve"> </w:t>
      </w:r>
      <w:r w:rsidR="0020241F">
        <w:rPr>
          <w:rFonts w:ascii="Arial" w:hAnsi="Arial" w:cs="Arial"/>
          <w:noProof/>
          <w:sz w:val="20"/>
        </w:rPr>
        <w:t>По време на заседанието Комисията предостави</w:t>
      </w:r>
      <w:r w:rsidR="00553DFC" w:rsidRPr="00F4430D">
        <w:rPr>
          <w:rFonts w:ascii="Arial" w:hAnsi="Arial" w:cs="Arial"/>
          <w:noProof/>
          <w:sz w:val="20"/>
        </w:rPr>
        <w:t xml:space="preserve"> ак</w:t>
      </w:r>
      <w:r w:rsidR="00B15279">
        <w:rPr>
          <w:rFonts w:ascii="Arial" w:hAnsi="Arial" w:cs="Arial"/>
          <w:noProof/>
          <w:sz w:val="20"/>
        </w:rPr>
        <w:t>туална информация</w:t>
      </w:r>
      <w:r w:rsidR="00B15279">
        <w:rPr>
          <w:rFonts w:ascii="Arial" w:hAnsi="Arial" w:cs="Arial"/>
          <w:noProof/>
          <w:sz w:val="20"/>
          <w:lang w:val="bg-BG"/>
        </w:rPr>
        <w:t xml:space="preserve"> </w:t>
      </w:r>
      <w:r w:rsidR="00553DFC" w:rsidRPr="00F4430D">
        <w:rPr>
          <w:rFonts w:ascii="Arial" w:hAnsi="Arial" w:cs="Arial"/>
          <w:noProof/>
          <w:sz w:val="20"/>
        </w:rPr>
        <w:t>относно развитието на проверките чрез дистанционен мониторинг през 2021</w:t>
      </w:r>
      <w:r w:rsidR="0020241F">
        <w:rPr>
          <w:rFonts w:ascii="Arial" w:hAnsi="Arial" w:cs="Arial"/>
          <w:noProof/>
          <w:sz w:val="20"/>
        </w:rPr>
        <w:t xml:space="preserve"> </w:t>
      </w:r>
      <w:r w:rsidR="00C77E05">
        <w:rPr>
          <w:rFonts w:ascii="Arial" w:hAnsi="Arial" w:cs="Arial"/>
          <w:noProof/>
          <w:sz w:val="20"/>
        </w:rPr>
        <w:t>г.</w:t>
      </w:r>
      <w:r w:rsidR="00C77E05">
        <w:rPr>
          <w:rFonts w:ascii="Arial" w:hAnsi="Arial" w:cs="Arial"/>
          <w:noProof/>
          <w:sz w:val="20"/>
          <w:lang w:val="bg-BG"/>
        </w:rPr>
        <w:t xml:space="preserve"> </w:t>
      </w:r>
      <w:r w:rsidR="00553DFC" w:rsidRPr="00F4430D">
        <w:rPr>
          <w:rFonts w:ascii="Arial" w:hAnsi="Arial" w:cs="Arial"/>
          <w:noProof/>
          <w:sz w:val="20"/>
        </w:rPr>
        <w:t>За Комисията това представлява много сериозен въпрос и отговорно решение за държавите</w:t>
      </w:r>
      <w:r w:rsidR="00C77E05">
        <w:rPr>
          <w:rFonts w:ascii="Arial" w:hAnsi="Arial" w:cs="Arial"/>
          <w:noProof/>
          <w:sz w:val="20"/>
          <w:lang w:val="bg-BG"/>
        </w:rPr>
        <w:t xml:space="preserve"> </w:t>
      </w:r>
      <w:r w:rsidR="00553DFC" w:rsidRPr="00F4430D">
        <w:rPr>
          <w:rFonts w:ascii="Arial" w:hAnsi="Arial" w:cs="Arial"/>
          <w:noProof/>
          <w:sz w:val="20"/>
        </w:rPr>
        <w:t>членки, тъй като крайната цел на въвеждането на тази система е осъществяване на постоянен контрол на заявените площи, както</w:t>
      </w:r>
      <w:r w:rsidR="0020241F">
        <w:rPr>
          <w:rFonts w:ascii="Arial" w:hAnsi="Arial" w:cs="Arial"/>
          <w:noProof/>
          <w:sz w:val="20"/>
        </w:rPr>
        <w:t xml:space="preserve"> и</w:t>
      </w:r>
      <w:r w:rsidR="00553DFC" w:rsidRPr="00F4430D">
        <w:rPr>
          <w:rFonts w:ascii="Arial" w:hAnsi="Arial" w:cs="Arial"/>
          <w:noProof/>
          <w:sz w:val="20"/>
        </w:rPr>
        <w:t xml:space="preserve"> отпадане на проверките на място, които се изисква да се прилагат в момента. Също така, системата трябва да осигурява необходимото ниво на увереност при извършване на плащанията. Комисията отново потвърди своя ангажимент да работи в тясно сътрудничество с държавите</w:t>
      </w:r>
      <w:r w:rsidR="0020241F">
        <w:rPr>
          <w:rFonts w:ascii="Arial" w:hAnsi="Arial" w:cs="Arial"/>
          <w:noProof/>
          <w:sz w:val="20"/>
        </w:rPr>
        <w:t xml:space="preserve"> членки, </w:t>
      </w:r>
      <w:r w:rsidR="0020241F" w:rsidRPr="00F4430D">
        <w:rPr>
          <w:rFonts w:ascii="Arial" w:hAnsi="Arial" w:cs="Arial"/>
          <w:noProof/>
          <w:sz w:val="20"/>
        </w:rPr>
        <w:t xml:space="preserve">които решат да </w:t>
      </w:r>
      <w:r w:rsidR="0020241F">
        <w:rPr>
          <w:rFonts w:ascii="Arial" w:hAnsi="Arial" w:cs="Arial"/>
          <w:noProof/>
          <w:sz w:val="20"/>
        </w:rPr>
        <w:t>започнат</w:t>
      </w:r>
      <w:r w:rsidR="0020241F" w:rsidRPr="00F4430D">
        <w:rPr>
          <w:rFonts w:ascii="Arial" w:hAnsi="Arial" w:cs="Arial"/>
          <w:noProof/>
          <w:sz w:val="20"/>
        </w:rPr>
        <w:t xml:space="preserve"> въвеждане на системата</w:t>
      </w:r>
      <w:r w:rsidR="0020241F">
        <w:rPr>
          <w:rFonts w:ascii="Arial" w:hAnsi="Arial" w:cs="Arial"/>
          <w:noProof/>
          <w:sz w:val="20"/>
        </w:rPr>
        <w:t xml:space="preserve">, </w:t>
      </w:r>
      <w:r w:rsidR="00553DFC" w:rsidRPr="00F4430D">
        <w:rPr>
          <w:rFonts w:ascii="Arial" w:hAnsi="Arial" w:cs="Arial"/>
          <w:noProof/>
          <w:sz w:val="20"/>
        </w:rPr>
        <w:t xml:space="preserve">за преодоляване на възникнали законодателни и технически пречки. За последните 3 години системата е въведена </w:t>
      </w:r>
      <w:r w:rsidR="0020241F">
        <w:rPr>
          <w:rFonts w:ascii="Arial" w:hAnsi="Arial" w:cs="Arial"/>
          <w:noProof/>
          <w:sz w:val="20"/>
        </w:rPr>
        <w:t xml:space="preserve">и се прилага в </w:t>
      </w:r>
      <w:r w:rsidR="00553DFC" w:rsidRPr="00F4430D">
        <w:rPr>
          <w:rFonts w:ascii="Arial" w:hAnsi="Arial" w:cs="Arial"/>
          <w:noProof/>
          <w:sz w:val="20"/>
        </w:rPr>
        <w:t>Белгия (обл. Фландрия), Дания, Испания, Италия и Малта. Към момента няма възникнали сериозни смущения</w:t>
      </w:r>
      <w:r w:rsidR="0020241F">
        <w:rPr>
          <w:rFonts w:ascii="Arial" w:hAnsi="Arial" w:cs="Arial"/>
          <w:noProof/>
          <w:sz w:val="20"/>
        </w:rPr>
        <w:t xml:space="preserve"> и</w:t>
      </w:r>
      <w:r w:rsidR="00553DFC" w:rsidRPr="00F4430D">
        <w:rPr>
          <w:rFonts w:ascii="Arial" w:hAnsi="Arial" w:cs="Arial"/>
          <w:noProof/>
          <w:sz w:val="20"/>
        </w:rPr>
        <w:t xml:space="preserve"> държавите</w:t>
      </w:r>
      <w:r w:rsidR="0020241F">
        <w:rPr>
          <w:rFonts w:ascii="Arial" w:hAnsi="Arial" w:cs="Arial"/>
          <w:noProof/>
          <w:sz w:val="20"/>
        </w:rPr>
        <w:t xml:space="preserve"> </w:t>
      </w:r>
      <w:r w:rsidR="00553DFC" w:rsidRPr="00F4430D">
        <w:rPr>
          <w:rFonts w:ascii="Arial" w:hAnsi="Arial" w:cs="Arial"/>
          <w:noProof/>
          <w:sz w:val="20"/>
        </w:rPr>
        <w:t xml:space="preserve">членки, които </w:t>
      </w:r>
      <w:r w:rsidR="0020241F">
        <w:rPr>
          <w:rFonts w:ascii="Arial" w:hAnsi="Arial" w:cs="Arial"/>
          <w:noProof/>
          <w:sz w:val="20"/>
        </w:rPr>
        <w:t>я прилагат</w:t>
      </w:r>
      <w:r w:rsidR="00553DFC" w:rsidRPr="00F4430D">
        <w:rPr>
          <w:rFonts w:ascii="Arial" w:hAnsi="Arial" w:cs="Arial"/>
          <w:noProof/>
          <w:sz w:val="20"/>
        </w:rPr>
        <w:t xml:space="preserve">, са били в значително облекчена ситуация през изминалата година и кампания 2020, проведена в условията на COVID-19. Комисията насърчава останалите </w:t>
      </w:r>
      <w:r w:rsidR="0020241F">
        <w:rPr>
          <w:rFonts w:ascii="Arial" w:hAnsi="Arial" w:cs="Arial"/>
          <w:noProof/>
          <w:sz w:val="20"/>
        </w:rPr>
        <w:t>държави-членки</w:t>
      </w:r>
      <w:r w:rsidR="00553DFC" w:rsidRPr="00F4430D">
        <w:rPr>
          <w:rFonts w:ascii="Arial" w:hAnsi="Arial" w:cs="Arial"/>
          <w:noProof/>
          <w:sz w:val="20"/>
        </w:rPr>
        <w:t xml:space="preserve"> да пристъпят към въвеждане на системата за дистанционен мониторинг</w:t>
      </w:r>
      <w:r w:rsidR="002A0F65">
        <w:rPr>
          <w:rFonts w:ascii="Arial" w:hAnsi="Arial" w:cs="Arial"/>
          <w:noProof/>
          <w:sz w:val="20"/>
        </w:rPr>
        <w:t>. Отбеляза,</w:t>
      </w:r>
      <w:r w:rsidR="00553DFC" w:rsidRPr="00F4430D">
        <w:rPr>
          <w:rFonts w:ascii="Arial" w:hAnsi="Arial" w:cs="Arial"/>
          <w:noProof/>
          <w:sz w:val="20"/>
        </w:rPr>
        <w:t xml:space="preserve"> че ще оказва пълна по</w:t>
      </w:r>
      <w:r w:rsidR="002A0F65">
        <w:rPr>
          <w:rFonts w:ascii="Arial" w:hAnsi="Arial" w:cs="Arial"/>
          <w:noProof/>
          <w:sz w:val="20"/>
        </w:rPr>
        <w:t>дкрепа през целия процес</w:t>
      </w:r>
      <w:r w:rsidR="006B4A69">
        <w:rPr>
          <w:rFonts w:ascii="Arial" w:hAnsi="Arial" w:cs="Arial"/>
          <w:noProof/>
          <w:sz w:val="20"/>
        </w:rPr>
        <w:t xml:space="preserve"> на всички държави</w:t>
      </w:r>
      <w:r w:rsidR="00646A4D">
        <w:rPr>
          <w:rFonts w:ascii="Arial" w:hAnsi="Arial" w:cs="Arial"/>
          <w:noProof/>
          <w:sz w:val="20"/>
        </w:rPr>
        <w:t>-членки</w:t>
      </w:r>
      <w:r w:rsidR="002A0F65">
        <w:rPr>
          <w:rFonts w:ascii="Arial" w:hAnsi="Arial" w:cs="Arial"/>
          <w:noProof/>
          <w:sz w:val="20"/>
        </w:rPr>
        <w:t xml:space="preserve">, като ще се използва </w:t>
      </w:r>
      <w:r w:rsidR="00AD2239">
        <w:rPr>
          <w:rFonts w:ascii="Arial" w:hAnsi="Arial" w:cs="Arial"/>
          <w:noProof/>
          <w:sz w:val="20"/>
          <w:lang w:val="bg-BG"/>
        </w:rPr>
        <w:t>и</w:t>
      </w:r>
      <w:r w:rsidR="002A0F65">
        <w:rPr>
          <w:rFonts w:ascii="Arial" w:hAnsi="Arial" w:cs="Arial"/>
          <w:noProof/>
          <w:sz w:val="20"/>
        </w:rPr>
        <w:t xml:space="preserve"> </w:t>
      </w:r>
      <w:r w:rsidR="00553DFC" w:rsidRPr="00F4430D">
        <w:rPr>
          <w:rFonts w:ascii="Arial" w:hAnsi="Arial" w:cs="Arial"/>
          <w:noProof/>
          <w:sz w:val="20"/>
        </w:rPr>
        <w:t xml:space="preserve">опита </w:t>
      </w:r>
      <w:r w:rsidR="002A0F65">
        <w:rPr>
          <w:rFonts w:ascii="Arial" w:hAnsi="Arial" w:cs="Arial"/>
          <w:noProof/>
          <w:sz w:val="20"/>
        </w:rPr>
        <w:t>на първите, въвели системата</w:t>
      </w:r>
      <w:r w:rsidR="00553DFC" w:rsidRPr="00F4430D">
        <w:rPr>
          <w:rFonts w:ascii="Arial" w:hAnsi="Arial" w:cs="Arial"/>
          <w:noProof/>
          <w:sz w:val="20"/>
        </w:rPr>
        <w:t>. Испания и Италия също подкрепиха въвеждане</w:t>
      </w:r>
      <w:r w:rsidR="00646A4D">
        <w:rPr>
          <w:rFonts w:ascii="Arial" w:hAnsi="Arial" w:cs="Arial"/>
          <w:noProof/>
          <w:sz w:val="20"/>
        </w:rPr>
        <w:t>то</w:t>
      </w:r>
      <w:r w:rsidR="00553DFC" w:rsidRPr="00F4430D">
        <w:rPr>
          <w:rFonts w:ascii="Arial" w:hAnsi="Arial" w:cs="Arial"/>
          <w:noProof/>
          <w:sz w:val="20"/>
        </w:rPr>
        <w:t xml:space="preserve"> на системата в целия ЕС и потвърдиха пости</w:t>
      </w:r>
      <w:r w:rsidR="00646A4D">
        <w:rPr>
          <w:rFonts w:ascii="Arial" w:hAnsi="Arial" w:cs="Arial"/>
          <w:noProof/>
          <w:sz w:val="20"/>
        </w:rPr>
        <w:t>гнатите добри резултати и ползи. И</w:t>
      </w:r>
      <w:r w:rsidR="00553DFC" w:rsidRPr="00F4430D">
        <w:rPr>
          <w:rFonts w:ascii="Arial" w:hAnsi="Arial" w:cs="Arial"/>
          <w:noProof/>
          <w:sz w:val="20"/>
        </w:rPr>
        <w:t>зразиха готовност да представят опит</w:t>
      </w:r>
      <w:r w:rsidR="00E66198">
        <w:rPr>
          <w:rFonts w:ascii="Arial" w:hAnsi="Arial" w:cs="Arial"/>
          <w:noProof/>
          <w:sz w:val="20"/>
        </w:rPr>
        <w:t>а си</w:t>
      </w:r>
      <w:r w:rsidR="00553DFC" w:rsidRPr="00F4430D">
        <w:rPr>
          <w:rFonts w:ascii="Arial" w:hAnsi="Arial" w:cs="Arial"/>
          <w:noProof/>
          <w:sz w:val="20"/>
        </w:rPr>
        <w:t xml:space="preserve"> до момента.</w:t>
      </w:r>
    </w:p>
    <w:p w:rsidR="00196C73" w:rsidRDefault="00F93F7E" w:rsidP="00423C7E">
      <w:pPr>
        <w:pStyle w:val="xmsolist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noProof/>
          <w:sz w:val="20"/>
          <w:lang w:val="bg-BG"/>
        </w:rPr>
      </w:pPr>
      <w:r>
        <w:rPr>
          <w:rFonts w:ascii="Arial" w:hAnsi="Arial" w:cs="Arial"/>
          <w:b/>
          <w:noProof/>
          <w:sz w:val="20"/>
        </w:rPr>
        <w:t>4</w:t>
      </w:r>
      <w:r w:rsidR="00553DFC" w:rsidRPr="002F66D3">
        <w:rPr>
          <w:rFonts w:ascii="Arial" w:hAnsi="Arial" w:cs="Arial"/>
          <w:b/>
          <w:noProof/>
          <w:sz w:val="20"/>
        </w:rPr>
        <w:t xml:space="preserve">. На 11 декември се проведе дистанционно заседание на Комитета по директни плащания. </w:t>
      </w:r>
      <w:r w:rsidR="00C37DB1">
        <w:rPr>
          <w:rFonts w:ascii="Arial" w:hAnsi="Arial" w:cs="Arial"/>
          <w:noProof/>
          <w:sz w:val="20"/>
        </w:rPr>
        <w:t>Комисията</w:t>
      </w:r>
      <w:r w:rsidR="00553DFC">
        <w:rPr>
          <w:rFonts w:ascii="Arial" w:hAnsi="Arial" w:cs="Arial"/>
          <w:noProof/>
          <w:sz w:val="20"/>
        </w:rPr>
        <w:t xml:space="preserve"> представ</w:t>
      </w:r>
      <w:r w:rsidR="00C37DB1">
        <w:rPr>
          <w:rFonts w:ascii="Arial" w:hAnsi="Arial" w:cs="Arial"/>
          <w:noProof/>
          <w:sz w:val="20"/>
        </w:rPr>
        <w:t>и</w:t>
      </w:r>
      <w:r w:rsidR="00553DFC">
        <w:rPr>
          <w:rFonts w:ascii="Arial" w:hAnsi="Arial" w:cs="Arial"/>
          <w:noProof/>
          <w:sz w:val="20"/>
        </w:rPr>
        <w:t xml:space="preserve"> допълнителна разяснителна информация относно еко-схемите </w:t>
      </w:r>
      <w:r w:rsidR="00C37DB1">
        <w:rPr>
          <w:rFonts w:ascii="Arial" w:hAnsi="Arial" w:cs="Arial"/>
          <w:noProof/>
          <w:sz w:val="20"/>
        </w:rPr>
        <w:t>по</w:t>
      </w:r>
      <w:r w:rsidR="00553DFC">
        <w:rPr>
          <w:rFonts w:ascii="Arial" w:hAnsi="Arial" w:cs="Arial"/>
          <w:noProof/>
          <w:sz w:val="20"/>
        </w:rPr>
        <w:t xml:space="preserve"> стълб 1, идентифицирането и картирането на мочурища и торфища (съгласно предложените изисквания на ДЗЕС</w:t>
      </w:r>
      <w:r w:rsidR="00C37DB1">
        <w:rPr>
          <w:rFonts w:ascii="Arial" w:hAnsi="Arial" w:cs="Arial"/>
          <w:noProof/>
          <w:sz w:val="20"/>
        </w:rPr>
        <w:t xml:space="preserve"> </w:t>
      </w:r>
      <w:r w:rsidR="00553DFC">
        <w:rPr>
          <w:rFonts w:ascii="Arial" w:hAnsi="Arial" w:cs="Arial"/>
          <w:noProof/>
          <w:sz w:val="20"/>
        </w:rPr>
        <w:t xml:space="preserve">2) и </w:t>
      </w:r>
      <w:r w:rsidR="00C37DB1">
        <w:rPr>
          <w:rFonts w:ascii="Arial" w:hAnsi="Arial" w:cs="Arial"/>
          <w:noProof/>
          <w:sz w:val="20"/>
        </w:rPr>
        <w:t>информация относно</w:t>
      </w:r>
      <w:r w:rsidR="00553DFC">
        <w:rPr>
          <w:rFonts w:ascii="Arial" w:hAnsi="Arial" w:cs="Arial"/>
          <w:noProof/>
          <w:sz w:val="20"/>
        </w:rPr>
        <w:t xml:space="preserve"> синхронизиране на дерогациите в Регламент (ЕС) 2020/532, така че облекченията, които са въведени за директни плащания, да бъдат достъпни също за </w:t>
      </w:r>
      <w:r w:rsidR="00553DFC" w:rsidRPr="00186F39">
        <w:rPr>
          <w:rFonts w:ascii="Arial" w:hAnsi="Arial" w:cs="Arial" w:hint="eastAsia"/>
          <w:noProof/>
          <w:sz w:val="20"/>
        </w:rPr>
        <w:t>най</w:t>
      </w:r>
      <w:r w:rsidR="00553DFC" w:rsidRPr="00186F39">
        <w:rPr>
          <w:rFonts w:ascii="Arial" w:hAnsi="Arial" w:cs="Arial"/>
          <w:noProof/>
          <w:sz w:val="20"/>
        </w:rPr>
        <w:t>-</w:t>
      </w:r>
      <w:r w:rsidR="00553DFC" w:rsidRPr="00186F39">
        <w:rPr>
          <w:rFonts w:ascii="Arial" w:hAnsi="Arial" w:cs="Arial" w:hint="eastAsia"/>
          <w:noProof/>
          <w:sz w:val="20"/>
        </w:rPr>
        <w:t>отдалечените</w:t>
      </w:r>
      <w:r w:rsidR="00553DFC" w:rsidRPr="00186F39">
        <w:rPr>
          <w:rFonts w:ascii="Arial" w:hAnsi="Arial" w:cs="Arial"/>
          <w:noProof/>
          <w:sz w:val="20"/>
        </w:rPr>
        <w:t xml:space="preserve"> </w:t>
      </w:r>
      <w:r w:rsidR="00553DFC" w:rsidRPr="00186F39">
        <w:rPr>
          <w:rFonts w:ascii="Arial" w:hAnsi="Arial" w:cs="Arial" w:hint="eastAsia"/>
          <w:noProof/>
          <w:sz w:val="20"/>
        </w:rPr>
        <w:t>райони</w:t>
      </w:r>
      <w:r w:rsidR="00553DFC" w:rsidRPr="00186F39">
        <w:rPr>
          <w:rFonts w:ascii="Arial" w:hAnsi="Arial" w:cs="Arial"/>
          <w:noProof/>
          <w:sz w:val="20"/>
        </w:rPr>
        <w:t xml:space="preserve"> </w:t>
      </w:r>
      <w:r w:rsidR="00553DFC" w:rsidRPr="00186F39">
        <w:rPr>
          <w:rFonts w:ascii="Arial" w:hAnsi="Arial" w:cs="Arial" w:hint="eastAsia"/>
          <w:noProof/>
          <w:sz w:val="20"/>
        </w:rPr>
        <w:t>на</w:t>
      </w:r>
      <w:r w:rsidR="00553DFC" w:rsidRPr="00186F39">
        <w:rPr>
          <w:rFonts w:ascii="Arial" w:hAnsi="Arial" w:cs="Arial"/>
          <w:noProof/>
          <w:sz w:val="20"/>
        </w:rPr>
        <w:t xml:space="preserve"> </w:t>
      </w:r>
      <w:r w:rsidR="00553DFC" w:rsidRPr="00186F39">
        <w:rPr>
          <w:rFonts w:ascii="Arial" w:hAnsi="Arial" w:cs="Arial" w:hint="eastAsia"/>
          <w:noProof/>
          <w:sz w:val="20"/>
        </w:rPr>
        <w:t>ЕС</w:t>
      </w:r>
      <w:r w:rsidR="00553DFC" w:rsidRPr="00186F39">
        <w:rPr>
          <w:rFonts w:ascii="Arial" w:hAnsi="Arial" w:cs="Arial"/>
          <w:noProof/>
          <w:sz w:val="20"/>
        </w:rPr>
        <w:t xml:space="preserve"> (</w:t>
      </w:r>
      <w:r w:rsidR="00553DFC">
        <w:rPr>
          <w:rFonts w:ascii="Arial" w:hAnsi="Arial" w:cs="Arial"/>
          <w:noProof/>
          <w:sz w:val="20"/>
        </w:rPr>
        <w:t xml:space="preserve">т.нар. програми </w:t>
      </w:r>
      <w:r w:rsidR="00553DFC" w:rsidRPr="00186F39">
        <w:rPr>
          <w:rFonts w:ascii="Arial" w:hAnsi="Arial" w:cs="Arial"/>
          <w:noProof/>
          <w:sz w:val="20"/>
        </w:rPr>
        <w:t xml:space="preserve">POSEI). </w:t>
      </w:r>
      <w:r w:rsidR="00E514F9">
        <w:rPr>
          <w:rFonts w:ascii="Arial" w:hAnsi="Arial" w:cs="Arial"/>
          <w:noProof/>
          <w:sz w:val="20"/>
          <w:lang w:val="bg-BG"/>
        </w:rPr>
        <w:t>Относно</w:t>
      </w:r>
      <w:r w:rsidR="00553DFC">
        <w:rPr>
          <w:rFonts w:ascii="Arial" w:hAnsi="Arial" w:cs="Arial"/>
          <w:noProof/>
          <w:sz w:val="20"/>
        </w:rPr>
        <w:t xml:space="preserve"> </w:t>
      </w:r>
      <w:r w:rsidR="00C250AD">
        <w:rPr>
          <w:rFonts w:ascii="Arial" w:hAnsi="Arial" w:cs="Arial"/>
          <w:noProof/>
          <w:sz w:val="20"/>
          <w:lang w:val="bg-BG"/>
        </w:rPr>
        <w:t xml:space="preserve">програми </w:t>
      </w:r>
      <w:r w:rsidR="00C250AD" w:rsidRPr="00186F39">
        <w:rPr>
          <w:rFonts w:ascii="Arial" w:hAnsi="Arial" w:cs="Arial"/>
          <w:noProof/>
          <w:sz w:val="20"/>
        </w:rPr>
        <w:t>POSEI</w:t>
      </w:r>
      <w:r w:rsidR="00553DFC">
        <w:rPr>
          <w:rFonts w:ascii="Arial" w:hAnsi="Arial" w:cs="Arial"/>
          <w:noProof/>
          <w:sz w:val="20"/>
        </w:rPr>
        <w:t xml:space="preserve"> Комисията поясни, че това е техническо изменение на Регламент (ЕС) 2020/532, което се прави, за да бъдат въведени еднакви правила и условия за директни плащания за целия ЕС. Относно еко-схемите, </w:t>
      </w:r>
      <w:r w:rsidR="00C37DB1">
        <w:rPr>
          <w:rFonts w:ascii="Arial" w:hAnsi="Arial" w:cs="Arial"/>
          <w:noProof/>
          <w:sz w:val="20"/>
        </w:rPr>
        <w:t>държавите-членки</w:t>
      </w:r>
      <w:r w:rsidR="00553DFC">
        <w:rPr>
          <w:rFonts w:ascii="Arial" w:hAnsi="Arial" w:cs="Arial"/>
          <w:noProof/>
          <w:sz w:val="20"/>
        </w:rPr>
        <w:t xml:space="preserve"> представиха своите идеи за прилагане на различни варианти на еко-схеми и </w:t>
      </w:r>
      <w:r w:rsidR="00C37DB1">
        <w:rPr>
          <w:rFonts w:ascii="Arial" w:hAnsi="Arial" w:cs="Arial"/>
          <w:noProof/>
          <w:sz w:val="20"/>
        </w:rPr>
        <w:t xml:space="preserve">поставиха </w:t>
      </w:r>
      <w:r w:rsidR="00553DFC">
        <w:rPr>
          <w:rFonts w:ascii="Arial" w:hAnsi="Arial" w:cs="Arial"/>
          <w:noProof/>
          <w:sz w:val="20"/>
        </w:rPr>
        <w:t>уточняващи въпроси. Комисията</w:t>
      </w:r>
      <w:r w:rsidR="00C37DB1">
        <w:rPr>
          <w:rFonts w:ascii="Arial" w:hAnsi="Arial" w:cs="Arial"/>
          <w:noProof/>
          <w:sz w:val="20"/>
        </w:rPr>
        <w:t xml:space="preserve"> </w:t>
      </w:r>
      <w:r w:rsidR="00553DFC">
        <w:rPr>
          <w:rFonts w:ascii="Arial" w:hAnsi="Arial" w:cs="Arial"/>
          <w:noProof/>
          <w:sz w:val="20"/>
        </w:rPr>
        <w:t>ще обмисл</w:t>
      </w:r>
      <w:r w:rsidR="00C37DB1">
        <w:rPr>
          <w:rFonts w:ascii="Arial" w:hAnsi="Arial" w:cs="Arial"/>
          <w:noProof/>
          <w:sz w:val="20"/>
        </w:rPr>
        <w:t>и</w:t>
      </w:r>
      <w:r w:rsidR="00553DFC">
        <w:rPr>
          <w:rFonts w:ascii="Arial" w:hAnsi="Arial" w:cs="Arial"/>
          <w:noProof/>
          <w:sz w:val="20"/>
        </w:rPr>
        <w:t xml:space="preserve"> предложените варианти, но </w:t>
      </w:r>
      <w:r w:rsidR="00C37DB1">
        <w:rPr>
          <w:rFonts w:ascii="Arial" w:hAnsi="Arial" w:cs="Arial"/>
          <w:noProof/>
          <w:sz w:val="20"/>
        </w:rPr>
        <w:t xml:space="preserve">обърна внимание, че </w:t>
      </w:r>
      <w:r w:rsidR="00553DFC">
        <w:rPr>
          <w:rFonts w:ascii="Arial" w:hAnsi="Arial" w:cs="Arial"/>
          <w:noProof/>
          <w:sz w:val="20"/>
        </w:rPr>
        <w:t>всички еко-схеми трябва да отговорят на изискванията на „зелената кутия“ на СТО (т.е. подпомагането по тях не трябва да предизвиква нарушения на пазара)</w:t>
      </w:r>
      <w:r w:rsidR="00B40543">
        <w:rPr>
          <w:rFonts w:ascii="Arial" w:hAnsi="Arial" w:cs="Arial"/>
          <w:noProof/>
          <w:sz w:val="20"/>
        </w:rPr>
        <w:t>. П</w:t>
      </w:r>
      <w:r w:rsidR="00553DFC">
        <w:rPr>
          <w:rFonts w:ascii="Arial" w:hAnsi="Arial" w:cs="Arial"/>
          <w:noProof/>
          <w:sz w:val="20"/>
        </w:rPr>
        <w:t xml:space="preserve">одчерта, че </w:t>
      </w:r>
      <w:r w:rsidR="00B40543">
        <w:rPr>
          <w:rFonts w:ascii="Arial" w:hAnsi="Arial" w:cs="Arial"/>
          <w:noProof/>
          <w:sz w:val="20"/>
        </w:rPr>
        <w:t>еко-схемите</w:t>
      </w:r>
      <w:r w:rsidR="00553DFC">
        <w:rPr>
          <w:rFonts w:ascii="Arial" w:hAnsi="Arial" w:cs="Arial"/>
          <w:noProof/>
          <w:sz w:val="20"/>
        </w:rPr>
        <w:t xml:space="preserve"> не трябва да въздействат върху решенията на </w:t>
      </w:r>
      <w:r w:rsidR="00E514F9">
        <w:rPr>
          <w:rFonts w:ascii="Arial" w:hAnsi="Arial" w:cs="Arial"/>
          <w:noProof/>
          <w:sz w:val="20"/>
          <w:lang w:val="bg-BG"/>
        </w:rPr>
        <w:t>земеделските стопани</w:t>
      </w:r>
      <w:r w:rsidR="00553DFC">
        <w:rPr>
          <w:rFonts w:ascii="Arial" w:hAnsi="Arial" w:cs="Arial"/>
          <w:noProof/>
          <w:sz w:val="20"/>
        </w:rPr>
        <w:t xml:space="preserve"> при определяне </w:t>
      </w:r>
      <w:r w:rsidR="00B40543">
        <w:rPr>
          <w:rFonts w:ascii="Arial" w:hAnsi="Arial" w:cs="Arial"/>
          <w:noProof/>
          <w:sz w:val="20"/>
        </w:rPr>
        <w:t xml:space="preserve">на </w:t>
      </w:r>
      <w:r w:rsidR="00553DFC">
        <w:rPr>
          <w:rFonts w:ascii="Arial" w:hAnsi="Arial" w:cs="Arial"/>
          <w:noProof/>
          <w:sz w:val="20"/>
        </w:rPr>
        <w:t>производството, към което да се насочат. Също така, Комисията обясни,</w:t>
      </w:r>
      <w:r w:rsidR="00B40543">
        <w:rPr>
          <w:rFonts w:ascii="Arial" w:hAnsi="Arial" w:cs="Arial"/>
          <w:noProof/>
          <w:sz w:val="20"/>
        </w:rPr>
        <w:t xml:space="preserve"> </w:t>
      </w:r>
      <w:r w:rsidR="00553DFC">
        <w:rPr>
          <w:rFonts w:ascii="Arial" w:hAnsi="Arial" w:cs="Arial"/>
          <w:noProof/>
          <w:sz w:val="20"/>
        </w:rPr>
        <w:t xml:space="preserve">че ще </w:t>
      </w:r>
      <w:r w:rsidR="00B40543">
        <w:rPr>
          <w:rFonts w:ascii="Arial" w:hAnsi="Arial" w:cs="Arial"/>
          <w:noProof/>
          <w:sz w:val="20"/>
        </w:rPr>
        <w:t>на</w:t>
      </w:r>
      <w:r w:rsidR="00553DFC">
        <w:rPr>
          <w:rFonts w:ascii="Arial" w:hAnsi="Arial" w:cs="Arial"/>
          <w:noProof/>
          <w:sz w:val="20"/>
        </w:rPr>
        <w:t xml:space="preserve">прави цялостна оценка на базовите </w:t>
      </w:r>
      <w:r w:rsidR="00B40543">
        <w:rPr>
          <w:rFonts w:ascii="Arial" w:hAnsi="Arial" w:cs="Arial"/>
          <w:noProof/>
          <w:sz w:val="20"/>
        </w:rPr>
        <w:t>екологични изисквания в с</w:t>
      </w:r>
      <w:r w:rsidR="00553DFC">
        <w:rPr>
          <w:rFonts w:ascii="Arial" w:hAnsi="Arial" w:cs="Arial"/>
          <w:noProof/>
          <w:sz w:val="20"/>
        </w:rPr>
        <w:t>тратегически</w:t>
      </w:r>
      <w:r w:rsidR="00B40543">
        <w:rPr>
          <w:rFonts w:ascii="Arial" w:hAnsi="Arial" w:cs="Arial"/>
          <w:noProof/>
          <w:sz w:val="20"/>
        </w:rPr>
        <w:t>те</w:t>
      </w:r>
      <w:r w:rsidR="00553DFC">
        <w:rPr>
          <w:rFonts w:ascii="Arial" w:hAnsi="Arial" w:cs="Arial"/>
          <w:noProof/>
          <w:sz w:val="20"/>
        </w:rPr>
        <w:t xml:space="preserve"> план</w:t>
      </w:r>
      <w:r w:rsidR="00B40543">
        <w:rPr>
          <w:rFonts w:ascii="Arial" w:hAnsi="Arial" w:cs="Arial"/>
          <w:noProof/>
          <w:sz w:val="20"/>
        </w:rPr>
        <w:t>ове</w:t>
      </w:r>
      <w:r w:rsidR="00553DFC">
        <w:rPr>
          <w:rFonts w:ascii="Arial" w:hAnsi="Arial" w:cs="Arial"/>
          <w:noProof/>
          <w:sz w:val="20"/>
        </w:rPr>
        <w:t xml:space="preserve"> </w:t>
      </w:r>
      <w:r w:rsidR="00B40543">
        <w:rPr>
          <w:rFonts w:ascii="Arial" w:hAnsi="Arial" w:cs="Arial"/>
          <w:noProof/>
          <w:sz w:val="20"/>
        </w:rPr>
        <w:t>на държавите членки</w:t>
      </w:r>
      <w:r w:rsidR="00553DFC">
        <w:rPr>
          <w:rFonts w:ascii="Arial" w:hAnsi="Arial" w:cs="Arial"/>
          <w:noProof/>
          <w:sz w:val="20"/>
        </w:rPr>
        <w:t xml:space="preserve">, преди да одобри отделните предложения за еко-схеми. Относно </w:t>
      </w:r>
      <w:r w:rsidR="00553DFC" w:rsidRPr="00AD0787">
        <w:rPr>
          <w:rFonts w:ascii="Arial" w:hAnsi="Arial" w:cs="Arial" w:hint="eastAsia"/>
          <w:noProof/>
          <w:sz w:val="20"/>
        </w:rPr>
        <w:t>идентифицирането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и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картирането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на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мочурища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и</w:t>
      </w:r>
      <w:r w:rsidR="00553DFC" w:rsidRPr="00AD0787">
        <w:rPr>
          <w:rFonts w:ascii="Arial" w:hAnsi="Arial" w:cs="Arial"/>
          <w:noProof/>
          <w:sz w:val="20"/>
        </w:rPr>
        <w:t xml:space="preserve"> </w:t>
      </w:r>
      <w:r w:rsidR="00553DFC" w:rsidRPr="00AD0787">
        <w:rPr>
          <w:rFonts w:ascii="Arial" w:hAnsi="Arial" w:cs="Arial" w:hint="eastAsia"/>
          <w:noProof/>
          <w:sz w:val="20"/>
        </w:rPr>
        <w:t>торфища</w:t>
      </w:r>
      <w:r w:rsidR="00553DFC">
        <w:rPr>
          <w:rFonts w:ascii="Arial" w:hAnsi="Arial" w:cs="Arial"/>
          <w:noProof/>
          <w:sz w:val="20"/>
        </w:rPr>
        <w:t xml:space="preserve"> бяха представени различни варианти от JRC за дистанционен мониторинг на тези </w:t>
      </w:r>
      <w:r w:rsidR="00B40543">
        <w:rPr>
          <w:rFonts w:ascii="Arial" w:hAnsi="Arial" w:cs="Arial"/>
          <w:noProof/>
          <w:sz w:val="20"/>
        </w:rPr>
        <w:t>площи</w:t>
      </w:r>
      <w:r w:rsidR="00553DFC">
        <w:rPr>
          <w:rFonts w:ascii="Arial" w:hAnsi="Arial" w:cs="Arial"/>
          <w:noProof/>
          <w:sz w:val="20"/>
        </w:rPr>
        <w:t xml:space="preserve">. Темата представлява сериозен интерес за голяма част от </w:t>
      </w:r>
      <w:r w:rsidR="00B40543">
        <w:rPr>
          <w:rFonts w:ascii="Arial" w:hAnsi="Arial" w:cs="Arial"/>
          <w:noProof/>
          <w:sz w:val="20"/>
        </w:rPr>
        <w:t>държавите членки</w:t>
      </w:r>
      <w:r w:rsidR="00553DFC">
        <w:rPr>
          <w:rFonts w:ascii="Arial" w:hAnsi="Arial" w:cs="Arial"/>
          <w:noProof/>
          <w:sz w:val="20"/>
        </w:rPr>
        <w:t>, които пожелаха да получат повече информация.</w:t>
      </w:r>
    </w:p>
    <w:p w:rsidR="00B64B72" w:rsidRPr="005915B0" w:rsidRDefault="00F93F7E" w:rsidP="00A7132A">
      <w:pPr>
        <w:pStyle w:val="xmsolist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5</w:t>
      </w:r>
      <w:bookmarkStart w:id="0" w:name="_GoBack"/>
      <w:bookmarkEnd w:id="0"/>
      <w:r w:rsidR="000B75B5">
        <w:rPr>
          <w:rFonts w:ascii="Arial" w:hAnsi="Arial" w:cs="Arial"/>
          <w:b/>
          <w:noProof/>
          <w:color w:val="000000"/>
          <w:sz w:val="20"/>
        </w:rPr>
        <w:t>.</w:t>
      </w:r>
      <w:r w:rsidR="00423E2C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0B75B5" w:rsidRPr="000B75B5">
        <w:rPr>
          <w:rFonts w:ascii="Arial" w:hAnsi="Arial" w:cs="Arial"/>
          <w:b/>
          <w:noProof/>
          <w:color w:val="000000"/>
          <w:sz w:val="20"/>
        </w:rPr>
        <w:t>В рамките на Петото заседание на Тематичната работна група (ТРГ) за разработване на Стратегически план по ОСП 2021 - 2027 г.</w:t>
      </w:r>
      <w:r w:rsidR="002C2BAF">
        <w:rPr>
          <w:rFonts w:ascii="Arial" w:hAnsi="Arial" w:cs="Arial"/>
          <w:b/>
          <w:noProof/>
          <w:color w:val="000000"/>
          <w:sz w:val="20"/>
          <w:lang w:val="bg-BG"/>
        </w:rPr>
        <w:t>,</w:t>
      </w:r>
      <w:r w:rsidR="000B75B5" w:rsidRPr="000B75B5">
        <w:rPr>
          <w:rFonts w:ascii="Arial" w:hAnsi="Arial" w:cs="Arial"/>
          <w:noProof/>
          <w:color w:val="000000"/>
          <w:sz w:val="20"/>
        </w:rPr>
        <w:t xml:space="preserve"> </w:t>
      </w:r>
      <w:r w:rsidR="000B75B5" w:rsidRPr="00521828">
        <w:rPr>
          <w:rFonts w:ascii="Arial" w:hAnsi="Arial" w:cs="Arial"/>
          <w:b/>
          <w:noProof/>
          <w:color w:val="000000"/>
          <w:sz w:val="20"/>
        </w:rPr>
        <w:t>Министерство на земеделието, храните и горите представи още три проекти на интервенции в областта на директните плащания</w:t>
      </w:r>
      <w:r w:rsidR="000B75B5" w:rsidRPr="000B75B5">
        <w:rPr>
          <w:rFonts w:ascii="Arial" w:hAnsi="Arial" w:cs="Arial"/>
          <w:noProof/>
          <w:color w:val="000000"/>
          <w:sz w:val="20"/>
        </w:rPr>
        <w:t>. Това са „Основно подпомагане на доходите за устойчивост“, „Допълнително преразпределително подпомагане на доходите за устойчивост“ и „Допълнително подпомагане на доходите на млади земеделски стопани“. Мерките са индикативни, тъй като се очаква да се договорят базовите правила, които са в процес на преговори между трите европейски съзаконо</w:t>
      </w:r>
      <w:r w:rsidR="0076200C">
        <w:rPr>
          <w:rFonts w:ascii="Arial" w:hAnsi="Arial" w:cs="Arial"/>
          <w:noProof/>
          <w:color w:val="000000"/>
          <w:sz w:val="20"/>
        </w:rPr>
        <w:t>дателни институции- Европейската к</w:t>
      </w:r>
      <w:r w:rsidR="000B75B5" w:rsidRPr="000B75B5">
        <w:rPr>
          <w:rFonts w:ascii="Arial" w:hAnsi="Arial" w:cs="Arial"/>
          <w:noProof/>
          <w:color w:val="000000"/>
          <w:sz w:val="20"/>
        </w:rPr>
        <w:t>омисия, Европейски</w:t>
      </w:r>
      <w:r w:rsidR="0076200C">
        <w:rPr>
          <w:rFonts w:ascii="Arial" w:hAnsi="Arial" w:cs="Arial"/>
          <w:noProof/>
          <w:color w:val="000000"/>
          <w:sz w:val="20"/>
        </w:rPr>
        <w:t>я п</w:t>
      </w:r>
      <w:r w:rsidR="000B75B5" w:rsidRPr="000B75B5">
        <w:rPr>
          <w:rFonts w:ascii="Arial" w:hAnsi="Arial" w:cs="Arial"/>
          <w:noProof/>
          <w:color w:val="000000"/>
          <w:sz w:val="20"/>
        </w:rPr>
        <w:t>арламент и Съвет</w:t>
      </w:r>
      <w:r w:rsidR="0076200C">
        <w:rPr>
          <w:rFonts w:ascii="Arial" w:hAnsi="Arial" w:cs="Arial"/>
          <w:noProof/>
          <w:color w:val="000000"/>
          <w:sz w:val="20"/>
        </w:rPr>
        <w:t>а</w:t>
      </w:r>
      <w:r w:rsidR="000B75B5" w:rsidRPr="000B75B5">
        <w:rPr>
          <w:rFonts w:ascii="Arial" w:hAnsi="Arial" w:cs="Arial"/>
          <w:noProof/>
          <w:color w:val="000000"/>
          <w:sz w:val="20"/>
        </w:rPr>
        <w:t xml:space="preserve"> на ЕС. Очаква се договаряне на финансовата рамка, както и подробните правила по схемите, които ще залегна</w:t>
      </w:r>
      <w:r w:rsidR="0076200C">
        <w:rPr>
          <w:rFonts w:ascii="Arial" w:hAnsi="Arial" w:cs="Arial"/>
          <w:noProof/>
          <w:color w:val="000000"/>
          <w:sz w:val="20"/>
        </w:rPr>
        <w:t>т</w:t>
      </w:r>
      <w:r w:rsidR="000B75B5" w:rsidRPr="000B75B5">
        <w:rPr>
          <w:rFonts w:ascii="Arial" w:hAnsi="Arial" w:cs="Arial"/>
          <w:noProof/>
          <w:color w:val="000000"/>
          <w:sz w:val="20"/>
        </w:rPr>
        <w:t xml:space="preserve"> в т. нар. изпълнителни и делегирани актове. </w:t>
      </w:r>
      <w:r w:rsidR="0076200C">
        <w:rPr>
          <w:rFonts w:ascii="Arial" w:hAnsi="Arial" w:cs="Arial"/>
          <w:noProof/>
          <w:color w:val="000000"/>
          <w:sz w:val="20"/>
        </w:rPr>
        <w:t>Повече информация може да бъде</w:t>
      </w:r>
      <w:r w:rsidR="000B75B5" w:rsidRPr="000B75B5">
        <w:rPr>
          <w:rFonts w:ascii="Arial" w:hAnsi="Arial" w:cs="Arial"/>
          <w:noProof/>
          <w:color w:val="000000"/>
          <w:sz w:val="20"/>
        </w:rPr>
        <w:t xml:space="preserve"> </w:t>
      </w:r>
      <w:r w:rsidR="0076200C">
        <w:rPr>
          <w:rFonts w:ascii="Arial" w:hAnsi="Arial" w:cs="Arial"/>
          <w:noProof/>
          <w:color w:val="000000"/>
          <w:sz w:val="20"/>
        </w:rPr>
        <w:t>видяна</w:t>
      </w:r>
      <w:r w:rsidR="000B75B5" w:rsidRPr="000B75B5">
        <w:rPr>
          <w:rFonts w:ascii="Arial" w:hAnsi="Arial" w:cs="Arial"/>
          <w:noProof/>
          <w:color w:val="000000"/>
          <w:sz w:val="20"/>
        </w:rPr>
        <w:t xml:space="preserve"> следния линк: </w:t>
      </w:r>
      <w:hyperlink r:id="rId8" w:history="1">
        <w:r w:rsidR="000B75B5" w:rsidRPr="000B75B5">
          <w:rPr>
            <w:rFonts w:ascii="Arial" w:hAnsi="Arial" w:cs="Arial"/>
            <w:noProof/>
            <w:color w:val="000000"/>
            <w:sz w:val="20"/>
          </w:rPr>
          <w:t>https://www.mzh.government.bg/bg/press-center/novini/mzhg-predstavi-proekti-na-intervenciite-za-direktn/</w:t>
        </w:r>
      </w:hyperlink>
      <w:r w:rsidR="0076200C">
        <w:rPr>
          <w:rFonts w:ascii="Arial" w:hAnsi="Arial" w:cs="Arial"/>
          <w:noProof/>
          <w:color w:val="000000"/>
          <w:sz w:val="20"/>
        </w:rPr>
        <w:t>.</w:t>
      </w:r>
    </w:p>
    <w:p w:rsidR="00760294" w:rsidRPr="00760294" w:rsidRDefault="00760294" w:rsidP="00760294">
      <w:pPr>
        <w:jc w:val="both"/>
        <w:rPr>
          <w:rFonts w:ascii="Verdana" w:hAnsi="Verdana"/>
          <w:sz w:val="20"/>
          <w:highlight w:val="yellow"/>
        </w:rPr>
      </w:pPr>
    </w:p>
    <w:sectPr w:rsidR="00760294" w:rsidRPr="00760294" w:rsidSect="00852688">
      <w:headerReference w:type="default" r:id="rId9"/>
      <w:footerReference w:type="even" r:id="rId10"/>
      <w:footerReference w:type="default" r:id="rId11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F52" w:rsidRDefault="00206F52">
      <w:r>
        <w:separator/>
      </w:r>
    </w:p>
  </w:endnote>
  <w:endnote w:type="continuationSeparator" w:id="0">
    <w:p w:rsidR="00206F52" w:rsidRDefault="0020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F93F7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F93F7E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F93F7E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F93F7E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F52" w:rsidRDefault="00206F52">
      <w:r>
        <w:separator/>
      </w:r>
    </w:p>
  </w:footnote>
  <w:footnote w:type="continuationSeparator" w:id="0">
    <w:p w:rsidR="00206F52" w:rsidRDefault="0020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21D92B43" wp14:editId="235D7D7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F93F7E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F93F7E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1F08A2">
      <w:rPr>
        <w:rFonts w:ascii="Arial" w:hAnsi="Arial"/>
        <w:b/>
        <w:bCs/>
        <w:color w:val="800080"/>
        <w:sz w:val="20"/>
        <w:lang w:val="en-US"/>
      </w:rPr>
      <w:t>46</w:t>
    </w:r>
    <w:r>
      <w:rPr>
        <w:rFonts w:ascii="Arial" w:hAnsi="Arial"/>
        <w:b/>
        <w:bCs/>
        <w:color w:val="800080"/>
        <w:sz w:val="20"/>
      </w:rPr>
      <w:t>/</w:t>
    </w:r>
    <w:r w:rsidR="001F08A2">
      <w:rPr>
        <w:rFonts w:ascii="Arial" w:hAnsi="Arial"/>
        <w:b/>
        <w:bCs/>
        <w:color w:val="800080"/>
        <w:sz w:val="20"/>
        <w:lang w:val="en-US"/>
      </w:rPr>
      <w:t>14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6D3A68">
      <w:rPr>
        <w:rFonts w:ascii="Arial" w:hAnsi="Arial"/>
        <w:b/>
        <w:bCs/>
        <w:color w:val="800080"/>
        <w:sz w:val="20"/>
        <w:lang w:val="en-US"/>
      </w:rPr>
      <w:t>12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79130C"/>
    <w:multiLevelType w:val="hybridMultilevel"/>
    <w:tmpl w:val="C5C6EB4E"/>
    <w:lvl w:ilvl="0" w:tplc="61127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CC2"/>
    <w:rsid w:val="00007F25"/>
    <w:rsid w:val="000144D9"/>
    <w:rsid w:val="0001496E"/>
    <w:rsid w:val="00014AA6"/>
    <w:rsid w:val="0002016E"/>
    <w:rsid w:val="00020865"/>
    <w:rsid w:val="00020A15"/>
    <w:rsid w:val="0002497A"/>
    <w:rsid w:val="00024DB1"/>
    <w:rsid w:val="00031331"/>
    <w:rsid w:val="00032EDB"/>
    <w:rsid w:val="00033BB1"/>
    <w:rsid w:val="00043231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1CD4"/>
    <w:rsid w:val="000A1F15"/>
    <w:rsid w:val="000A31F0"/>
    <w:rsid w:val="000A7CFB"/>
    <w:rsid w:val="000B2026"/>
    <w:rsid w:val="000B3B85"/>
    <w:rsid w:val="000B402F"/>
    <w:rsid w:val="000B75B5"/>
    <w:rsid w:val="000B7B54"/>
    <w:rsid w:val="000C3AE3"/>
    <w:rsid w:val="000C72E3"/>
    <w:rsid w:val="000D2B7C"/>
    <w:rsid w:val="000E1DC9"/>
    <w:rsid w:val="000E537F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96C73"/>
    <w:rsid w:val="001A0EBC"/>
    <w:rsid w:val="001A6A7A"/>
    <w:rsid w:val="001B1430"/>
    <w:rsid w:val="001B2D6A"/>
    <w:rsid w:val="001B36F7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0241F"/>
    <w:rsid w:val="00206F52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4F4E"/>
    <w:rsid w:val="00275471"/>
    <w:rsid w:val="00276205"/>
    <w:rsid w:val="0027739D"/>
    <w:rsid w:val="00285183"/>
    <w:rsid w:val="0029075B"/>
    <w:rsid w:val="002918DE"/>
    <w:rsid w:val="00291A66"/>
    <w:rsid w:val="0029220D"/>
    <w:rsid w:val="002940DD"/>
    <w:rsid w:val="002A0F65"/>
    <w:rsid w:val="002A2BBE"/>
    <w:rsid w:val="002A2C5F"/>
    <w:rsid w:val="002A5150"/>
    <w:rsid w:val="002A566C"/>
    <w:rsid w:val="002A62C6"/>
    <w:rsid w:val="002A6A4C"/>
    <w:rsid w:val="002B091E"/>
    <w:rsid w:val="002B379D"/>
    <w:rsid w:val="002B44DA"/>
    <w:rsid w:val="002C21A3"/>
    <w:rsid w:val="002C2BAF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5744"/>
    <w:rsid w:val="002F6211"/>
    <w:rsid w:val="002F7E40"/>
    <w:rsid w:val="00300FA3"/>
    <w:rsid w:val="00303C35"/>
    <w:rsid w:val="00304D05"/>
    <w:rsid w:val="00305C45"/>
    <w:rsid w:val="00312DA6"/>
    <w:rsid w:val="00313FBA"/>
    <w:rsid w:val="00315C5C"/>
    <w:rsid w:val="00320AF0"/>
    <w:rsid w:val="0033369E"/>
    <w:rsid w:val="00342FD7"/>
    <w:rsid w:val="00344BDA"/>
    <w:rsid w:val="00350E9F"/>
    <w:rsid w:val="00351AB5"/>
    <w:rsid w:val="00353ACF"/>
    <w:rsid w:val="00374E31"/>
    <w:rsid w:val="00375575"/>
    <w:rsid w:val="003877CA"/>
    <w:rsid w:val="003919E4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33E7"/>
    <w:rsid w:val="003F562A"/>
    <w:rsid w:val="004039AA"/>
    <w:rsid w:val="00403CB9"/>
    <w:rsid w:val="00403F9C"/>
    <w:rsid w:val="00407F6D"/>
    <w:rsid w:val="00411829"/>
    <w:rsid w:val="00412AFD"/>
    <w:rsid w:val="004133A8"/>
    <w:rsid w:val="00414784"/>
    <w:rsid w:val="00414A33"/>
    <w:rsid w:val="00422311"/>
    <w:rsid w:val="00422CDC"/>
    <w:rsid w:val="00423C7E"/>
    <w:rsid w:val="00423E2C"/>
    <w:rsid w:val="004317EA"/>
    <w:rsid w:val="0043388D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373B"/>
    <w:rsid w:val="004A4C92"/>
    <w:rsid w:val="004B46D9"/>
    <w:rsid w:val="004C4EB0"/>
    <w:rsid w:val="004F4705"/>
    <w:rsid w:val="004F5E4F"/>
    <w:rsid w:val="004F61AA"/>
    <w:rsid w:val="004F6C71"/>
    <w:rsid w:val="00502A0A"/>
    <w:rsid w:val="00504E8D"/>
    <w:rsid w:val="00507C25"/>
    <w:rsid w:val="0051071D"/>
    <w:rsid w:val="005159B7"/>
    <w:rsid w:val="005179AD"/>
    <w:rsid w:val="00517F21"/>
    <w:rsid w:val="00521828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3DFC"/>
    <w:rsid w:val="00555894"/>
    <w:rsid w:val="00562C02"/>
    <w:rsid w:val="00563064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2BB6"/>
    <w:rsid w:val="00646A4D"/>
    <w:rsid w:val="0066444F"/>
    <w:rsid w:val="00667861"/>
    <w:rsid w:val="00667C81"/>
    <w:rsid w:val="00673829"/>
    <w:rsid w:val="00675F25"/>
    <w:rsid w:val="006809BC"/>
    <w:rsid w:val="00682667"/>
    <w:rsid w:val="00684801"/>
    <w:rsid w:val="006961F0"/>
    <w:rsid w:val="00696F73"/>
    <w:rsid w:val="006975B9"/>
    <w:rsid w:val="006A094F"/>
    <w:rsid w:val="006A3FDE"/>
    <w:rsid w:val="006A7391"/>
    <w:rsid w:val="006A739D"/>
    <w:rsid w:val="006B4A69"/>
    <w:rsid w:val="006B6A9B"/>
    <w:rsid w:val="006C196D"/>
    <w:rsid w:val="006C64FB"/>
    <w:rsid w:val="006D3A68"/>
    <w:rsid w:val="006D43FF"/>
    <w:rsid w:val="006E7A46"/>
    <w:rsid w:val="006F003E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799B"/>
    <w:rsid w:val="00750FB4"/>
    <w:rsid w:val="00751732"/>
    <w:rsid w:val="00760294"/>
    <w:rsid w:val="0076200C"/>
    <w:rsid w:val="00767AA8"/>
    <w:rsid w:val="007712FE"/>
    <w:rsid w:val="00775905"/>
    <w:rsid w:val="007803FB"/>
    <w:rsid w:val="0078107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3F39"/>
    <w:rsid w:val="007C75B4"/>
    <w:rsid w:val="007D7438"/>
    <w:rsid w:val="007E0994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523EE"/>
    <w:rsid w:val="00852DE4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4403"/>
    <w:rsid w:val="00925BD4"/>
    <w:rsid w:val="00934FA6"/>
    <w:rsid w:val="009355BA"/>
    <w:rsid w:val="00936F1A"/>
    <w:rsid w:val="0094133F"/>
    <w:rsid w:val="00953F05"/>
    <w:rsid w:val="00955B0D"/>
    <w:rsid w:val="00956512"/>
    <w:rsid w:val="009704A2"/>
    <w:rsid w:val="00975F09"/>
    <w:rsid w:val="00976307"/>
    <w:rsid w:val="00977CA7"/>
    <w:rsid w:val="0099695D"/>
    <w:rsid w:val="009A2752"/>
    <w:rsid w:val="009A2789"/>
    <w:rsid w:val="009A4329"/>
    <w:rsid w:val="009A5D09"/>
    <w:rsid w:val="009A71FE"/>
    <w:rsid w:val="009B1FAD"/>
    <w:rsid w:val="009C11B2"/>
    <w:rsid w:val="009C5ACD"/>
    <w:rsid w:val="009D0924"/>
    <w:rsid w:val="009D2A2B"/>
    <w:rsid w:val="009D6F1E"/>
    <w:rsid w:val="009E424C"/>
    <w:rsid w:val="009E45D3"/>
    <w:rsid w:val="009E6BDB"/>
    <w:rsid w:val="009F4E95"/>
    <w:rsid w:val="009F7022"/>
    <w:rsid w:val="00A00FCF"/>
    <w:rsid w:val="00A0180A"/>
    <w:rsid w:val="00A02393"/>
    <w:rsid w:val="00A1170C"/>
    <w:rsid w:val="00A15D87"/>
    <w:rsid w:val="00A227FC"/>
    <w:rsid w:val="00A25AAA"/>
    <w:rsid w:val="00A27EE9"/>
    <w:rsid w:val="00A355F4"/>
    <w:rsid w:val="00A447C0"/>
    <w:rsid w:val="00A50E2C"/>
    <w:rsid w:val="00A5214D"/>
    <w:rsid w:val="00A56825"/>
    <w:rsid w:val="00A63AE5"/>
    <w:rsid w:val="00A673EB"/>
    <w:rsid w:val="00A7132A"/>
    <w:rsid w:val="00A741E2"/>
    <w:rsid w:val="00A74323"/>
    <w:rsid w:val="00A74737"/>
    <w:rsid w:val="00A77E07"/>
    <w:rsid w:val="00A77EC5"/>
    <w:rsid w:val="00AA0722"/>
    <w:rsid w:val="00AB140A"/>
    <w:rsid w:val="00AB1841"/>
    <w:rsid w:val="00AB2303"/>
    <w:rsid w:val="00AC52D6"/>
    <w:rsid w:val="00AC6D0C"/>
    <w:rsid w:val="00AC73DE"/>
    <w:rsid w:val="00AC79F2"/>
    <w:rsid w:val="00AD2239"/>
    <w:rsid w:val="00AD2864"/>
    <w:rsid w:val="00AD504F"/>
    <w:rsid w:val="00AE0D25"/>
    <w:rsid w:val="00AE14FF"/>
    <w:rsid w:val="00AE2FF4"/>
    <w:rsid w:val="00B03285"/>
    <w:rsid w:val="00B15279"/>
    <w:rsid w:val="00B16835"/>
    <w:rsid w:val="00B16C07"/>
    <w:rsid w:val="00B200ED"/>
    <w:rsid w:val="00B3223C"/>
    <w:rsid w:val="00B34793"/>
    <w:rsid w:val="00B36E39"/>
    <w:rsid w:val="00B40543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E95"/>
    <w:rsid w:val="00C12F44"/>
    <w:rsid w:val="00C137A5"/>
    <w:rsid w:val="00C20809"/>
    <w:rsid w:val="00C250AD"/>
    <w:rsid w:val="00C3643A"/>
    <w:rsid w:val="00C37B23"/>
    <w:rsid w:val="00C37DB1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77E05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05A7F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E91"/>
    <w:rsid w:val="00E02B6A"/>
    <w:rsid w:val="00E03B59"/>
    <w:rsid w:val="00E14275"/>
    <w:rsid w:val="00E14276"/>
    <w:rsid w:val="00E17E07"/>
    <w:rsid w:val="00E2125A"/>
    <w:rsid w:val="00E23670"/>
    <w:rsid w:val="00E24FA2"/>
    <w:rsid w:val="00E256E7"/>
    <w:rsid w:val="00E32DB5"/>
    <w:rsid w:val="00E34393"/>
    <w:rsid w:val="00E350AD"/>
    <w:rsid w:val="00E35D6F"/>
    <w:rsid w:val="00E4290A"/>
    <w:rsid w:val="00E44DF1"/>
    <w:rsid w:val="00E47639"/>
    <w:rsid w:val="00E514F9"/>
    <w:rsid w:val="00E51A6D"/>
    <w:rsid w:val="00E5449B"/>
    <w:rsid w:val="00E5560C"/>
    <w:rsid w:val="00E6099A"/>
    <w:rsid w:val="00E60B1D"/>
    <w:rsid w:val="00E66198"/>
    <w:rsid w:val="00E67885"/>
    <w:rsid w:val="00E80A45"/>
    <w:rsid w:val="00E828B4"/>
    <w:rsid w:val="00E92B0F"/>
    <w:rsid w:val="00E95022"/>
    <w:rsid w:val="00EA1C65"/>
    <w:rsid w:val="00EA332C"/>
    <w:rsid w:val="00EA4B29"/>
    <w:rsid w:val="00EA4B99"/>
    <w:rsid w:val="00EA5878"/>
    <w:rsid w:val="00EB0F17"/>
    <w:rsid w:val="00EB289B"/>
    <w:rsid w:val="00EB31B9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12C83"/>
    <w:rsid w:val="00F2184B"/>
    <w:rsid w:val="00F23EFD"/>
    <w:rsid w:val="00F30D26"/>
    <w:rsid w:val="00F40091"/>
    <w:rsid w:val="00F40970"/>
    <w:rsid w:val="00F410B8"/>
    <w:rsid w:val="00F43319"/>
    <w:rsid w:val="00F4416D"/>
    <w:rsid w:val="00F51C30"/>
    <w:rsid w:val="00F531AD"/>
    <w:rsid w:val="00F5494E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3F7E"/>
    <w:rsid w:val="00F9503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74627D"/>
  <w15:docId w15:val="{AC7A89AB-E806-4F9E-91F2-DE99BCF9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xmsolistparagraph">
    <w:name w:val="x_msolistparagraph"/>
    <w:basedOn w:val="a"/>
    <w:rsid w:val="00976307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bg/press-center/novini/mzhg-predstavi-proekti-na-intervenciite-za-direkt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57C8-EF7A-42B3-B677-B5A960A5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59</cp:revision>
  <dcterms:created xsi:type="dcterms:W3CDTF">2020-12-13T07:04:00Z</dcterms:created>
  <dcterms:modified xsi:type="dcterms:W3CDTF">2020-12-16T09:54:00Z</dcterms:modified>
</cp:coreProperties>
</file>