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_xmlsignatures/sig5.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6347F" w14:textId="77777777" w:rsidR="000B2862" w:rsidRPr="00D63464" w:rsidRDefault="000B2862" w:rsidP="00D63464">
      <w:pPr>
        <w:tabs>
          <w:tab w:val="center" w:pos="4677"/>
          <w:tab w:val="left" w:pos="8149"/>
        </w:tabs>
        <w:spacing w:line="348" w:lineRule="auto"/>
        <w:jc w:val="right"/>
        <w:rPr>
          <w:rFonts w:ascii="Times New Roman" w:eastAsia="Times New Roman" w:hAnsi="Times New Roman" w:cs="Times New Roman"/>
          <w:b/>
          <w:spacing w:val="100"/>
          <w:sz w:val="24"/>
          <w:szCs w:val="24"/>
          <w:lang w:val="bg-BG" w:eastAsia="zh-CN"/>
        </w:rPr>
      </w:pPr>
      <w:r w:rsidRPr="00D63464">
        <w:rPr>
          <w:rFonts w:ascii="Times New Roman" w:eastAsia="Times New Roman" w:hAnsi="Times New Roman" w:cs="Times New Roman"/>
          <w:sz w:val="24"/>
          <w:szCs w:val="24"/>
          <w:lang w:val="bg-BG" w:eastAsia="zh-CN"/>
        </w:rPr>
        <w:t>Проект</w:t>
      </w:r>
    </w:p>
    <w:p w14:paraId="28402DE1" w14:textId="77777777" w:rsidR="00D61ED6" w:rsidRPr="00D63464" w:rsidRDefault="00D61ED6" w:rsidP="00D63464">
      <w:pPr>
        <w:spacing w:line="348" w:lineRule="auto"/>
        <w:jc w:val="center"/>
        <w:rPr>
          <w:rFonts w:ascii="Times New Roman" w:eastAsia="Times New Roman" w:hAnsi="Times New Roman" w:cs="Times New Roman"/>
          <w:spacing w:val="80"/>
          <w:sz w:val="24"/>
          <w:szCs w:val="24"/>
          <w:lang w:val="bg-BG"/>
        </w:rPr>
      </w:pPr>
    </w:p>
    <w:p w14:paraId="36660EB0" w14:textId="77777777" w:rsidR="00D63464" w:rsidRPr="00D63464" w:rsidRDefault="00D63464" w:rsidP="00D63464">
      <w:pPr>
        <w:keepNext/>
        <w:spacing w:line="348" w:lineRule="auto"/>
        <w:jc w:val="center"/>
        <w:textAlignment w:val="center"/>
        <w:rPr>
          <w:rFonts w:ascii="Times New Roman" w:eastAsia="Times New Roman" w:hAnsi="Times New Roman" w:cs="Times New Roman"/>
          <w:b/>
          <w:bCs/>
          <w:color w:val="000000"/>
          <w:sz w:val="28"/>
          <w:szCs w:val="28"/>
          <w:lang w:val="bg-BG"/>
        </w:rPr>
      </w:pPr>
      <w:r w:rsidRPr="00D63464">
        <w:rPr>
          <w:rFonts w:ascii="Times New Roman" w:eastAsia="Times New Roman" w:hAnsi="Times New Roman" w:cs="Times New Roman"/>
          <w:b/>
          <w:bCs/>
          <w:color w:val="000000"/>
          <w:spacing w:val="90"/>
          <w:sz w:val="28"/>
          <w:szCs w:val="28"/>
          <w:lang w:val="bg-BG"/>
        </w:rPr>
        <w:t xml:space="preserve">ПОСТАНОВЛЕНИЕ </w:t>
      </w:r>
      <w:r w:rsidRPr="00D63464">
        <w:rPr>
          <w:rFonts w:ascii="Times New Roman" w:eastAsia="Times New Roman" w:hAnsi="Times New Roman" w:cs="Times New Roman"/>
          <w:b/>
          <w:bCs/>
          <w:color w:val="000000"/>
          <w:sz w:val="28"/>
          <w:szCs w:val="28"/>
          <w:lang w:val="bg-BG"/>
        </w:rPr>
        <w:t xml:space="preserve">№ ......... </w:t>
      </w:r>
    </w:p>
    <w:p w14:paraId="044E448B" w14:textId="77777777" w:rsidR="00D63464" w:rsidRPr="00D63464" w:rsidRDefault="00D63464" w:rsidP="00D63464">
      <w:pPr>
        <w:keepNext/>
        <w:spacing w:line="348" w:lineRule="auto"/>
        <w:jc w:val="center"/>
        <w:textAlignment w:val="center"/>
        <w:rPr>
          <w:rFonts w:ascii="Times New Roman" w:eastAsia="Times New Roman" w:hAnsi="Times New Roman" w:cs="Times New Roman"/>
          <w:color w:val="000000"/>
          <w:sz w:val="28"/>
          <w:szCs w:val="28"/>
          <w:lang w:val="bg-BG"/>
        </w:rPr>
      </w:pPr>
      <w:r w:rsidRPr="00D63464">
        <w:rPr>
          <w:rFonts w:ascii="Times New Roman" w:eastAsia="Times New Roman" w:hAnsi="Times New Roman" w:cs="Times New Roman"/>
          <w:b/>
          <w:bCs/>
          <w:color w:val="000000"/>
          <w:sz w:val="28"/>
          <w:szCs w:val="28"/>
          <w:lang w:val="bg-BG"/>
        </w:rPr>
        <w:t>от ................................... година</w:t>
      </w:r>
    </w:p>
    <w:p w14:paraId="5117E332" w14:textId="77777777" w:rsidR="00D61ED6" w:rsidRPr="00D63464" w:rsidRDefault="00D61ED6" w:rsidP="00D63464">
      <w:pPr>
        <w:spacing w:line="348" w:lineRule="auto"/>
        <w:jc w:val="center"/>
        <w:rPr>
          <w:rFonts w:ascii="Times New Roman" w:eastAsia="Times New Roman" w:hAnsi="Times New Roman" w:cs="Times New Roman"/>
          <w:sz w:val="24"/>
          <w:szCs w:val="24"/>
          <w:lang w:val="bg-BG"/>
        </w:rPr>
      </w:pPr>
    </w:p>
    <w:p w14:paraId="7A7B7559" w14:textId="63830E2E" w:rsidR="000B2862" w:rsidRPr="00D63464" w:rsidRDefault="000B2862" w:rsidP="00D63464">
      <w:pPr>
        <w:spacing w:line="348" w:lineRule="auto"/>
        <w:ind w:left="454" w:hanging="454"/>
        <w:jc w:val="both"/>
        <w:rPr>
          <w:rFonts w:ascii="Times New Roman" w:hAnsi="Times New Roman" w:cs="Times New Roman"/>
          <w:b/>
          <w:smallCaps/>
          <w:sz w:val="24"/>
          <w:szCs w:val="24"/>
          <w:lang w:val="bg-BG" w:eastAsia="zh-CN"/>
        </w:rPr>
      </w:pPr>
      <w:r w:rsidRPr="00D63464">
        <w:rPr>
          <w:rFonts w:ascii="Times New Roman" w:hAnsi="Times New Roman" w:cs="Times New Roman"/>
          <w:b/>
          <w:sz w:val="24"/>
          <w:szCs w:val="24"/>
          <w:lang w:val="bg-BG" w:eastAsia="zh-CN"/>
        </w:rPr>
        <w:t xml:space="preserve">ЗА </w:t>
      </w:r>
      <w:r w:rsidR="003D08F1" w:rsidRPr="00D63464">
        <w:rPr>
          <w:rFonts w:ascii="Times New Roman" w:hAnsi="Times New Roman" w:cs="Times New Roman"/>
          <w:b/>
          <w:bCs/>
          <w:smallCaps/>
          <w:sz w:val="24"/>
          <w:szCs w:val="24"/>
          <w:lang w:val="bg-BG" w:eastAsia="bg-BG"/>
        </w:rPr>
        <w:t xml:space="preserve">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по Програмата за морско дело, рибарство и </w:t>
      </w:r>
      <w:proofErr w:type="spellStart"/>
      <w:r w:rsidR="003D08F1" w:rsidRPr="00D63464">
        <w:rPr>
          <w:rFonts w:ascii="Times New Roman" w:hAnsi="Times New Roman" w:cs="Times New Roman"/>
          <w:b/>
          <w:bCs/>
          <w:smallCaps/>
          <w:sz w:val="24"/>
          <w:szCs w:val="24"/>
          <w:lang w:val="bg-BG" w:eastAsia="bg-BG"/>
        </w:rPr>
        <w:t>аквакултури</w:t>
      </w:r>
      <w:proofErr w:type="spellEnd"/>
      <w:r w:rsidR="003D08F1" w:rsidRPr="00D63464">
        <w:rPr>
          <w:rFonts w:ascii="Times New Roman" w:hAnsi="Times New Roman" w:cs="Times New Roman"/>
          <w:b/>
          <w:bCs/>
          <w:smallCaps/>
          <w:sz w:val="24"/>
          <w:szCs w:val="24"/>
          <w:lang w:val="bg-BG" w:eastAsia="bg-BG"/>
        </w:rPr>
        <w:t xml:space="preserve"> за периода 2021 – 2027 г. и тяхното възстановяване</w:t>
      </w:r>
    </w:p>
    <w:p w14:paraId="6D51C420" w14:textId="77777777" w:rsidR="000B2862" w:rsidRPr="00D63464" w:rsidRDefault="000B2862" w:rsidP="00D63464">
      <w:pPr>
        <w:spacing w:line="348" w:lineRule="auto"/>
        <w:ind w:firstLine="709"/>
        <w:rPr>
          <w:rFonts w:ascii="Times New Roman" w:hAnsi="Times New Roman" w:cs="Times New Roman"/>
          <w:sz w:val="24"/>
          <w:szCs w:val="24"/>
          <w:lang w:val="bg-BG" w:eastAsia="zh-CN"/>
        </w:rPr>
      </w:pPr>
      <w:bookmarkStart w:id="0" w:name="_GoBack"/>
      <w:bookmarkEnd w:id="0"/>
    </w:p>
    <w:p w14:paraId="74DDF5EF" w14:textId="459311AD" w:rsidR="000B2862" w:rsidRPr="00D63464" w:rsidRDefault="000B2862" w:rsidP="00D63464">
      <w:pPr>
        <w:spacing w:line="348" w:lineRule="auto"/>
        <w:ind w:firstLine="709"/>
        <w:jc w:val="both"/>
        <w:rPr>
          <w:rFonts w:ascii="Times New Roman" w:hAnsi="Times New Roman" w:cs="Times New Roman"/>
          <w:sz w:val="24"/>
          <w:szCs w:val="24"/>
          <w:lang w:val="bg-BG" w:eastAsia="zh-CN"/>
        </w:rPr>
      </w:pPr>
      <w:r w:rsidRPr="00D63464">
        <w:rPr>
          <w:rFonts w:ascii="Times New Roman" w:hAnsi="Times New Roman" w:cs="Times New Roman"/>
          <w:sz w:val="24"/>
          <w:szCs w:val="24"/>
          <w:lang w:val="bg-BG" w:eastAsia="zh-CN"/>
        </w:rPr>
        <w:t xml:space="preserve">На основание </w:t>
      </w:r>
      <w:r w:rsidR="003D08F1" w:rsidRPr="00D63464">
        <w:rPr>
          <w:rFonts w:ascii="Times New Roman" w:hAnsi="Times New Roman" w:cs="Times New Roman"/>
          <w:sz w:val="24"/>
          <w:szCs w:val="24"/>
          <w:lang w:val="bg-BG" w:eastAsia="zh-CN"/>
        </w:rPr>
        <w:t>чл. 104, ал. 1, т. 1 от Закона за публичните финанси</w:t>
      </w:r>
    </w:p>
    <w:p w14:paraId="0230CAD6" w14:textId="77777777" w:rsidR="000B2862" w:rsidRPr="00D63464" w:rsidRDefault="000B2862" w:rsidP="00D63464">
      <w:pPr>
        <w:spacing w:line="348" w:lineRule="auto"/>
        <w:ind w:firstLine="709"/>
        <w:jc w:val="both"/>
        <w:rPr>
          <w:rFonts w:ascii="Times New Roman" w:hAnsi="Times New Roman" w:cs="Times New Roman"/>
          <w:sz w:val="24"/>
          <w:szCs w:val="24"/>
          <w:lang w:val="bg-BG" w:eastAsia="zh-CN"/>
        </w:rPr>
      </w:pPr>
    </w:p>
    <w:p w14:paraId="24E234B5" w14:textId="77777777" w:rsidR="000B2862" w:rsidRPr="00D63464" w:rsidRDefault="000B2862" w:rsidP="00D63464">
      <w:pPr>
        <w:spacing w:line="348" w:lineRule="auto"/>
        <w:jc w:val="center"/>
        <w:rPr>
          <w:rFonts w:ascii="Times New Roman" w:hAnsi="Times New Roman" w:cs="Times New Roman"/>
          <w:b/>
          <w:caps/>
          <w:spacing w:val="70"/>
          <w:sz w:val="28"/>
          <w:szCs w:val="28"/>
          <w:lang w:val="bg-BG" w:eastAsia="zh-CN"/>
        </w:rPr>
      </w:pPr>
      <w:r w:rsidRPr="00D63464">
        <w:rPr>
          <w:rFonts w:ascii="Times New Roman" w:hAnsi="Times New Roman" w:cs="Times New Roman"/>
          <w:b/>
          <w:caps/>
          <w:spacing w:val="70"/>
          <w:sz w:val="28"/>
          <w:szCs w:val="28"/>
          <w:lang w:val="bg-BG" w:eastAsia="zh-CN"/>
        </w:rPr>
        <w:t>Министерският съвет</w:t>
      </w:r>
    </w:p>
    <w:p w14:paraId="150CC9BE" w14:textId="35025FFE" w:rsidR="000B2862" w:rsidRPr="00D63464" w:rsidRDefault="00D63464" w:rsidP="00D63464">
      <w:pPr>
        <w:spacing w:line="348" w:lineRule="auto"/>
        <w:jc w:val="center"/>
        <w:rPr>
          <w:rFonts w:ascii="Times New Roman" w:hAnsi="Times New Roman" w:cs="Times New Roman"/>
          <w:b/>
          <w:caps/>
          <w:spacing w:val="70"/>
          <w:sz w:val="28"/>
          <w:szCs w:val="28"/>
          <w:lang w:val="bg-BG" w:eastAsia="zh-CN"/>
        </w:rPr>
      </w:pPr>
      <w:r w:rsidRPr="00D63464">
        <w:rPr>
          <w:rFonts w:ascii="Times New Roman" w:hAnsi="Times New Roman" w:cs="Times New Roman"/>
          <w:b/>
          <w:caps/>
          <w:spacing w:val="70"/>
          <w:sz w:val="28"/>
          <w:szCs w:val="28"/>
          <w:lang w:val="bg-BG" w:eastAsia="zh-CN"/>
        </w:rPr>
        <w:t>постанови</w:t>
      </w:r>
      <w:r w:rsidR="000B2862" w:rsidRPr="00D63464">
        <w:rPr>
          <w:rFonts w:ascii="Times New Roman" w:hAnsi="Times New Roman" w:cs="Times New Roman"/>
          <w:b/>
          <w:caps/>
          <w:spacing w:val="70"/>
          <w:sz w:val="28"/>
          <w:szCs w:val="28"/>
          <w:lang w:val="bg-BG" w:eastAsia="zh-CN"/>
        </w:rPr>
        <w:t>:</w:t>
      </w:r>
    </w:p>
    <w:p w14:paraId="099E836D" w14:textId="77777777" w:rsidR="003D08F1" w:rsidRPr="00D63464" w:rsidRDefault="003D08F1" w:rsidP="00D63464">
      <w:pPr>
        <w:widowControl w:val="0"/>
        <w:autoSpaceDE w:val="0"/>
        <w:autoSpaceDN w:val="0"/>
        <w:adjustRightInd w:val="0"/>
        <w:spacing w:line="348" w:lineRule="auto"/>
        <w:ind w:firstLine="709"/>
        <w:rPr>
          <w:rFonts w:ascii="Times New Roman" w:hAnsi="Times New Roman" w:cs="Times New Roman"/>
          <w:bCs/>
          <w:spacing w:val="66"/>
          <w:sz w:val="24"/>
          <w:szCs w:val="24"/>
          <w:lang w:val="bg-BG" w:eastAsia="bg-BG"/>
        </w:rPr>
      </w:pPr>
    </w:p>
    <w:p w14:paraId="21249A4E" w14:textId="5529AABC"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Чл. 1.</w:t>
      </w:r>
      <w:r w:rsidRPr="00D63464">
        <w:rPr>
          <w:rFonts w:ascii="Times New Roman" w:hAnsi="Times New Roman" w:cs="Times New Roman"/>
          <w:sz w:val="24"/>
          <w:szCs w:val="24"/>
          <w:lang w:val="bg-BG" w:eastAsia="bg-BG"/>
        </w:rPr>
        <w:t xml:space="preserve"> Безлихвен заем от централния бюджет може да бъде отпуснат на община с одобрен проект по Програмата за морско дело, рибарство и </w:t>
      </w:r>
      <w:proofErr w:type="spellStart"/>
      <w:r w:rsidRPr="00D63464">
        <w:rPr>
          <w:rFonts w:ascii="Times New Roman" w:hAnsi="Times New Roman" w:cs="Times New Roman"/>
          <w:sz w:val="24"/>
          <w:szCs w:val="24"/>
          <w:lang w:val="bg-BG" w:eastAsia="bg-BG"/>
        </w:rPr>
        <w:t>аквакултури</w:t>
      </w:r>
      <w:proofErr w:type="spellEnd"/>
      <w:r w:rsidRPr="00D63464">
        <w:rPr>
          <w:rFonts w:ascii="Times New Roman" w:hAnsi="Times New Roman" w:cs="Times New Roman"/>
          <w:sz w:val="24"/>
          <w:szCs w:val="24"/>
          <w:lang w:val="bg-BG" w:eastAsia="bg-BG"/>
        </w:rPr>
        <w:t xml:space="preserve"> за периода 2021</w:t>
      </w:r>
      <w:r w:rsidRPr="00D63464">
        <w:rPr>
          <w:rFonts w:ascii="Times New Roman" w:hAnsi="Times New Roman" w:cs="Times New Roman"/>
          <w:sz w:val="24"/>
          <w:szCs w:val="24"/>
          <w:lang w:eastAsia="bg-BG"/>
        </w:rPr>
        <w:t> </w:t>
      </w:r>
      <w:r w:rsidRPr="00D63464">
        <w:rPr>
          <w:rFonts w:ascii="Times New Roman" w:hAnsi="Times New Roman" w:cs="Times New Roman"/>
          <w:sz w:val="24"/>
          <w:szCs w:val="24"/>
          <w:lang w:val="bg-BG" w:eastAsia="bg-BG"/>
        </w:rPr>
        <w:t>– 2027 г. (ПМДРА 2021 – 2027 г.), която отговаря на следните условия:</w:t>
      </w:r>
    </w:p>
    <w:p w14:paraId="14407489"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1. сключила е договор с Министерството на земеделието и храните за предоставяне на безвъзмездна финансова помощ или административен договор;</w:t>
      </w:r>
    </w:p>
    <w:p w14:paraId="07C36937"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2. сключила е договор с изпълнител за съответния проект;</w:t>
      </w:r>
    </w:p>
    <w:p w14:paraId="6EA8145B" w14:textId="480F9534"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3. е получила уведомление за осъществен последващ контрол от Управляващия орган на ПМДРА 2021</w:t>
      </w:r>
      <w:r w:rsidRPr="00D63464">
        <w:rPr>
          <w:rFonts w:ascii="Times New Roman" w:hAnsi="Times New Roman" w:cs="Times New Roman"/>
          <w:sz w:val="24"/>
          <w:szCs w:val="24"/>
          <w:lang w:eastAsia="bg-BG"/>
        </w:rPr>
        <w:t xml:space="preserve"> – </w:t>
      </w:r>
      <w:r w:rsidRPr="00D63464">
        <w:rPr>
          <w:rFonts w:ascii="Times New Roman" w:hAnsi="Times New Roman" w:cs="Times New Roman"/>
          <w:sz w:val="24"/>
          <w:szCs w:val="24"/>
          <w:lang w:val="bg-BG" w:eastAsia="bg-BG"/>
        </w:rPr>
        <w:t>2027 г., след провеждане на процедура за възлагане на обществена поръчка;</w:t>
      </w:r>
    </w:p>
    <w:p w14:paraId="4121DBCC" w14:textId="553A299B"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 xml:space="preserve">4. няма задължения към Държавен фонд „Земеделие“, Програмата за морско дело и рибарство 2014 </w:t>
      </w:r>
      <w:r w:rsidRPr="00D63464">
        <w:rPr>
          <w:rFonts w:ascii="Times New Roman" w:hAnsi="Times New Roman" w:cs="Times New Roman"/>
          <w:sz w:val="24"/>
          <w:szCs w:val="24"/>
          <w:lang w:eastAsia="bg-BG"/>
        </w:rPr>
        <w:t>–</w:t>
      </w:r>
      <w:r w:rsidRPr="00D63464">
        <w:rPr>
          <w:rFonts w:ascii="Times New Roman" w:hAnsi="Times New Roman" w:cs="Times New Roman"/>
          <w:sz w:val="24"/>
          <w:szCs w:val="24"/>
          <w:lang w:val="bg-BG" w:eastAsia="bg-BG"/>
        </w:rPr>
        <w:t xml:space="preserve"> 2020 г. и ПМДРА 2021 – 2027 г. освен ако е допуснато разсрочване, отсрочване или обезпечение на задълженията или задължението е по акт, който не е влязъл в сила.</w:t>
      </w:r>
    </w:p>
    <w:p w14:paraId="335AF5DA"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4AF9FAF3"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Чл. 2.</w:t>
      </w:r>
      <w:r w:rsidRPr="00D63464">
        <w:rPr>
          <w:rFonts w:ascii="Times New Roman" w:hAnsi="Times New Roman" w:cs="Times New Roman"/>
          <w:sz w:val="24"/>
          <w:szCs w:val="24"/>
          <w:lang w:val="bg-BG" w:eastAsia="bg-BG"/>
        </w:rPr>
        <w:t xml:space="preserve"> (1) Заемът се отпуска на съответната община за извършване на окончателно </w:t>
      </w:r>
      <w:r w:rsidRPr="00D63464">
        <w:rPr>
          <w:rFonts w:ascii="Times New Roman" w:hAnsi="Times New Roman" w:cs="Times New Roman"/>
          <w:sz w:val="24"/>
          <w:szCs w:val="24"/>
          <w:lang w:val="bg-BG" w:eastAsia="bg-BG"/>
        </w:rPr>
        <w:lastRenderedPageBreak/>
        <w:t>плащане на разходите по изпълнението на съответния проект в размер до разликата между общия размер на одобрените за финансово подпомагане разходи, включени в исканията за плащане, и платените по проекта авансово и междинни плащания от Държавен фонд „Земеделие“.</w:t>
      </w:r>
    </w:p>
    <w:p w14:paraId="731D0DF2"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(2) Общината може да кандидатства за отпускане на заем по ал. 1 след проверка на окончателното изпълнение на проекта и одобряване от Държавен фонд „Земеделие“ на окончателния размер на безвъзмездната финансова помощ по съответния проект, като подаде искане до Държавен фонд „Земеделие“, в което се посочва размерът на заема, за който кандидатства.</w:t>
      </w:r>
    </w:p>
    <w:p w14:paraId="3CACFCAB"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(3) Разликата между искания размер на разходите за изпълнението на конкретния проект и одобрените за окончателно плащане от Държавен фонд „Земеделие“ се осигурява от общината.</w:t>
      </w:r>
    </w:p>
    <w:p w14:paraId="5365FA6C"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(4) Към искането по ал. 2 за разходите, за които се иска отпускане на безлихвен заем, се представят фактура или проформа фактура и инициирано чрез системата за електронни бюджетни разплащания (СЕБРА) бюджетно платежно нареждане.</w:t>
      </w:r>
    </w:p>
    <w:p w14:paraId="0A44D3F5" w14:textId="0743ED4D"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(5) В случай на необходимост в срок до 10 дни от одобряването от Държавен фонд „Земеделие“ на окончателния размер на безвъзмездната финансова помощ общината подава коригирано бюджетно платежно нареждане, инициирано чрез СЕБРА.</w:t>
      </w:r>
    </w:p>
    <w:p w14:paraId="53F349EF"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0D8425DD"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Чл. 3.</w:t>
      </w:r>
      <w:r w:rsidRPr="00D63464">
        <w:rPr>
          <w:rFonts w:ascii="Times New Roman" w:hAnsi="Times New Roman" w:cs="Times New Roman"/>
          <w:sz w:val="24"/>
          <w:szCs w:val="24"/>
          <w:lang w:val="bg-BG" w:eastAsia="bg-BG"/>
        </w:rPr>
        <w:t xml:space="preserve"> (1) Изпълнителният директор на Държавен фонд „Земеделие“ уведомява министъра на финансите за одобрените проекти на общините, за очаквания размер на окончателните плащания по сключените с тях договори по ПМДРА 2021 – 2027 г. и за прогнозния общ размер на заемите за окончателни плащания по години за периода на действие на ПМДРА 2021 – 2027 г.</w:t>
      </w:r>
    </w:p>
    <w:p w14:paraId="21AD4A2E"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 xml:space="preserve">(2) Изпълнителният директор на Държавен фонд „Земеделие“ заявява в Министерството на финансите до 10-о число на месеца необходимия месечен лимит за заеми с </w:t>
      </w:r>
      <w:proofErr w:type="spellStart"/>
      <w:r w:rsidRPr="00D63464">
        <w:rPr>
          <w:rFonts w:ascii="Times New Roman" w:hAnsi="Times New Roman" w:cs="Times New Roman"/>
          <w:sz w:val="24"/>
          <w:szCs w:val="24"/>
          <w:lang w:val="bg-BG" w:eastAsia="bg-BG"/>
        </w:rPr>
        <w:t>разшифровка</w:t>
      </w:r>
      <w:proofErr w:type="spellEnd"/>
      <w:r w:rsidRPr="00D63464">
        <w:rPr>
          <w:rFonts w:ascii="Times New Roman" w:hAnsi="Times New Roman" w:cs="Times New Roman"/>
          <w:sz w:val="24"/>
          <w:szCs w:val="24"/>
          <w:lang w:val="bg-BG" w:eastAsia="bg-BG"/>
        </w:rPr>
        <w:t xml:space="preserve"> по общини и проекти. Към писмото със заявката се прилага прогнозно месечно разпределение за предоставяне и възстановяване на заеми до края на бюджетната година по общини и по проекти.</w:t>
      </w:r>
    </w:p>
    <w:p w14:paraId="100397B6"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 xml:space="preserve">(3) Въз основа на представената по реда на ал. 2 заявка Министерството на финансите залага общ месечен лимит за заеми от централния бюджет за общините по </w:t>
      </w:r>
      <w:r w:rsidRPr="00D63464">
        <w:rPr>
          <w:rFonts w:ascii="Times New Roman" w:hAnsi="Times New Roman" w:cs="Times New Roman"/>
          <w:spacing w:val="-4"/>
          <w:sz w:val="24"/>
          <w:szCs w:val="24"/>
          <w:lang w:val="bg-BG" w:eastAsia="bg-BG"/>
        </w:rPr>
        <w:t>отделна бюджетна сметка в Българската народна банка. Титуляр на сметката е Държавен фонд „Земеделие“, като операциите по нея се включват за отчитане по централния бюджет.</w:t>
      </w:r>
    </w:p>
    <w:p w14:paraId="74DFE227"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(4) Лимитът за заеми от централния бюджет за всяка община се определя от Държавен фонд „Земеделие“ при условията и по реда на чл. 2.</w:t>
      </w:r>
    </w:p>
    <w:p w14:paraId="4BF3E57B"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(5) Заемите по чл. 2, ал. 1 от централния бюджет се отпускат до 30 ноември на съответната календарна година.</w:t>
      </w:r>
    </w:p>
    <w:p w14:paraId="66B78E80"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lastRenderedPageBreak/>
        <w:t>(6) В срок един месец от отпускането на заема по чл. 2, ал. 1, но не по-късно от 15 декември, Държавен фонд „Земеделие“ превежда одобрената безвъзмездна финансова помощ в размера на ползвания заем по конкретния договор на общината по посочената в чл. 5, т. 1 сметка.</w:t>
      </w:r>
    </w:p>
    <w:p w14:paraId="2AE2B724" w14:textId="07D5F300"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(7) Всеки месец до 10-о число Държавен фонд „Земеделие“ предоставя информация на Министерството на финансите за отпуснатите заеми по общини за извършените и одобрените разходи за осъществяването на съответните проекти, както и информация за погашенията по отпуснатите заеми по общини и по проекти към края на предходния месец. Информацията за месец ноември се представя до 5 декември и последващо ежедневно се представя оперативна информация за погашенията по отпуснатите заеми.</w:t>
      </w:r>
    </w:p>
    <w:p w14:paraId="35D7E92B"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5698B678"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Чл. 4.</w:t>
      </w:r>
      <w:r w:rsidRPr="00D63464">
        <w:rPr>
          <w:rFonts w:ascii="Times New Roman" w:hAnsi="Times New Roman" w:cs="Times New Roman"/>
          <w:sz w:val="24"/>
          <w:szCs w:val="24"/>
          <w:lang w:val="bg-BG" w:eastAsia="bg-BG"/>
        </w:rPr>
        <w:t xml:space="preserve"> При искане за заем общината инициира бюджетно платежно нареждане чрез системата за електронни бюджетни разплащания (СЕБРА), като:</w:t>
      </w:r>
    </w:p>
    <w:p w14:paraId="3B9D03FE"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 xml:space="preserve">1. всяка община прилага съответния </w:t>
      </w:r>
      <w:proofErr w:type="spellStart"/>
      <w:r w:rsidRPr="00D63464">
        <w:rPr>
          <w:rFonts w:ascii="Times New Roman" w:hAnsi="Times New Roman" w:cs="Times New Roman"/>
          <w:sz w:val="24"/>
          <w:szCs w:val="24"/>
          <w:lang w:val="bg-BG" w:eastAsia="bg-BG"/>
        </w:rPr>
        <w:t>десетразряден</w:t>
      </w:r>
      <w:proofErr w:type="spellEnd"/>
      <w:r w:rsidRPr="00D63464">
        <w:rPr>
          <w:rFonts w:ascii="Times New Roman" w:hAnsi="Times New Roman" w:cs="Times New Roman"/>
          <w:sz w:val="24"/>
          <w:szCs w:val="24"/>
          <w:lang w:val="bg-BG" w:eastAsia="bg-BG"/>
        </w:rPr>
        <w:t xml:space="preserve"> код в СЕБРА съгласно чл. 7, чрез който инициира бюджетно платежно нареждане за плащания към изпълнителите на съответните проекти;</w:t>
      </w:r>
    </w:p>
    <w:p w14:paraId="11AEFE6B"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2. одобряването на плащанията в СЕБРА се извършва от Държавен фонд „Земеделие“ в рамките на лимита, заложен за съответната община;</w:t>
      </w:r>
    </w:p>
    <w:p w14:paraId="01630BDE" w14:textId="7BF79EFA"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3. се одобряват плащания за разходи, предварително проверени и одобрени от Държавен фонд „Земеделие“, към изпълнителите по съответните проекти или към трето лице, което се явява оправомощено да получи плащането по силата на договор или нормативен акт, и се отхвърля всяко друго наредено плащане.</w:t>
      </w:r>
    </w:p>
    <w:p w14:paraId="659AD933"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4FCAF194"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Чл. 5.</w:t>
      </w:r>
      <w:r w:rsidRPr="00D63464">
        <w:rPr>
          <w:rFonts w:ascii="Times New Roman" w:hAnsi="Times New Roman" w:cs="Times New Roman"/>
          <w:sz w:val="24"/>
          <w:szCs w:val="24"/>
          <w:lang w:val="bg-BG" w:eastAsia="bg-BG"/>
        </w:rPr>
        <w:t xml:space="preserve"> Отпуснатите заеми от централния бюджет на общините се възстановяват по следния ред:</w:t>
      </w:r>
    </w:p>
    <w:p w14:paraId="37A2A1DE"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1. общината, получила временен безлихвен заем от централния бюджет за разходи по одобрени проекти по ПМДРА 2021 – 2027 г., прилага съответната бюджетна сметка (7304) в обслужващата банка съгласно чл. 7;</w:t>
      </w:r>
    </w:p>
    <w:p w14:paraId="7528A48D"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2. сметката по т. 1 се използва само за превежданите от Държавен фонд „Земеделие“ постъпления от безвъзмездната финансова помощ по ПМДРА 2021 – 2027 г. и за незабавното им превеждане служебно от банката, обслужваща общината, по сметката по чл. 3, ал. 3; по сметката по т. 1 не може да се извършват операции по нареждане на общината;</w:t>
      </w:r>
    </w:p>
    <w:p w14:paraId="333DAC6F"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 xml:space="preserve">3. при извършването на превода към сметката по чл. 3, ал. 3 за възстановяване на заема, банката попълва </w:t>
      </w:r>
      <w:proofErr w:type="spellStart"/>
      <w:r w:rsidRPr="00D63464">
        <w:rPr>
          <w:rFonts w:ascii="Times New Roman" w:hAnsi="Times New Roman" w:cs="Times New Roman"/>
          <w:sz w:val="24"/>
          <w:szCs w:val="24"/>
          <w:lang w:val="bg-BG" w:eastAsia="bg-BG"/>
        </w:rPr>
        <w:t>десетразрядния</w:t>
      </w:r>
      <w:proofErr w:type="spellEnd"/>
      <w:r w:rsidRPr="00D63464">
        <w:rPr>
          <w:rFonts w:ascii="Times New Roman" w:hAnsi="Times New Roman" w:cs="Times New Roman"/>
          <w:sz w:val="24"/>
          <w:szCs w:val="24"/>
          <w:lang w:val="bg-BG" w:eastAsia="bg-BG"/>
        </w:rPr>
        <w:t xml:space="preserve"> код по чл. 4, т. 1 и уведомява общината;</w:t>
      </w:r>
    </w:p>
    <w:p w14:paraId="600CF7DD"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 xml:space="preserve">4. преводът по т. 2 от безвъзмездната финансова помощ по ПМДРА 2021 – 2027 г. </w:t>
      </w:r>
      <w:r w:rsidRPr="00D63464">
        <w:rPr>
          <w:rFonts w:ascii="Times New Roman" w:hAnsi="Times New Roman" w:cs="Times New Roman"/>
          <w:sz w:val="24"/>
          <w:szCs w:val="24"/>
          <w:lang w:val="bg-BG" w:eastAsia="bg-BG"/>
        </w:rPr>
        <w:lastRenderedPageBreak/>
        <w:t>се извършва до размера на непогасения заем по чл. 2, ал. 1;</w:t>
      </w:r>
    </w:p>
    <w:p w14:paraId="6C8DB572" w14:textId="560434CE"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sz w:val="24"/>
          <w:szCs w:val="24"/>
          <w:lang w:val="bg-BG" w:eastAsia="bg-BG"/>
        </w:rPr>
        <w:t>5. в случай че сумата, подлежаща на изплащане на общината от безвъзмездната финансова помощ по ПМДРА 2021 – 2027 г., е по-голяма от размера на непогасената част от заема по чл. 2, ал. 1, разликата се превежда по сметката за средства от Европейския съюз (7443) на общината, открита за целите на плащанията по ПМДРА 2021 – 2027 г., администрирани от Държавен фонд „Земеделие“.</w:t>
      </w:r>
    </w:p>
    <w:p w14:paraId="7A6AB061" w14:textId="77777777" w:rsidR="00284AF6" w:rsidRPr="00D63464" w:rsidRDefault="00284AF6"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1376C04A" w14:textId="30E70F4C"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Чл. 6.</w:t>
      </w:r>
      <w:r w:rsidRPr="00D63464">
        <w:rPr>
          <w:rFonts w:ascii="Times New Roman" w:hAnsi="Times New Roman" w:cs="Times New Roman"/>
          <w:sz w:val="24"/>
          <w:szCs w:val="24"/>
          <w:lang w:val="bg-BG" w:eastAsia="bg-BG"/>
        </w:rPr>
        <w:t xml:space="preserve"> Със заема по чл. 2, ал. 1 не могат да се плащат разходи за данък върху добавената стойност.</w:t>
      </w:r>
    </w:p>
    <w:p w14:paraId="2B42A25D"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4DBBA3AF"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Чл. 7.</w:t>
      </w:r>
      <w:r w:rsidRPr="00D63464">
        <w:rPr>
          <w:rFonts w:ascii="Times New Roman" w:hAnsi="Times New Roman" w:cs="Times New Roman"/>
          <w:sz w:val="24"/>
          <w:szCs w:val="24"/>
          <w:lang w:val="bg-BG" w:eastAsia="bg-BG"/>
        </w:rPr>
        <w:t xml:space="preserve"> За целите на залагането на лимити и извършването на плащанията по чл. 3, 4 и 5 се прилагат съответните сметки и кодове за плащания в СЕБРА. </w:t>
      </w:r>
    </w:p>
    <w:p w14:paraId="32835162"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highlight w:val="cyan"/>
          <w:lang w:val="bg-BG" w:eastAsia="bg-BG"/>
        </w:rPr>
      </w:pPr>
    </w:p>
    <w:p w14:paraId="72D5EA26" w14:textId="7753CFCF" w:rsidR="003D08F1" w:rsidRPr="00D63464" w:rsidRDefault="003D08F1" w:rsidP="00D63464">
      <w:pPr>
        <w:widowControl w:val="0"/>
        <w:autoSpaceDE w:val="0"/>
        <w:autoSpaceDN w:val="0"/>
        <w:adjustRightInd w:val="0"/>
        <w:spacing w:line="348" w:lineRule="auto"/>
        <w:jc w:val="center"/>
        <w:rPr>
          <w:rFonts w:ascii="Times New Roman" w:hAnsi="Times New Roman" w:cs="Times New Roman"/>
          <w:b/>
          <w:sz w:val="24"/>
          <w:szCs w:val="24"/>
          <w:lang w:val="bg-BG" w:eastAsia="bg-BG"/>
        </w:rPr>
      </w:pPr>
      <w:r w:rsidRPr="00D63464">
        <w:rPr>
          <w:rFonts w:ascii="Times New Roman" w:hAnsi="Times New Roman" w:cs="Times New Roman"/>
          <w:b/>
          <w:sz w:val="24"/>
          <w:szCs w:val="24"/>
          <w:lang w:val="bg-BG" w:eastAsia="bg-BG"/>
        </w:rPr>
        <w:t>Заключителни разпоредби</w:t>
      </w:r>
    </w:p>
    <w:p w14:paraId="6558260B"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1384B3EF" w14:textId="1A8137A3"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 1.</w:t>
      </w:r>
      <w:r w:rsidRPr="00D63464">
        <w:rPr>
          <w:rFonts w:ascii="Times New Roman" w:hAnsi="Times New Roman" w:cs="Times New Roman"/>
          <w:sz w:val="24"/>
          <w:szCs w:val="24"/>
          <w:lang w:val="bg-BG" w:eastAsia="bg-BG"/>
        </w:rPr>
        <w:t xml:space="preserve"> </w:t>
      </w:r>
      <w:r w:rsidR="00D63464" w:rsidRPr="00D63464">
        <w:rPr>
          <w:rFonts w:ascii="Times New Roman" w:hAnsi="Times New Roman" w:cs="Times New Roman"/>
          <w:sz w:val="24"/>
          <w:szCs w:val="24"/>
          <w:lang w:val="bg-BG" w:eastAsia="bg-BG"/>
        </w:rPr>
        <w:t>Постановлението</w:t>
      </w:r>
      <w:r w:rsidRPr="00D63464">
        <w:rPr>
          <w:rFonts w:ascii="Times New Roman" w:hAnsi="Times New Roman" w:cs="Times New Roman"/>
          <w:sz w:val="24"/>
          <w:szCs w:val="24"/>
          <w:lang w:val="bg-BG" w:eastAsia="bg-BG"/>
        </w:rPr>
        <w:t xml:space="preserve"> се приема на основание чл. 104, ал. 1, т. 1 от Закона за публичните финанси.</w:t>
      </w:r>
    </w:p>
    <w:p w14:paraId="5DBCD067" w14:textId="77777777"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p>
    <w:p w14:paraId="0B28B24C" w14:textId="049504F3" w:rsidR="003D08F1" w:rsidRPr="00D63464" w:rsidRDefault="003D08F1" w:rsidP="00D63464">
      <w:pPr>
        <w:widowControl w:val="0"/>
        <w:autoSpaceDE w:val="0"/>
        <w:autoSpaceDN w:val="0"/>
        <w:adjustRightInd w:val="0"/>
        <w:spacing w:line="348" w:lineRule="auto"/>
        <w:ind w:firstLine="709"/>
        <w:jc w:val="both"/>
        <w:rPr>
          <w:rFonts w:ascii="Times New Roman" w:hAnsi="Times New Roman" w:cs="Times New Roman"/>
          <w:sz w:val="24"/>
          <w:szCs w:val="24"/>
          <w:lang w:val="bg-BG" w:eastAsia="bg-BG"/>
        </w:rPr>
      </w:pPr>
      <w:r w:rsidRPr="00D63464">
        <w:rPr>
          <w:rFonts w:ascii="Times New Roman" w:hAnsi="Times New Roman" w:cs="Times New Roman"/>
          <w:b/>
          <w:sz w:val="24"/>
          <w:szCs w:val="24"/>
          <w:lang w:val="bg-BG" w:eastAsia="bg-BG"/>
        </w:rPr>
        <w:t>§ 2.</w:t>
      </w:r>
      <w:r w:rsidRPr="00D63464">
        <w:rPr>
          <w:rFonts w:ascii="Times New Roman" w:hAnsi="Times New Roman" w:cs="Times New Roman"/>
          <w:sz w:val="24"/>
          <w:szCs w:val="24"/>
          <w:lang w:val="bg-BG" w:eastAsia="bg-BG"/>
        </w:rPr>
        <w:t xml:space="preserve"> Изпълнението на </w:t>
      </w:r>
      <w:r w:rsidR="00D63464" w:rsidRPr="00D63464">
        <w:rPr>
          <w:rFonts w:ascii="Times New Roman" w:hAnsi="Times New Roman" w:cs="Times New Roman"/>
          <w:sz w:val="24"/>
          <w:szCs w:val="24"/>
          <w:lang w:val="bg-BG" w:eastAsia="bg-BG"/>
        </w:rPr>
        <w:t>постановлението</w:t>
      </w:r>
      <w:r w:rsidRPr="00D63464">
        <w:rPr>
          <w:rFonts w:ascii="Times New Roman" w:hAnsi="Times New Roman" w:cs="Times New Roman"/>
          <w:sz w:val="24"/>
          <w:szCs w:val="24"/>
          <w:lang w:val="bg-BG" w:eastAsia="bg-BG"/>
        </w:rPr>
        <w:t xml:space="preserve"> се възлага на министъра на земеделието</w:t>
      </w:r>
      <w:r w:rsidR="00D63464" w:rsidRPr="00D63464">
        <w:rPr>
          <w:rFonts w:ascii="Times New Roman" w:hAnsi="Times New Roman" w:cs="Times New Roman"/>
          <w:sz w:val="24"/>
          <w:szCs w:val="24"/>
          <w:lang w:val="bg-BG" w:eastAsia="bg-BG"/>
        </w:rPr>
        <w:t xml:space="preserve"> и </w:t>
      </w:r>
      <w:r w:rsidRPr="00D63464">
        <w:rPr>
          <w:rFonts w:ascii="Times New Roman" w:hAnsi="Times New Roman" w:cs="Times New Roman"/>
          <w:sz w:val="24"/>
          <w:szCs w:val="24"/>
          <w:lang w:val="bg-BG" w:eastAsia="bg-BG"/>
        </w:rPr>
        <w:t>храните и на изпълнителния директор на Държавен фонд „Земеделие“.</w:t>
      </w:r>
    </w:p>
    <w:p w14:paraId="4B439CBB" w14:textId="77777777" w:rsidR="003D08F1" w:rsidRPr="00D63464" w:rsidRDefault="003D08F1" w:rsidP="00D63464">
      <w:pPr>
        <w:spacing w:line="348" w:lineRule="auto"/>
        <w:jc w:val="both"/>
        <w:rPr>
          <w:rFonts w:ascii="Times New Roman" w:eastAsia="Calibri" w:hAnsi="Times New Roman" w:cs="Times New Roman"/>
          <w:sz w:val="24"/>
          <w:szCs w:val="24"/>
          <w:lang w:eastAsia="bg-BG"/>
        </w:rPr>
      </w:pPr>
    </w:p>
    <w:p w14:paraId="7BE08FE4" w14:textId="77777777" w:rsidR="003D08F1" w:rsidRPr="00D63464" w:rsidRDefault="003D08F1" w:rsidP="00D63464">
      <w:pPr>
        <w:spacing w:line="348" w:lineRule="auto"/>
        <w:outlineLvl w:val="0"/>
        <w:rPr>
          <w:rFonts w:ascii="Times New Roman" w:eastAsia="Times New Roman" w:hAnsi="Times New Roman" w:cs="Times New Roman"/>
          <w:b/>
          <w:sz w:val="24"/>
          <w:szCs w:val="24"/>
        </w:rPr>
      </w:pPr>
      <w:r w:rsidRPr="00D63464">
        <w:rPr>
          <w:rFonts w:ascii="Times New Roman" w:eastAsia="Times New Roman" w:hAnsi="Times New Roman" w:cs="Times New Roman"/>
          <w:b/>
          <w:sz w:val="24"/>
          <w:szCs w:val="24"/>
        </w:rPr>
        <w:t>МИНИСТЪР-ПРЕДСЕДАТЕЛ:</w:t>
      </w:r>
    </w:p>
    <w:p w14:paraId="70FD157C" w14:textId="77777777" w:rsidR="003D08F1" w:rsidRPr="00D63464" w:rsidRDefault="003D08F1" w:rsidP="00D63464">
      <w:pPr>
        <w:spacing w:line="348" w:lineRule="auto"/>
        <w:ind w:left="3458"/>
        <w:outlineLvl w:val="0"/>
        <w:rPr>
          <w:rFonts w:ascii="Times New Roman" w:eastAsia="Times New Roman" w:hAnsi="Times New Roman" w:cs="Times New Roman"/>
          <w:b/>
          <w:sz w:val="24"/>
          <w:szCs w:val="24"/>
        </w:rPr>
      </w:pPr>
      <w:r w:rsidRPr="00D63464">
        <w:rPr>
          <w:rFonts w:ascii="Times New Roman" w:eastAsia="Times New Roman" w:hAnsi="Times New Roman" w:cs="Times New Roman"/>
          <w:b/>
          <w:sz w:val="24"/>
          <w:szCs w:val="24"/>
        </w:rPr>
        <w:t>РУМЕН РАДЕВ</w:t>
      </w:r>
    </w:p>
    <w:p w14:paraId="382E3966" w14:textId="77777777" w:rsidR="003D08F1" w:rsidRPr="00D63464" w:rsidRDefault="003D08F1" w:rsidP="00D63464">
      <w:pPr>
        <w:spacing w:line="348" w:lineRule="auto"/>
        <w:jc w:val="both"/>
        <w:rPr>
          <w:rFonts w:ascii="Times New Roman" w:eastAsia="Calibri" w:hAnsi="Times New Roman" w:cs="Times New Roman"/>
          <w:sz w:val="24"/>
          <w:szCs w:val="24"/>
          <w:lang w:eastAsia="bg-BG"/>
        </w:rPr>
      </w:pPr>
    </w:p>
    <w:p w14:paraId="605CC190" w14:textId="77777777" w:rsidR="003D08F1" w:rsidRPr="00D63464" w:rsidRDefault="003D08F1" w:rsidP="00D63464">
      <w:pPr>
        <w:spacing w:line="348" w:lineRule="auto"/>
        <w:outlineLvl w:val="0"/>
        <w:rPr>
          <w:rFonts w:ascii="Times New Roman" w:eastAsia="Times New Roman" w:hAnsi="Times New Roman" w:cs="Times New Roman"/>
          <w:b/>
          <w:sz w:val="24"/>
          <w:szCs w:val="24"/>
        </w:rPr>
      </w:pPr>
      <w:r w:rsidRPr="00D63464">
        <w:rPr>
          <w:rFonts w:ascii="Times New Roman" w:eastAsia="Times New Roman" w:hAnsi="Times New Roman" w:cs="Times New Roman"/>
          <w:b/>
          <w:sz w:val="24"/>
          <w:szCs w:val="24"/>
        </w:rPr>
        <w:t xml:space="preserve">ГЛАВЕН СЕКРЕТАР </w:t>
      </w:r>
      <w:r w:rsidRPr="00D63464">
        <w:rPr>
          <w:rFonts w:ascii="Times New Roman" w:eastAsia="Times New Roman" w:hAnsi="Times New Roman" w:cs="Times New Roman"/>
          <w:b/>
          <w:caps/>
          <w:sz w:val="24"/>
          <w:szCs w:val="24"/>
        </w:rPr>
        <w:t>НА МИНИСТЕРСКИя</w:t>
      </w:r>
      <w:r w:rsidRPr="00D63464">
        <w:rPr>
          <w:rFonts w:ascii="Times New Roman" w:eastAsia="Times New Roman" w:hAnsi="Times New Roman" w:cs="Times New Roman"/>
          <w:b/>
          <w:sz w:val="24"/>
          <w:szCs w:val="24"/>
        </w:rPr>
        <w:t xml:space="preserve"> СЪВЕТ:</w:t>
      </w:r>
    </w:p>
    <w:p w14:paraId="617AA467" w14:textId="51153179" w:rsidR="003D08F1" w:rsidRPr="00D63464" w:rsidRDefault="00284AF6" w:rsidP="00D63464">
      <w:pPr>
        <w:shd w:val="clear" w:color="auto" w:fill="FFFFFF"/>
        <w:spacing w:line="348" w:lineRule="auto"/>
        <w:ind w:left="5953"/>
        <w:rPr>
          <w:rFonts w:ascii="Times New Roman" w:eastAsia="Times New Roman" w:hAnsi="Times New Roman" w:cs="Times New Roman"/>
          <w:lang w:val="bg-BG" w:eastAsia="zh-CN"/>
        </w:rPr>
      </w:pPr>
      <w:r w:rsidRPr="00D63464">
        <w:rPr>
          <w:rFonts w:ascii="Times New Roman" w:eastAsia="Times New Roman" w:hAnsi="Times New Roman" w:cs="Times New Roman"/>
          <w:b/>
          <w:sz w:val="24"/>
          <w:szCs w:val="24"/>
          <w:lang w:val="bg-BG"/>
        </w:rPr>
        <w:t>КАМЕЛИЯ НЕЙКОВА</w:t>
      </w:r>
    </w:p>
    <w:tbl>
      <w:tblPr>
        <w:tblStyle w:val="TableGridLight1"/>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6"/>
        <w:gridCol w:w="3776"/>
      </w:tblGrid>
      <w:tr w:rsidR="003D08F1" w:rsidRPr="00D63464" w14:paraId="56E2FFB1" w14:textId="77777777" w:rsidTr="004B2061">
        <w:tc>
          <w:tcPr>
            <w:tcW w:w="5330" w:type="dxa"/>
            <w:tcBorders>
              <w:top w:val="single" w:sz="4" w:space="0" w:color="auto"/>
            </w:tcBorders>
            <w:vAlign w:val="center"/>
          </w:tcPr>
          <w:p w14:paraId="3901DD42" w14:textId="77777777" w:rsidR="003D08F1" w:rsidRPr="00D63464" w:rsidRDefault="003D08F1" w:rsidP="00D63464">
            <w:pPr>
              <w:spacing w:line="348" w:lineRule="auto"/>
              <w:rPr>
                <w:rFonts w:ascii="Times New Roman"/>
                <w:b/>
                <w:smallCaps/>
                <w:sz w:val="24"/>
                <w:szCs w:val="24"/>
              </w:rPr>
            </w:pPr>
            <w:r w:rsidRPr="00D63464">
              <w:rPr>
                <w:rFonts w:ascii="Times New Roman"/>
                <w:b/>
                <w:smallCaps/>
                <w:sz w:val="24"/>
                <w:szCs w:val="24"/>
              </w:rPr>
              <w:t>Главен секретар на Министерството на земеделието и храните:</w:t>
            </w:r>
          </w:p>
        </w:tc>
        <w:tc>
          <w:tcPr>
            <w:tcW w:w="3742" w:type="dxa"/>
            <w:tcBorders>
              <w:top w:val="single" w:sz="4" w:space="0" w:color="auto"/>
            </w:tcBorders>
          </w:tcPr>
          <w:p w14:paraId="1791FEA7" w14:textId="77777777" w:rsidR="003D08F1" w:rsidRPr="00D63464" w:rsidRDefault="00D63464" w:rsidP="00D63464">
            <w:pPr>
              <w:tabs>
                <w:tab w:val="left" w:leader="dot" w:pos="3802"/>
              </w:tabs>
              <w:spacing w:line="348" w:lineRule="auto"/>
              <w:jc w:val="center"/>
              <w:rPr>
                <w:rFonts w:ascii="Times New Roman"/>
                <w:bCs/>
                <w:caps/>
                <w:sz w:val="24"/>
                <w:szCs w:val="24"/>
              </w:rPr>
            </w:pPr>
            <w:r w:rsidRPr="00D63464">
              <w:rPr>
                <w:rFonts w:ascii="Times New Roman" w:eastAsia="Calibri"/>
                <w:bCs/>
                <w:caps/>
                <w:sz w:val="24"/>
                <w:szCs w:val="24"/>
                <w:lang w:val="en-US" w:eastAsia="en-US"/>
              </w:rPr>
              <w:pict w14:anchorId="78B08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7.85pt;height:88.65pt">
                  <v:imagedata r:id="rId7" o:title=""/>
                  <o:lock v:ext="edit" ungrouping="t" rotation="t" cropping="t" verticies="t" text="t" grouping="t"/>
                  <o:signatureline v:ext="edit" id="{AF966109-F1BE-4546-ADED-B7CD6ED7D29D}" provid="{00000000-0000-0000-0000-000000000000}" o:suggestedsigner="ЙОЛИТА ВЛАЕВСКА-КИРОВА" issignatureline="t"/>
                </v:shape>
              </w:pict>
            </w:r>
          </w:p>
        </w:tc>
      </w:tr>
      <w:tr w:rsidR="003D08F1" w:rsidRPr="00D63464" w14:paraId="276E431C" w14:textId="77777777" w:rsidTr="004B2061">
        <w:tc>
          <w:tcPr>
            <w:tcW w:w="5330" w:type="dxa"/>
            <w:vAlign w:val="center"/>
          </w:tcPr>
          <w:p w14:paraId="5D781DE3" w14:textId="77777777" w:rsidR="003D08F1" w:rsidRPr="00D63464" w:rsidRDefault="003D08F1" w:rsidP="00D63464">
            <w:pPr>
              <w:tabs>
                <w:tab w:val="center" w:pos="4153"/>
                <w:tab w:val="left" w:pos="7230"/>
                <w:tab w:val="left" w:pos="7655"/>
                <w:tab w:val="right" w:pos="8306"/>
              </w:tabs>
              <w:spacing w:line="348" w:lineRule="auto"/>
              <w:rPr>
                <w:rFonts w:ascii="Times New Roman"/>
                <w:b/>
                <w:smallCaps/>
                <w:sz w:val="24"/>
                <w:szCs w:val="24"/>
              </w:rPr>
            </w:pPr>
            <w:r w:rsidRPr="00D63464">
              <w:rPr>
                <w:rFonts w:ascii="Times New Roman"/>
                <w:b/>
                <w:smallCaps/>
                <w:sz w:val="24"/>
                <w:szCs w:val="24"/>
              </w:rPr>
              <w:t xml:space="preserve">Директор на дирекция „Правни дейности и законодателство на Европейския съюз“, Министерство на земеделието </w:t>
            </w:r>
            <w:r w:rsidRPr="00D63464">
              <w:rPr>
                <w:rFonts w:ascii="Times New Roman"/>
                <w:b/>
                <w:bCs/>
                <w:smallCaps/>
                <w:sz w:val="24"/>
                <w:szCs w:val="24"/>
              </w:rPr>
              <w:t>и храните</w:t>
            </w:r>
            <w:r w:rsidRPr="00D63464">
              <w:rPr>
                <w:rFonts w:ascii="Times New Roman"/>
                <w:b/>
                <w:smallCaps/>
                <w:sz w:val="24"/>
                <w:szCs w:val="24"/>
              </w:rPr>
              <w:t>:</w:t>
            </w:r>
          </w:p>
        </w:tc>
        <w:tc>
          <w:tcPr>
            <w:tcW w:w="3742" w:type="dxa"/>
          </w:tcPr>
          <w:p w14:paraId="641F7F94" w14:textId="77777777" w:rsidR="003D08F1" w:rsidRPr="00D63464" w:rsidRDefault="00D63464" w:rsidP="00D63464">
            <w:pPr>
              <w:tabs>
                <w:tab w:val="left" w:leader="dot" w:pos="3802"/>
              </w:tabs>
              <w:spacing w:line="348" w:lineRule="auto"/>
              <w:jc w:val="center"/>
              <w:rPr>
                <w:rFonts w:ascii="Times New Roman"/>
                <w:bCs/>
                <w:caps/>
                <w:sz w:val="24"/>
                <w:szCs w:val="24"/>
              </w:rPr>
            </w:pPr>
            <w:r w:rsidRPr="00D63464">
              <w:rPr>
                <w:rFonts w:ascii="Times New Roman" w:eastAsia="Calibri"/>
                <w:bCs/>
                <w:caps/>
                <w:sz w:val="24"/>
                <w:szCs w:val="24"/>
                <w:lang w:val="en-US" w:eastAsia="en-US"/>
              </w:rPr>
              <w:pict w14:anchorId="27E9B14D">
                <v:shape id="_x0000_i1026" type="#_x0000_t75" alt="Microsoft Office Signature Line..." style="width:176.8pt;height:88.65pt">
                  <v:imagedata r:id="rId8" o:title=""/>
                  <o:lock v:ext="edit" ungrouping="t" rotation="t" cropping="t" verticies="t" text="t" grouping="t"/>
                  <o:signatureline v:ext="edit" id="{228CC19E-4DD8-4DD6-B2FB-3D938DA2D4D5}" provid="{00000000-0000-0000-0000-000000000000}" o:suggestedsigner="ДЕСИСЛАВА ПЕТРОВА" issignatureline="t"/>
                </v:shape>
              </w:pict>
            </w:r>
          </w:p>
        </w:tc>
      </w:tr>
    </w:tbl>
    <w:p w14:paraId="489E4F96" w14:textId="77777777" w:rsidR="00D61ED6" w:rsidRPr="00D63464" w:rsidRDefault="00D61ED6" w:rsidP="00D63464">
      <w:pPr>
        <w:shd w:val="clear" w:color="auto" w:fill="FFFFFF"/>
        <w:tabs>
          <w:tab w:val="left" w:leader="dot" w:pos="3802"/>
        </w:tabs>
        <w:spacing w:line="348" w:lineRule="auto"/>
        <w:rPr>
          <w:rFonts w:ascii="Times New Roman" w:hAnsi="Times New Roman" w:cs="Times New Roman"/>
          <w:sz w:val="24"/>
          <w:szCs w:val="24"/>
          <w:lang w:val="bg-BG" w:eastAsia="zh-CN"/>
        </w:rPr>
      </w:pPr>
    </w:p>
    <w:sectPr w:rsidR="00D61ED6" w:rsidRPr="00D63464" w:rsidSect="00D61ED6">
      <w:footerReference w:type="default" r:id="rId9"/>
      <w:headerReference w:type="first" r:id="rId10"/>
      <w:pgSz w:w="11907" w:h="16840" w:code="9"/>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42A39" w14:textId="77777777" w:rsidR="000E6966" w:rsidRDefault="000E6966" w:rsidP="000B2862">
      <w:pPr>
        <w:spacing w:line="240" w:lineRule="auto"/>
      </w:pPr>
      <w:r>
        <w:separator/>
      </w:r>
    </w:p>
  </w:endnote>
  <w:endnote w:type="continuationSeparator" w:id="0">
    <w:p w14:paraId="7D7EC04A" w14:textId="77777777" w:rsidR="000E6966" w:rsidRDefault="000E6966" w:rsidP="000B28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700553"/>
      <w:docPartObj>
        <w:docPartGallery w:val="Page Numbers (Bottom of Page)"/>
        <w:docPartUnique/>
      </w:docPartObj>
    </w:sdtPr>
    <w:sdtEndPr>
      <w:rPr>
        <w:rFonts w:ascii="Times New Roman" w:hAnsi="Times New Roman" w:cs="Times New Roman"/>
        <w:noProof/>
        <w:sz w:val="20"/>
        <w:szCs w:val="20"/>
      </w:rPr>
    </w:sdtEndPr>
    <w:sdtContent>
      <w:p w14:paraId="6C94DFF2" w14:textId="69F3B434" w:rsidR="000B2862" w:rsidRPr="0013604B" w:rsidRDefault="000B2862" w:rsidP="0013604B">
        <w:pPr>
          <w:pStyle w:val="Footer"/>
          <w:jc w:val="right"/>
          <w:rPr>
            <w:rFonts w:ascii="Times New Roman" w:hAnsi="Times New Roman" w:cs="Times New Roman"/>
            <w:sz w:val="20"/>
            <w:szCs w:val="20"/>
          </w:rPr>
        </w:pPr>
        <w:r w:rsidRPr="0013604B">
          <w:rPr>
            <w:rFonts w:ascii="Times New Roman" w:hAnsi="Times New Roman" w:cs="Times New Roman"/>
            <w:sz w:val="20"/>
            <w:szCs w:val="20"/>
          </w:rPr>
          <w:fldChar w:fldCharType="begin"/>
        </w:r>
        <w:r w:rsidRPr="0013604B">
          <w:rPr>
            <w:rFonts w:ascii="Times New Roman" w:hAnsi="Times New Roman" w:cs="Times New Roman"/>
            <w:sz w:val="20"/>
            <w:szCs w:val="20"/>
          </w:rPr>
          <w:instrText xml:space="preserve"> PAGE   \* MERGEFORMAT </w:instrText>
        </w:r>
        <w:r w:rsidRPr="0013604B">
          <w:rPr>
            <w:rFonts w:ascii="Times New Roman" w:hAnsi="Times New Roman" w:cs="Times New Roman"/>
            <w:sz w:val="20"/>
            <w:szCs w:val="20"/>
          </w:rPr>
          <w:fldChar w:fldCharType="separate"/>
        </w:r>
        <w:r w:rsidR="00142683">
          <w:rPr>
            <w:rFonts w:ascii="Times New Roman" w:hAnsi="Times New Roman" w:cs="Times New Roman"/>
            <w:noProof/>
            <w:sz w:val="20"/>
            <w:szCs w:val="20"/>
          </w:rPr>
          <w:t>4</w:t>
        </w:r>
        <w:r w:rsidRPr="0013604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935DD" w14:textId="77777777" w:rsidR="000E6966" w:rsidRDefault="000E6966" w:rsidP="000B2862">
      <w:pPr>
        <w:spacing w:line="240" w:lineRule="auto"/>
      </w:pPr>
      <w:r>
        <w:separator/>
      </w:r>
    </w:p>
  </w:footnote>
  <w:footnote w:type="continuationSeparator" w:id="0">
    <w:p w14:paraId="0B4B9BDF" w14:textId="77777777" w:rsidR="000E6966" w:rsidRDefault="000E6966" w:rsidP="000B28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AE19D" w14:textId="5F542CFD" w:rsidR="000B2862" w:rsidRPr="00284AF6" w:rsidRDefault="000B2862" w:rsidP="000B2862">
    <w:pPr>
      <w:tabs>
        <w:tab w:val="center" w:pos="4320"/>
        <w:tab w:val="right" w:pos="8640"/>
      </w:tabs>
      <w:overflowPunct w:val="0"/>
      <w:autoSpaceDE w:val="0"/>
      <w:autoSpaceDN w:val="0"/>
      <w:adjustRightInd w:val="0"/>
      <w:spacing w:line="240" w:lineRule="auto"/>
      <w:jc w:val="right"/>
      <w:textAlignment w:val="baseline"/>
      <w:rPr>
        <w:rFonts w:ascii="Times New Roman" w:eastAsia="Times New Roman" w:hAnsi="Times New Roman" w:cs="Times New Roman"/>
        <w:sz w:val="20"/>
        <w:szCs w:val="20"/>
        <w:lang w:val="bg-BG"/>
      </w:rPr>
    </w:pPr>
    <w:r w:rsidRPr="00284AF6">
      <w:rPr>
        <w:rFonts w:ascii="Times New Roman" w:eastAsia="Times New Roman" w:hAnsi="Times New Roman" w:cs="Times New Roman"/>
        <w:sz w:val="20"/>
        <w:szCs w:val="20"/>
        <w:lang w:val="bg-BG"/>
      </w:rPr>
      <w:t>Класификация на информацията:</w:t>
    </w:r>
  </w:p>
  <w:p w14:paraId="7ABE1734" w14:textId="3B4ED614" w:rsidR="000B2862" w:rsidRPr="00284AF6" w:rsidRDefault="00284AF6" w:rsidP="000B2862">
    <w:pPr>
      <w:tabs>
        <w:tab w:val="center" w:pos="4536"/>
        <w:tab w:val="right" w:pos="9072"/>
      </w:tabs>
      <w:overflowPunct w:val="0"/>
      <w:autoSpaceDE w:val="0"/>
      <w:autoSpaceDN w:val="0"/>
      <w:adjustRightInd w:val="0"/>
      <w:spacing w:line="240" w:lineRule="auto"/>
      <w:jc w:val="right"/>
      <w:textAlignment w:val="baseline"/>
      <w:rPr>
        <w:rFonts w:ascii="Times New Roman" w:eastAsia="Times New Roman" w:hAnsi="Times New Roman" w:cs="Times New Roman"/>
        <w:sz w:val="20"/>
        <w:szCs w:val="20"/>
        <w:lang w:val="ru-RU"/>
      </w:rPr>
    </w:pPr>
    <w:r w:rsidRPr="00284AF6">
      <w:rPr>
        <w:rFonts w:ascii="Times New Roman" w:eastAsia="Times New Roman" w:hAnsi="Times New Roman" w:cs="Times New Roman"/>
        <w:b/>
        <w:noProof/>
        <w:spacing w:val="80"/>
        <w:sz w:val="20"/>
        <w:szCs w:val="20"/>
      </w:rPr>
      <w:drawing>
        <wp:anchor distT="0" distB="0" distL="114300" distR="114300" simplePos="0" relativeHeight="251659264" behindDoc="1" locked="0" layoutInCell="1" allowOverlap="1" wp14:anchorId="57E30BF7" wp14:editId="4CC3F80E">
          <wp:simplePos x="0" y="0"/>
          <wp:positionH relativeFrom="column">
            <wp:posOffset>2348230</wp:posOffset>
          </wp:positionH>
          <wp:positionV relativeFrom="paragraph">
            <wp:posOffset>33683</wp:posOffset>
          </wp:positionV>
          <wp:extent cx="1141095" cy="993140"/>
          <wp:effectExtent l="0" t="0" r="1905" b="0"/>
          <wp:wrapNone/>
          <wp:docPr id="1" name="Picture 8"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b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1095" cy="993140"/>
                  </a:xfrm>
                  <a:prstGeom prst="rect">
                    <a:avLst/>
                  </a:prstGeom>
                  <a:noFill/>
                </pic:spPr>
              </pic:pic>
            </a:graphicData>
          </a:graphic>
          <wp14:sizeRelH relativeFrom="page">
            <wp14:pctWidth>0</wp14:pctWidth>
          </wp14:sizeRelH>
          <wp14:sizeRelV relativeFrom="page">
            <wp14:pctHeight>0</wp14:pctHeight>
          </wp14:sizeRelV>
        </wp:anchor>
      </w:drawing>
    </w:r>
    <w:r w:rsidR="000B2862" w:rsidRPr="00284AF6">
      <w:rPr>
        <w:rFonts w:ascii="Times New Roman" w:eastAsia="Times New Roman" w:hAnsi="Times New Roman" w:cs="Times New Roman"/>
        <w:sz w:val="20"/>
        <w:szCs w:val="20"/>
        <w:lang w:val="bg-BG"/>
      </w:rPr>
      <w:t>Ниво 1, TLP-GREEN</w:t>
    </w:r>
  </w:p>
  <w:p w14:paraId="698D178E" w14:textId="77777777" w:rsidR="000B2862" w:rsidRPr="00284AF6" w:rsidRDefault="000B2862" w:rsidP="000B2862">
    <w:pPr>
      <w:tabs>
        <w:tab w:val="center" w:pos="4536"/>
        <w:tab w:val="right" w:pos="9072"/>
      </w:tabs>
      <w:overflowPunct w:val="0"/>
      <w:autoSpaceDE w:val="0"/>
      <w:autoSpaceDN w:val="0"/>
      <w:adjustRightInd w:val="0"/>
      <w:spacing w:line="240" w:lineRule="auto"/>
      <w:jc w:val="center"/>
      <w:textAlignment w:val="baseline"/>
      <w:rPr>
        <w:rFonts w:ascii="Times New Roman" w:eastAsia="Times New Roman" w:hAnsi="Times New Roman" w:cs="Times New Roman"/>
        <w:szCs w:val="20"/>
        <w:lang w:val="ru-RU"/>
      </w:rPr>
    </w:pPr>
  </w:p>
  <w:p w14:paraId="64CD918E" w14:textId="77777777" w:rsidR="000B2862" w:rsidRPr="00284AF6" w:rsidRDefault="000B2862" w:rsidP="000B2862">
    <w:pPr>
      <w:tabs>
        <w:tab w:val="center" w:pos="4536"/>
        <w:tab w:val="right" w:pos="9072"/>
      </w:tabs>
      <w:overflowPunct w:val="0"/>
      <w:autoSpaceDE w:val="0"/>
      <w:autoSpaceDN w:val="0"/>
      <w:adjustRightInd w:val="0"/>
      <w:spacing w:line="240" w:lineRule="auto"/>
      <w:jc w:val="center"/>
      <w:textAlignment w:val="baseline"/>
      <w:rPr>
        <w:rFonts w:ascii="Times New Roman" w:eastAsia="Times New Roman" w:hAnsi="Times New Roman" w:cs="Times New Roman"/>
        <w:szCs w:val="20"/>
        <w:lang w:val="ru-RU"/>
      </w:rPr>
    </w:pPr>
  </w:p>
  <w:p w14:paraId="3D55CECD" w14:textId="77777777" w:rsidR="000B2862" w:rsidRPr="00284AF6" w:rsidRDefault="000B2862" w:rsidP="000B2862">
    <w:pPr>
      <w:tabs>
        <w:tab w:val="center" w:pos="4536"/>
        <w:tab w:val="right" w:pos="9072"/>
      </w:tabs>
      <w:overflowPunct w:val="0"/>
      <w:autoSpaceDE w:val="0"/>
      <w:autoSpaceDN w:val="0"/>
      <w:adjustRightInd w:val="0"/>
      <w:spacing w:line="240" w:lineRule="auto"/>
      <w:jc w:val="center"/>
      <w:textAlignment w:val="baseline"/>
      <w:rPr>
        <w:rFonts w:ascii="Times New Roman" w:eastAsia="Times New Roman" w:hAnsi="Times New Roman" w:cs="Times New Roman"/>
        <w:szCs w:val="20"/>
        <w:lang w:val="ru-RU"/>
      </w:rPr>
    </w:pPr>
  </w:p>
  <w:p w14:paraId="1FEB5CA0" w14:textId="77777777" w:rsidR="000B2862" w:rsidRPr="00284AF6" w:rsidRDefault="000B2862" w:rsidP="000B2862">
    <w:pPr>
      <w:tabs>
        <w:tab w:val="center" w:pos="4536"/>
        <w:tab w:val="right" w:pos="9072"/>
      </w:tabs>
      <w:overflowPunct w:val="0"/>
      <w:autoSpaceDE w:val="0"/>
      <w:autoSpaceDN w:val="0"/>
      <w:adjustRightInd w:val="0"/>
      <w:spacing w:line="240" w:lineRule="auto"/>
      <w:jc w:val="center"/>
      <w:textAlignment w:val="baseline"/>
      <w:rPr>
        <w:rFonts w:ascii="Times New Roman" w:eastAsia="Times New Roman" w:hAnsi="Times New Roman" w:cs="Times New Roman"/>
        <w:szCs w:val="20"/>
        <w:lang w:val="ru-RU"/>
      </w:rPr>
    </w:pPr>
  </w:p>
  <w:p w14:paraId="234D2AE9" w14:textId="77777777" w:rsidR="000B2862" w:rsidRPr="00284AF6" w:rsidRDefault="000B2862" w:rsidP="000B2862">
    <w:pPr>
      <w:tabs>
        <w:tab w:val="center" w:pos="4536"/>
        <w:tab w:val="right" w:pos="9072"/>
      </w:tabs>
      <w:overflowPunct w:val="0"/>
      <w:autoSpaceDE w:val="0"/>
      <w:autoSpaceDN w:val="0"/>
      <w:adjustRightInd w:val="0"/>
      <w:spacing w:line="240" w:lineRule="auto"/>
      <w:jc w:val="center"/>
      <w:textAlignment w:val="baseline"/>
      <w:rPr>
        <w:rFonts w:ascii="Times New Roman" w:eastAsia="Times New Roman" w:hAnsi="Times New Roman" w:cs="Times New Roman"/>
        <w:szCs w:val="20"/>
        <w:lang w:val="ru-RU"/>
      </w:rPr>
    </w:pPr>
  </w:p>
  <w:p w14:paraId="6273FCBE" w14:textId="77777777" w:rsidR="000B2862" w:rsidRPr="00284AF6" w:rsidRDefault="000B2862" w:rsidP="000B2862">
    <w:pPr>
      <w:tabs>
        <w:tab w:val="center" w:pos="4536"/>
        <w:tab w:val="right" w:pos="9072"/>
      </w:tabs>
      <w:overflowPunct w:val="0"/>
      <w:autoSpaceDE w:val="0"/>
      <w:autoSpaceDN w:val="0"/>
      <w:adjustRightInd w:val="0"/>
      <w:spacing w:line="240" w:lineRule="auto"/>
      <w:jc w:val="center"/>
      <w:textAlignment w:val="baseline"/>
      <w:rPr>
        <w:rFonts w:ascii="Times New Roman" w:eastAsia="Times New Roman" w:hAnsi="Times New Roman" w:cs="Times New Roman"/>
        <w:szCs w:val="20"/>
        <w:lang w:val="ru-RU"/>
      </w:rPr>
    </w:pPr>
  </w:p>
  <w:p w14:paraId="16B3E589" w14:textId="77777777" w:rsidR="000B2862" w:rsidRPr="00D61ED6" w:rsidRDefault="000B2862" w:rsidP="00B43083">
    <w:pPr>
      <w:autoSpaceDN w:val="0"/>
      <w:spacing w:line="276" w:lineRule="auto"/>
      <w:jc w:val="center"/>
      <w:textAlignment w:val="baseline"/>
      <w:rPr>
        <w:rFonts w:ascii="Times New Roman" w:eastAsia="Times New Roman" w:hAnsi="Times New Roman" w:cs="Times New Roman"/>
        <w:b/>
        <w:spacing w:val="80"/>
        <w:sz w:val="28"/>
        <w:szCs w:val="24"/>
        <w:lang w:val="bg-BG" w:eastAsia="zh-CN"/>
      </w:rPr>
    </w:pPr>
    <w:r w:rsidRPr="00D61ED6">
      <w:rPr>
        <w:rFonts w:ascii="Times New Roman" w:eastAsia="Times New Roman" w:hAnsi="Times New Roman" w:cs="Times New Roman"/>
        <w:b/>
        <w:spacing w:val="80"/>
        <w:sz w:val="28"/>
        <w:szCs w:val="24"/>
        <w:lang w:val="bg-BG" w:eastAsia="zh-CN"/>
      </w:rPr>
      <w:t>РЕПУБЛИКА БЪЛГАРИЯ</w:t>
    </w:r>
  </w:p>
  <w:p w14:paraId="0E796A73" w14:textId="77777777" w:rsidR="000B2862" w:rsidRPr="00D61ED6" w:rsidRDefault="000B2862" w:rsidP="00B43083">
    <w:pPr>
      <w:pBdr>
        <w:bottom w:val="single" w:sz="4" w:space="1" w:color="auto"/>
      </w:pBdr>
      <w:autoSpaceDN w:val="0"/>
      <w:spacing w:line="276" w:lineRule="auto"/>
      <w:jc w:val="center"/>
      <w:textAlignment w:val="baseline"/>
      <w:rPr>
        <w:rFonts w:ascii="Times New Roman" w:eastAsia="Times New Roman" w:hAnsi="Times New Roman" w:cs="Times New Roman"/>
        <w:b/>
        <w:spacing w:val="100"/>
        <w:sz w:val="28"/>
        <w:szCs w:val="24"/>
        <w:lang w:val="bg-BG" w:eastAsia="zh-CN"/>
      </w:rPr>
    </w:pPr>
    <w:r w:rsidRPr="00D61ED6">
      <w:rPr>
        <w:rFonts w:ascii="Times New Roman" w:eastAsia="Times New Roman" w:hAnsi="Times New Roman" w:cs="Times New Roman"/>
        <w:b/>
        <w:spacing w:val="100"/>
        <w:sz w:val="28"/>
        <w:szCs w:val="24"/>
        <w:lang w:val="bg-BG" w:eastAsia="zh-CN"/>
      </w:rPr>
      <w:t>МИНИСТЕРСКИ СЪВЕТ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01FEE"/>
    <w:multiLevelType w:val="hybridMultilevel"/>
    <w:tmpl w:val="E250C70C"/>
    <w:lvl w:ilvl="0" w:tplc="93049052">
      <w:start w:val="1"/>
      <w:numFmt w:val="decimal"/>
      <w:suff w:val="space"/>
      <w:lvlText w:val="%1."/>
      <w:lvlJc w:val="left"/>
      <w:pPr>
        <w:ind w:left="1440" w:hanging="360"/>
      </w:pPr>
      <w:rPr>
        <w:rFonts w:hint="default"/>
        <w:b/>
        <w:bCs/>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8A"/>
    <w:rsid w:val="0007004C"/>
    <w:rsid w:val="000B2862"/>
    <w:rsid w:val="000D1446"/>
    <w:rsid w:val="000E6966"/>
    <w:rsid w:val="000F7FE3"/>
    <w:rsid w:val="00133B46"/>
    <w:rsid w:val="0013604B"/>
    <w:rsid w:val="00142683"/>
    <w:rsid w:val="00180B08"/>
    <w:rsid w:val="001B5835"/>
    <w:rsid w:val="001F0508"/>
    <w:rsid w:val="00284AF6"/>
    <w:rsid w:val="00330F31"/>
    <w:rsid w:val="003D08F1"/>
    <w:rsid w:val="00493F8F"/>
    <w:rsid w:val="0049493A"/>
    <w:rsid w:val="0052548A"/>
    <w:rsid w:val="00592091"/>
    <w:rsid w:val="00592A54"/>
    <w:rsid w:val="005D282C"/>
    <w:rsid w:val="005E1E97"/>
    <w:rsid w:val="00666076"/>
    <w:rsid w:val="006A1543"/>
    <w:rsid w:val="00726074"/>
    <w:rsid w:val="007F1321"/>
    <w:rsid w:val="007F7BB7"/>
    <w:rsid w:val="00817099"/>
    <w:rsid w:val="008A6FA2"/>
    <w:rsid w:val="00993A81"/>
    <w:rsid w:val="009A0710"/>
    <w:rsid w:val="009F6289"/>
    <w:rsid w:val="00A92C28"/>
    <w:rsid w:val="00AC0016"/>
    <w:rsid w:val="00B2503B"/>
    <w:rsid w:val="00B43083"/>
    <w:rsid w:val="00D61ED6"/>
    <w:rsid w:val="00D63464"/>
    <w:rsid w:val="00DB02E9"/>
    <w:rsid w:val="00DF25AB"/>
    <w:rsid w:val="00E36915"/>
    <w:rsid w:val="00F538BD"/>
    <w:rsid w:val="00F85B2D"/>
    <w:rsid w:val="00FD7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AC6B1"/>
  <w15:chartTrackingRefBased/>
  <w15:docId w15:val="{DE24CB44-FC2B-4E58-B15D-165009FC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862"/>
    <w:pPr>
      <w:tabs>
        <w:tab w:val="center" w:pos="4703"/>
        <w:tab w:val="right" w:pos="9406"/>
      </w:tabs>
      <w:spacing w:line="240" w:lineRule="auto"/>
    </w:pPr>
  </w:style>
  <w:style w:type="character" w:customStyle="1" w:styleId="HeaderChar">
    <w:name w:val="Header Char"/>
    <w:basedOn w:val="DefaultParagraphFont"/>
    <w:link w:val="Header"/>
    <w:uiPriority w:val="99"/>
    <w:rsid w:val="000B2862"/>
  </w:style>
  <w:style w:type="paragraph" w:styleId="Footer">
    <w:name w:val="footer"/>
    <w:basedOn w:val="Normal"/>
    <w:link w:val="FooterChar"/>
    <w:uiPriority w:val="99"/>
    <w:unhideWhenUsed/>
    <w:rsid w:val="000B2862"/>
    <w:pPr>
      <w:tabs>
        <w:tab w:val="center" w:pos="4703"/>
        <w:tab w:val="right" w:pos="9406"/>
      </w:tabs>
      <w:spacing w:line="240" w:lineRule="auto"/>
    </w:pPr>
  </w:style>
  <w:style w:type="character" w:customStyle="1" w:styleId="FooterChar">
    <w:name w:val="Footer Char"/>
    <w:basedOn w:val="DefaultParagraphFont"/>
    <w:link w:val="Footer"/>
    <w:uiPriority w:val="99"/>
    <w:rsid w:val="000B2862"/>
  </w:style>
  <w:style w:type="paragraph" w:styleId="ListParagraph">
    <w:name w:val="List Paragraph"/>
    <w:basedOn w:val="Normal"/>
    <w:uiPriority w:val="34"/>
    <w:qFormat/>
    <w:rsid w:val="000B2862"/>
    <w:pPr>
      <w:overflowPunct w:val="0"/>
      <w:autoSpaceDE w:val="0"/>
      <w:autoSpaceDN w:val="0"/>
      <w:adjustRightInd w:val="0"/>
      <w:spacing w:line="240" w:lineRule="auto"/>
      <w:ind w:left="720"/>
      <w:contextualSpacing/>
      <w:textAlignment w:val="baseline"/>
    </w:pPr>
    <w:rPr>
      <w:rFonts w:ascii="Arial" w:eastAsia="Times New Roman" w:hAnsi="Arial" w:cs="Times New Roman"/>
      <w:sz w:val="20"/>
      <w:szCs w:val="20"/>
    </w:rPr>
  </w:style>
  <w:style w:type="table" w:customStyle="1" w:styleId="TableGridLight1">
    <w:name w:val="Table Grid Light1"/>
    <w:basedOn w:val="TableNormal"/>
    <w:next w:val="TableGridLight"/>
    <w:uiPriority w:val="40"/>
    <w:rsid w:val="000B2862"/>
    <w:pPr>
      <w:spacing w:line="240" w:lineRule="auto"/>
    </w:pPr>
    <w:rPr>
      <w:rFonts w:ascii="Verdana" w:eastAsia="Times New Roman" w:hAnsi="Times New Roman" w:cs="Times New Roman"/>
      <w:sz w:val="20"/>
      <w:szCs w:val="20"/>
      <w:lang w:val="bg-BG" w:eastAsia="bg-BG"/>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0B286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92C28"/>
    <w:rPr>
      <w:sz w:val="16"/>
      <w:szCs w:val="16"/>
    </w:rPr>
  </w:style>
  <w:style w:type="paragraph" w:styleId="CommentText">
    <w:name w:val="annotation text"/>
    <w:basedOn w:val="Normal"/>
    <w:link w:val="CommentTextChar"/>
    <w:uiPriority w:val="99"/>
    <w:semiHidden/>
    <w:unhideWhenUsed/>
    <w:rsid w:val="00A92C28"/>
    <w:pPr>
      <w:spacing w:line="240" w:lineRule="auto"/>
    </w:pPr>
    <w:rPr>
      <w:sz w:val="20"/>
      <w:szCs w:val="20"/>
    </w:rPr>
  </w:style>
  <w:style w:type="character" w:customStyle="1" w:styleId="CommentTextChar">
    <w:name w:val="Comment Text Char"/>
    <w:basedOn w:val="DefaultParagraphFont"/>
    <w:link w:val="CommentText"/>
    <w:uiPriority w:val="99"/>
    <w:semiHidden/>
    <w:rsid w:val="00A92C28"/>
    <w:rPr>
      <w:sz w:val="20"/>
      <w:szCs w:val="20"/>
    </w:rPr>
  </w:style>
  <w:style w:type="paragraph" w:styleId="CommentSubject">
    <w:name w:val="annotation subject"/>
    <w:basedOn w:val="CommentText"/>
    <w:next w:val="CommentText"/>
    <w:link w:val="CommentSubjectChar"/>
    <w:uiPriority w:val="99"/>
    <w:semiHidden/>
    <w:unhideWhenUsed/>
    <w:rsid w:val="00A92C28"/>
    <w:rPr>
      <w:b/>
      <w:bCs/>
    </w:rPr>
  </w:style>
  <w:style w:type="character" w:customStyle="1" w:styleId="CommentSubjectChar">
    <w:name w:val="Comment Subject Char"/>
    <w:basedOn w:val="CommentTextChar"/>
    <w:link w:val="CommentSubject"/>
    <w:uiPriority w:val="99"/>
    <w:semiHidden/>
    <w:rsid w:val="00A92C28"/>
    <w:rPr>
      <w:b/>
      <w:bCs/>
      <w:sz w:val="20"/>
      <w:szCs w:val="20"/>
    </w:rPr>
  </w:style>
  <w:style w:type="paragraph" w:styleId="BalloonText">
    <w:name w:val="Balloon Text"/>
    <w:basedOn w:val="Normal"/>
    <w:link w:val="BalloonTextChar"/>
    <w:uiPriority w:val="99"/>
    <w:semiHidden/>
    <w:unhideWhenUsed/>
    <w:rsid w:val="00A92C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C28"/>
    <w:rPr>
      <w:rFonts w:ascii="Segoe UI" w:hAnsi="Segoe UI" w:cs="Segoe UI"/>
      <w:sz w:val="18"/>
      <w:szCs w:val="18"/>
    </w:rPr>
  </w:style>
  <w:style w:type="table" w:customStyle="1" w:styleId="TableGridLight11">
    <w:name w:val="Table Grid Light11"/>
    <w:basedOn w:val="TableNormal"/>
    <w:uiPriority w:val="40"/>
    <w:rsid w:val="00D61ED6"/>
    <w:pPr>
      <w:spacing w:line="240" w:lineRule="auto"/>
    </w:pPr>
    <w:rPr>
      <w:rFonts w:ascii="Verdana" w:eastAsia="Times New Roman" w:hAnsi="Times New Roman" w:cs="Times New Roman"/>
      <w:sz w:val="20"/>
      <w:szCs w:val="20"/>
      <w:lang w:val="bg-BG" w:eastAsia="bg-BG"/>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9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Slavova</dc:creator>
  <cp:keywords/>
  <dc:description/>
  <cp:lastModifiedBy>Velichka Kurteva</cp:lastModifiedBy>
  <cp:revision>14</cp:revision>
  <dcterms:created xsi:type="dcterms:W3CDTF">2026-06-24T05:57:00Z</dcterms:created>
  <dcterms:modified xsi:type="dcterms:W3CDTF">2026-07-08T07:41:00Z</dcterms:modified>
</cp:coreProperties>
</file>